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9E456D" w14:textId="77777777" w:rsidR="001E1094" w:rsidRDefault="001E1094" w:rsidP="001E1094">
      <w:pPr>
        <w:jc w:val="center"/>
        <w:rPr>
          <w:b/>
          <w:sz w:val="40"/>
          <w:szCs w:val="40"/>
        </w:rPr>
      </w:pPr>
      <w:bookmarkStart w:id="0" w:name="_GoBack"/>
      <w:bookmarkEnd w:id="0"/>
      <w:r>
        <w:rPr>
          <w:b/>
          <w:sz w:val="40"/>
          <w:szCs w:val="40"/>
        </w:rPr>
        <w:t>Global Vaccine Action Plan</w:t>
      </w:r>
    </w:p>
    <w:p w14:paraId="01DA57D2" w14:textId="77777777" w:rsidR="001E1094" w:rsidRDefault="001E1094" w:rsidP="001E1094">
      <w:pPr>
        <w:jc w:val="center"/>
        <w:rPr>
          <w:i/>
          <w:sz w:val="40"/>
          <w:szCs w:val="40"/>
        </w:rPr>
      </w:pPr>
      <w:r>
        <w:rPr>
          <w:i/>
          <w:sz w:val="40"/>
          <w:szCs w:val="40"/>
        </w:rPr>
        <w:t>Secretariat Annual Report 2016</w:t>
      </w:r>
    </w:p>
    <w:p w14:paraId="3067B216" w14:textId="77777777" w:rsidR="001E1094" w:rsidRDefault="001E1094" w:rsidP="001E1094">
      <w:pPr>
        <w:jc w:val="center"/>
        <w:rPr>
          <w:i/>
          <w:sz w:val="40"/>
          <w:szCs w:val="40"/>
        </w:rPr>
      </w:pPr>
      <w:r>
        <w:rPr>
          <w:i/>
          <w:sz w:val="40"/>
          <w:szCs w:val="40"/>
        </w:rPr>
        <w:t xml:space="preserve">Priority Country report on progress towards </w:t>
      </w:r>
    </w:p>
    <w:p w14:paraId="1527C293" w14:textId="77777777" w:rsidR="001E1094" w:rsidRDefault="001E1094" w:rsidP="001E1094">
      <w:pPr>
        <w:jc w:val="center"/>
        <w:rPr>
          <w:i/>
          <w:sz w:val="40"/>
          <w:szCs w:val="40"/>
        </w:rPr>
      </w:pPr>
      <w:r>
        <w:rPr>
          <w:i/>
          <w:sz w:val="40"/>
          <w:szCs w:val="40"/>
        </w:rPr>
        <w:t xml:space="preserve">GVAP-RVAP goals </w:t>
      </w:r>
    </w:p>
    <w:p w14:paraId="31603DF2" w14:textId="77777777" w:rsidR="001E1094" w:rsidRDefault="001E1094" w:rsidP="001E1094">
      <w:pPr>
        <w:jc w:val="center"/>
        <w:rPr>
          <w:rFonts w:ascii="Arial" w:hAnsi="Arial"/>
          <w:b/>
          <w:sz w:val="32"/>
        </w:rPr>
      </w:pPr>
    </w:p>
    <w:p w14:paraId="54353DC3" w14:textId="6FB17780" w:rsidR="001E1094" w:rsidRDefault="001E1094" w:rsidP="001E1094">
      <w:pPr>
        <w:jc w:val="center"/>
        <w:rPr>
          <w:rFonts w:ascii="Arial" w:hAnsi="Arial"/>
          <w:b/>
          <w:sz w:val="36"/>
        </w:rPr>
      </w:pPr>
      <w:r>
        <w:rPr>
          <w:rFonts w:ascii="Arial" w:hAnsi="Arial"/>
          <w:b/>
          <w:sz w:val="36"/>
        </w:rPr>
        <w:t>DEMOCRATIC REPUBLIC OF CONGO</w:t>
      </w:r>
    </w:p>
    <w:p w14:paraId="06425866" w14:textId="77777777" w:rsidR="001E1094" w:rsidRDefault="001E1094" w:rsidP="001E1094">
      <w:pPr>
        <w:jc w:val="center"/>
        <w:rPr>
          <w:rFonts w:ascii="Arial" w:hAnsi="Arial"/>
          <w:b/>
          <w:sz w:val="36"/>
        </w:rPr>
      </w:pPr>
    </w:p>
    <w:p w14:paraId="491E978F" w14:textId="448C3F60" w:rsidR="00457E0A" w:rsidRPr="00EE765D" w:rsidRDefault="00457E0A" w:rsidP="00EE765D">
      <w:pPr>
        <w:pStyle w:val="ListParagraph"/>
        <w:numPr>
          <w:ilvl w:val="0"/>
          <w:numId w:val="3"/>
        </w:numPr>
        <w:contextualSpacing w:val="0"/>
        <w:rPr>
          <w:rFonts w:ascii="Arial" w:hAnsi="Arial" w:cs="Arial"/>
          <w:b/>
          <w:sz w:val="26"/>
          <w:szCs w:val="26"/>
        </w:rPr>
      </w:pPr>
      <w:r w:rsidRPr="00527C9D">
        <w:rPr>
          <w:rFonts w:ascii="Arial" w:hAnsi="Arial" w:cs="Arial"/>
          <w:b/>
          <w:sz w:val="26"/>
          <w:szCs w:val="26"/>
        </w:rPr>
        <w:t xml:space="preserve">Progress towards achievement of GVAP goals </w:t>
      </w:r>
    </w:p>
    <w:p w14:paraId="35A92CE8" w14:textId="77777777" w:rsidR="00163179" w:rsidRPr="00527C9D" w:rsidRDefault="00C67C9D" w:rsidP="00163179">
      <w:pPr>
        <w:pStyle w:val="ListParagraph"/>
        <w:numPr>
          <w:ilvl w:val="0"/>
          <w:numId w:val="1"/>
        </w:numPr>
        <w:rPr>
          <w:rFonts w:ascii="Arial" w:hAnsi="Arial" w:cs="Arial"/>
          <w:b/>
          <w:sz w:val="24"/>
          <w:szCs w:val="24"/>
        </w:rPr>
      </w:pPr>
      <w:r w:rsidRPr="00527C9D">
        <w:rPr>
          <w:rFonts w:ascii="Arial" w:hAnsi="Arial" w:cs="Arial"/>
          <w:b/>
          <w:sz w:val="24"/>
          <w:szCs w:val="24"/>
        </w:rPr>
        <w:t xml:space="preserve">Summary </w:t>
      </w:r>
    </w:p>
    <w:p w14:paraId="362C7F99" w14:textId="77777777" w:rsidR="00BA2589" w:rsidRDefault="00BA2589" w:rsidP="00696E6A">
      <w:pPr>
        <w:rPr>
          <w:rFonts w:ascii="Arial" w:hAnsi="Arial" w:cs="Arial"/>
        </w:rPr>
      </w:pPr>
      <w:r w:rsidRPr="0000352E">
        <w:rPr>
          <w:rFonts w:ascii="Arial" w:hAnsi="Arial" w:cs="Arial"/>
        </w:rPr>
        <w:t xml:space="preserve">This </w:t>
      </w:r>
      <w:r w:rsidR="006C334B">
        <w:rPr>
          <w:rFonts w:ascii="Arial" w:hAnsi="Arial" w:cs="Arial"/>
        </w:rPr>
        <w:t xml:space="preserve">summary table describes </w:t>
      </w:r>
      <w:r w:rsidRPr="0000352E">
        <w:rPr>
          <w:rFonts w:ascii="Arial" w:hAnsi="Arial" w:cs="Arial"/>
        </w:rPr>
        <w:t xml:space="preserve">the current situation in DRC regarding achieving the GVAP </w:t>
      </w:r>
      <w:proofErr w:type="gramStart"/>
      <w:r w:rsidRPr="0000352E">
        <w:rPr>
          <w:rFonts w:ascii="Arial" w:hAnsi="Arial" w:cs="Arial"/>
        </w:rPr>
        <w:t>goals</w:t>
      </w:r>
      <w:proofErr w:type="gramEnd"/>
      <w:r w:rsidRPr="0000352E">
        <w:rPr>
          <w:rFonts w:ascii="Arial" w:hAnsi="Arial" w:cs="Arial"/>
        </w:rPr>
        <w:t>.</w:t>
      </w:r>
      <w:r w:rsidR="00527C9D">
        <w:rPr>
          <w:rFonts w:ascii="Arial" w:hAnsi="Arial" w:cs="Arial"/>
        </w:rPr>
        <w:t xml:space="preserve"> </w:t>
      </w:r>
      <w:r w:rsidR="00500171">
        <w:rPr>
          <w:rFonts w:ascii="Arial" w:hAnsi="Arial" w:cs="Arial"/>
        </w:rPr>
        <w:t>D</w:t>
      </w:r>
      <w:r w:rsidR="00696E6A">
        <w:rPr>
          <w:rFonts w:ascii="Arial" w:hAnsi="Arial" w:cs="Arial"/>
        </w:rPr>
        <w:t xml:space="preserve">ata </w:t>
      </w:r>
      <w:r w:rsidR="00E11B99">
        <w:rPr>
          <w:rFonts w:ascii="Arial" w:hAnsi="Arial" w:cs="Arial"/>
        </w:rPr>
        <w:t xml:space="preserve">used to assess progress towards achievement of </w:t>
      </w:r>
      <w:r w:rsidR="00696E6A">
        <w:rPr>
          <w:rFonts w:ascii="Arial" w:hAnsi="Arial" w:cs="Arial"/>
        </w:rPr>
        <w:t xml:space="preserve">GVAP goals are included in the annex (Country </w:t>
      </w:r>
      <w:r w:rsidR="00D00DC6">
        <w:rPr>
          <w:rFonts w:ascii="Arial" w:hAnsi="Arial" w:cs="Arial"/>
        </w:rPr>
        <w:t xml:space="preserve">immunization </w:t>
      </w:r>
      <w:r w:rsidR="00696E6A">
        <w:rPr>
          <w:rFonts w:ascii="Arial" w:hAnsi="Arial" w:cs="Arial"/>
        </w:rPr>
        <w:t>profile).</w:t>
      </w:r>
    </w:p>
    <w:tbl>
      <w:tblPr>
        <w:tblW w:w="9420" w:type="dxa"/>
        <w:jc w:val="center"/>
        <w:tblLook w:val="04A0" w:firstRow="1" w:lastRow="0" w:firstColumn="1" w:lastColumn="0" w:noHBand="0" w:noVBand="1"/>
      </w:tblPr>
      <w:tblGrid>
        <w:gridCol w:w="3220"/>
        <w:gridCol w:w="3900"/>
        <w:gridCol w:w="2300"/>
      </w:tblGrid>
      <w:tr w:rsidR="004873D9" w:rsidRPr="004873D9" w14:paraId="5DB6CA61" w14:textId="77777777" w:rsidTr="00C2711B">
        <w:trPr>
          <w:trHeight w:val="440"/>
          <w:tblHeader/>
          <w:jc w:val="center"/>
        </w:trPr>
        <w:tc>
          <w:tcPr>
            <w:tcW w:w="32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7D6B7" w14:textId="77777777" w:rsidR="004873D9" w:rsidRPr="004873D9" w:rsidRDefault="004873D9" w:rsidP="00AD1B7E">
            <w:pPr>
              <w:spacing w:after="0" w:line="240" w:lineRule="auto"/>
              <w:jc w:val="center"/>
              <w:rPr>
                <w:rFonts w:ascii="Calibri" w:eastAsia="Times New Roman" w:hAnsi="Calibri" w:cs="Calibri"/>
                <w:b/>
                <w:bCs/>
                <w:color w:val="000000"/>
                <w:sz w:val="28"/>
                <w:szCs w:val="28"/>
                <w:lang w:eastAsia="en-GB"/>
              </w:rPr>
            </w:pPr>
            <w:r w:rsidRPr="004873D9">
              <w:rPr>
                <w:rFonts w:ascii="Calibri" w:eastAsia="Times New Roman" w:hAnsi="Calibri" w:cs="Calibri"/>
                <w:b/>
                <w:bCs/>
                <w:color w:val="000000"/>
                <w:sz w:val="28"/>
                <w:szCs w:val="28"/>
                <w:lang w:eastAsia="en-GB"/>
              </w:rPr>
              <w:t>Area</w:t>
            </w:r>
          </w:p>
        </w:tc>
        <w:tc>
          <w:tcPr>
            <w:tcW w:w="3900" w:type="dxa"/>
            <w:tcBorders>
              <w:top w:val="single" w:sz="4" w:space="0" w:color="auto"/>
              <w:left w:val="nil"/>
              <w:bottom w:val="single" w:sz="4" w:space="0" w:color="auto"/>
              <w:right w:val="single" w:sz="4" w:space="0" w:color="auto"/>
            </w:tcBorders>
            <w:shd w:val="clear" w:color="auto" w:fill="auto"/>
            <w:vAlign w:val="center"/>
            <w:hideMark/>
          </w:tcPr>
          <w:p w14:paraId="676504EB" w14:textId="77777777" w:rsidR="004873D9" w:rsidRPr="004873D9" w:rsidRDefault="004873D9" w:rsidP="00AD1B7E">
            <w:pPr>
              <w:spacing w:after="0" w:line="240" w:lineRule="auto"/>
              <w:jc w:val="center"/>
              <w:rPr>
                <w:rFonts w:ascii="Calibri" w:eastAsia="Times New Roman" w:hAnsi="Calibri" w:cs="Calibri"/>
                <w:b/>
                <w:bCs/>
                <w:color w:val="000000"/>
                <w:sz w:val="28"/>
                <w:szCs w:val="28"/>
                <w:lang w:eastAsia="en-GB"/>
              </w:rPr>
            </w:pPr>
            <w:r w:rsidRPr="004873D9">
              <w:rPr>
                <w:rFonts w:ascii="Calibri" w:eastAsia="Times New Roman" w:hAnsi="Calibri" w:cs="Calibri"/>
                <w:b/>
                <w:bCs/>
                <w:color w:val="000000"/>
                <w:sz w:val="28"/>
                <w:szCs w:val="28"/>
                <w:lang w:eastAsia="en-GB"/>
              </w:rPr>
              <w:t>Indicator</w:t>
            </w:r>
          </w:p>
        </w:tc>
        <w:tc>
          <w:tcPr>
            <w:tcW w:w="2300" w:type="dxa"/>
            <w:tcBorders>
              <w:top w:val="single" w:sz="4" w:space="0" w:color="auto"/>
              <w:left w:val="nil"/>
              <w:bottom w:val="single" w:sz="4" w:space="0" w:color="auto"/>
              <w:right w:val="single" w:sz="4" w:space="0" w:color="auto"/>
            </w:tcBorders>
            <w:shd w:val="clear" w:color="auto" w:fill="auto"/>
            <w:vAlign w:val="center"/>
            <w:hideMark/>
          </w:tcPr>
          <w:p w14:paraId="297A8E6E" w14:textId="77777777" w:rsidR="004873D9" w:rsidRPr="004873D9" w:rsidRDefault="004873D9" w:rsidP="00AD1B7E">
            <w:pPr>
              <w:spacing w:after="0" w:line="240" w:lineRule="auto"/>
              <w:jc w:val="center"/>
              <w:rPr>
                <w:rFonts w:ascii="Calibri" w:eastAsia="Times New Roman" w:hAnsi="Calibri" w:cs="Calibri"/>
                <w:b/>
                <w:bCs/>
                <w:color w:val="000000"/>
                <w:sz w:val="28"/>
                <w:szCs w:val="28"/>
                <w:lang w:eastAsia="en-GB"/>
              </w:rPr>
            </w:pPr>
            <w:r w:rsidRPr="004873D9">
              <w:rPr>
                <w:rFonts w:ascii="Calibri" w:eastAsia="Times New Roman" w:hAnsi="Calibri" w:cs="Calibri"/>
                <w:b/>
                <w:bCs/>
                <w:color w:val="000000"/>
                <w:sz w:val="28"/>
                <w:szCs w:val="28"/>
                <w:lang w:eastAsia="en-GB"/>
              </w:rPr>
              <w:t>DR Congo</w:t>
            </w:r>
          </w:p>
        </w:tc>
      </w:tr>
      <w:tr w:rsidR="00527C9D" w:rsidRPr="004873D9" w14:paraId="4773157D" w14:textId="77777777" w:rsidTr="00527C9D">
        <w:trPr>
          <w:trHeight w:val="300"/>
          <w:jc w:val="center"/>
        </w:trPr>
        <w:tc>
          <w:tcPr>
            <w:tcW w:w="3220" w:type="dxa"/>
            <w:vMerge w:val="restart"/>
            <w:tcBorders>
              <w:top w:val="nil"/>
              <w:left w:val="single" w:sz="4" w:space="0" w:color="auto"/>
              <w:right w:val="single" w:sz="4" w:space="0" w:color="auto"/>
            </w:tcBorders>
            <w:shd w:val="clear" w:color="auto" w:fill="auto"/>
            <w:hideMark/>
          </w:tcPr>
          <w:p w14:paraId="487EE2D3" w14:textId="77777777" w:rsidR="00527C9D" w:rsidRPr="004873D9" w:rsidRDefault="00527C9D" w:rsidP="00527C9D">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Socio-demographic</w:t>
            </w:r>
          </w:p>
        </w:tc>
        <w:tc>
          <w:tcPr>
            <w:tcW w:w="3900" w:type="dxa"/>
            <w:tcBorders>
              <w:top w:val="nil"/>
              <w:left w:val="nil"/>
              <w:bottom w:val="single" w:sz="4" w:space="0" w:color="auto"/>
              <w:right w:val="single" w:sz="4" w:space="0" w:color="auto"/>
            </w:tcBorders>
            <w:shd w:val="clear" w:color="auto" w:fill="auto"/>
            <w:vAlign w:val="center"/>
            <w:hideMark/>
          </w:tcPr>
          <w:p w14:paraId="46D08E98" w14:textId="446E5ABD" w:rsidR="00527C9D" w:rsidRPr="004873D9" w:rsidRDefault="00527C9D" w:rsidP="00B7182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GNI 201</w:t>
            </w:r>
            <w:r w:rsidR="00B7182E">
              <w:rPr>
                <w:rFonts w:ascii="Calibri" w:eastAsia="Times New Roman" w:hAnsi="Calibri" w:cs="Calibri"/>
                <w:b/>
                <w:bCs/>
                <w:color w:val="000000"/>
                <w:lang w:eastAsia="en-GB"/>
              </w:rPr>
              <w:t>5</w:t>
            </w:r>
          </w:p>
        </w:tc>
        <w:tc>
          <w:tcPr>
            <w:tcW w:w="2300" w:type="dxa"/>
            <w:tcBorders>
              <w:top w:val="nil"/>
              <w:left w:val="nil"/>
              <w:bottom w:val="single" w:sz="4" w:space="0" w:color="auto"/>
              <w:right w:val="single" w:sz="4" w:space="0" w:color="auto"/>
            </w:tcBorders>
            <w:shd w:val="clear" w:color="auto" w:fill="auto"/>
            <w:vAlign w:val="center"/>
            <w:hideMark/>
          </w:tcPr>
          <w:p w14:paraId="49FB442C"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410</w:t>
            </w:r>
          </w:p>
        </w:tc>
      </w:tr>
      <w:tr w:rsidR="00527C9D" w:rsidRPr="004873D9" w14:paraId="1076AE86" w14:textId="77777777" w:rsidTr="00527C9D">
        <w:trPr>
          <w:trHeight w:val="422"/>
          <w:jc w:val="center"/>
        </w:trPr>
        <w:tc>
          <w:tcPr>
            <w:tcW w:w="3220" w:type="dxa"/>
            <w:vMerge/>
            <w:tcBorders>
              <w:left w:val="single" w:sz="4" w:space="0" w:color="auto"/>
              <w:right w:val="single" w:sz="4" w:space="0" w:color="auto"/>
            </w:tcBorders>
            <w:shd w:val="clear" w:color="auto" w:fill="auto"/>
            <w:vAlign w:val="center"/>
          </w:tcPr>
          <w:p w14:paraId="250C3D85"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auto" w:fill="auto"/>
            <w:vAlign w:val="center"/>
            <w:hideMark/>
          </w:tcPr>
          <w:p w14:paraId="61A0DA60" w14:textId="77777777" w:rsidR="00527C9D" w:rsidRPr="004873D9" w:rsidRDefault="00527C9D" w:rsidP="00527C9D">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WB income category</w:t>
            </w:r>
          </w:p>
        </w:tc>
        <w:tc>
          <w:tcPr>
            <w:tcW w:w="2300" w:type="dxa"/>
            <w:tcBorders>
              <w:top w:val="nil"/>
              <w:left w:val="nil"/>
              <w:bottom w:val="single" w:sz="4" w:space="0" w:color="auto"/>
              <w:right w:val="single" w:sz="4" w:space="0" w:color="auto"/>
            </w:tcBorders>
            <w:shd w:val="clear" w:color="auto" w:fill="auto"/>
            <w:vAlign w:val="center"/>
            <w:hideMark/>
          </w:tcPr>
          <w:p w14:paraId="72E68484"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Low income</w:t>
            </w:r>
          </w:p>
        </w:tc>
      </w:tr>
      <w:tr w:rsidR="00527C9D" w:rsidRPr="004873D9" w14:paraId="7CEB3665" w14:textId="77777777" w:rsidTr="00886641">
        <w:trPr>
          <w:trHeight w:val="600"/>
          <w:jc w:val="center"/>
        </w:trPr>
        <w:tc>
          <w:tcPr>
            <w:tcW w:w="3220" w:type="dxa"/>
            <w:vMerge/>
            <w:tcBorders>
              <w:left w:val="single" w:sz="4" w:space="0" w:color="auto"/>
              <w:right w:val="single" w:sz="4" w:space="0" w:color="auto"/>
            </w:tcBorders>
            <w:shd w:val="clear" w:color="auto" w:fill="auto"/>
            <w:vAlign w:val="center"/>
          </w:tcPr>
          <w:p w14:paraId="3411F3D1"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auto" w:fill="auto"/>
            <w:vAlign w:val="center"/>
            <w:hideMark/>
          </w:tcPr>
          <w:p w14:paraId="2FC3680D" w14:textId="77777777" w:rsidR="00527C9D" w:rsidRPr="00527C9D" w:rsidRDefault="00527C9D" w:rsidP="00527C9D">
            <w:pPr>
              <w:spacing w:after="0" w:line="240" w:lineRule="auto"/>
              <w:rPr>
                <w:rFonts w:ascii="Calibri" w:eastAsia="Times New Roman" w:hAnsi="Calibri" w:cs="Calibri"/>
                <w:b/>
                <w:bCs/>
                <w:color w:val="000000"/>
                <w:lang w:val="fr-FR" w:eastAsia="en-GB"/>
              </w:rPr>
            </w:pPr>
            <w:r w:rsidRPr="00527C9D">
              <w:rPr>
                <w:rFonts w:ascii="Calibri" w:eastAsia="Times New Roman" w:hAnsi="Calibri" w:cs="Calibri"/>
                <w:b/>
                <w:bCs/>
                <w:color w:val="000000"/>
                <w:lang w:val="fr-FR" w:eastAsia="en-GB"/>
              </w:rPr>
              <w:t xml:space="preserve">Infant </w:t>
            </w:r>
            <w:proofErr w:type="spellStart"/>
            <w:r w:rsidRPr="00527C9D">
              <w:rPr>
                <w:rFonts w:ascii="Calibri" w:eastAsia="Times New Roman" w:hAnsi="Calibri" w:cs="Calibri"/>
                <w:b/>
                <w:bCs/>
                <w:color w:val="000000"/>
                <w:lang w:val="fr-FR" w:eastAsia="en-GB"/>
              </w:rPr>
              <w:t>mortality</w:t>
            </w:r>
            <w:proofErr w:type="spellEnd"/>
            <w:r w:rsidRPr="00527C9D">
              <w:rPr>
                <w:rFonts w:ascii="Calibri" w:eastAsia="Times New Roman" w:hAnsi="Calibri" w:cs="Calibri"/>
                <w:b/>
                <w:bCs/>
                <w:color w:val="000000"/>
                <w:lang w:val="fr-FR" w:eastAsia="en-GB"/>
              </w:rPr>
              <w:t xml:space="preserve"> (&lt;12 </w:t>
            </w:r>
            <w:r>
              <w:rPr>
                <w:rFonts w:ascii="Calibri" w:eastAsia="Times New Roman" w:hAnsi="Calibri" w:cs="Calibri"/>
                <w:b/>
                <w:bCs/>
                <w:color w:val="000000"/>
                <w:lang w:val="fr-FR" w:eastAsia="en-GB"/>
              </w:rPr>
              <w:t>mo.</w:t>
            </w:r>
            <w:r w:rsidRPr="00527C9D">
              <w:rPr>
                <w:rFonts w:ascii="Calibri" w:eastAsia="Times New Roman" w:hAnsi="Calibri" w:cs="Calibri"/>
                <w:b/>
                <w:bCs/>
                <w:color w:val="000000"/>
                <w:lang w:val="fr-FR" w:eastAsia="en-GB"/>
              </w:rPr>
              <w:t xml:space="preserve">) 2015 </w:t>
            </w:r>
            <w:r>
              <w:rPr>
                <w:rFonts w:ascii="Calibri" w:eastAsia="Times New Roman" w:hAnsi="Calibri" w:cs="Calibri"/>
                <w:b/>
                <w:bCs/>
                <w:color w:val="000000"/>
                <w:lang w:val="fr-FR" w:eastAsia="en-GB"/>
              </w:rPr>
              <w:t>(</w:t>
            </w:r>
            <w:r w:rsidRPr="00527C9D">
              <w:rPr>
                <w:rFonts w:ascii="Calibri" w:eastAsia="Times New Roman" w:hAnsi="Calibri" w:cs="Calibri"/>
                <w:b/>
                <w:bCs/>
                <w:color w:val="000000"/>
                <w:lang w:val="fr-FR" w:eastAsia="en-GB"/>
              </w:rPr>
              <w:t>UN IAG CME</w:t>
            </w:r>
            <w:r>
              <w:rPr>
                <w:rFonts w:ascii="Calibri" w:eastAsia="Times New Roman" w:hAnsi="Calibri" w:cs="Calibri"/>
                <w:b/>
                <w:bCs/>
                <w:color w:val="000000"/>
                <w:lang w:val="fr-FR" w:eastAsia="en-GB"/>
              </w:rPr>
              <w:t>)</w:t>
            </w:r>
          </w:p>
        </w:tc>
        <w:tc>
          <w:tcPr>
            <w:tcW w:w="2300" w:type="dxa"/>
            <w:tcBorders>
              <w:top w:val="nil"/>
              <w:left w:val="nil"/>
              <w:bottom w:val="single" w:sz="4" w:space="0" w:color="auto"/>
              <w:right w:val="single" w:sz="4" w:space="0" w:color="auto"/>
            </w:tcBorders>
            <w:shd w:val="clear" w:color="auto" w:fill="auto"/>
            <w:vAlign w:val="center"/>
            <w:hideMark/>
          </w:tcPr>
          <w:p w14:paraId="767B8D5E"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75</w:t>
            </w:r>
          </w:p>
        </w:tc>
      </w:tr>
      <w:tr w:rsidR="00527C9D" w:rsidRPr="004873D9" w14:paraId="27443199" w14:textId="77777777" w:rsidTr="00886641">
        <w:trPr>
          <w:trHeight w:val="300"/>
          <w:jc w:val="center"/>
        </w:trPr>
        <w:tc>
          <w:tcPr>
            <w:tcW w:w="3220" w:type="dxa"/>
            <w:vMerge/>
            <w:tcBorders>
              <w:left w:val="single" w:sz="4" w:space="0" w:color="auto"/>
              <w:right w:val="single" w:sz="4" w:space="0" w:color="auto"/>
            </w:tcBorders>
            <w:shd w:val="clear" w:color="auto" w:fill="auto"/>
            <w:vAlign w:val="center"/>
          </w:tcPr>
          <w:p w14:paraId="6692CC95"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auto" w:fill="auto"/>
            <w:vAlign w:val="center"/>
            <w:hideMark/>
          </w:tcPr>
          <w:p w14:paraId="28BF4EC4" w14:textId="77777777" w:rsidR="00527C9D" w:rsidRPr="004873D9" w:rsidRDefault="00527C9D" w:rsidP="004873D9">
            <w:pPr>
              <w:spacing w:after="0" w:line="240" w:lineRule="auto"/>
              <w:rPr>
                <w:rFonts w:ascii="Calibri" w:eastAsia="Times New Roman" w:hAnsi="Calibri" w:cs="Calibri"/>
                <w:b/>
                <w:bCs/>
                <w:color w:val="000000"/>
                <w:lang w:eastAsia="en-GB"/>
              </w:rPr>
            </w:pPr>
            <w:proofErr w:type="spellStart"/>
            <w:r w:rsidRPr="004873D9">
              <w:rPr>
                <w:rFonts w:ascii="Calibri" w:eastAsia="Times New Roman" w:hAnsi="Calibri" w:cs="Calibri"/>
                <w:b/>
                <w:bCs/>
                <w:color w:val="000000"/>
                <w:lang w:eastAsia="en-GB"/>
              </w:rPr>
              <w:t>Gavi</w:t>
            </w:r>
            <w:proofErr w:type="spellEnd"/>
            <w:r>
              <w:rPr>
                <w:rFonts w:ascii="Calibri" w:eastAsia="Times New Roman" w:hAnsi="Calibri" w:cs="Calibri"/>
                <w:b/>
                <w:bCs/>
                <w:color w:val="000000"/>
                <w:lang w:eastAsia="en-GB"/>
              </w:rPr>
              <w:t xml:space="preserve"> s</w:t>
            </w:r>
            <w:r w:rsidRPr="004873D9">
              <w:rPr>
                <w:rFonts w:ascii="Calibri" w:eastAsia="Times New Roman" w:hAnsi="Calibri" w:cs="Calibri"/>
                <w:b/>
                <w:bCs/>
                <w:color w:val="000000"/>
                <w:lang w:eastAsia="en-GB"/>
              </w:rPr>
              <w:t>tatus</w:t>
            </w:r>
          </w:p>
        </w:tc>
        <w:tc>
          <w:tcPr>
            <w:tcW w:w="2300" w:type="dxa"/>
            <w:tcBorders>
              <w:top w:val="nil"/>
              <w:left w:val="nil"/>
              <w:bottom w:val="single" w:sz="4" w:space="0" w:color="auto"/>
              <w:right w:val="single" w:sz="4" w:space="0" w:color="auto"/>
            </w:tcBorders>
            <w:shd w:val="clear" w:color="auto" w:fill="auto"/>
            <w:vAlign w:val="center"/>
            <w:hideMark/>
          </w:tcPr>
          <w:p w14:paraId="4E3D787D"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Eligible</w:t>
            </w:r>
          </w:p>
        </w:tc>
      </w:tr>
      <w:tr w:rsidR="00527C9D" w:rsidRPr="004873D9" w14:paraId="65A5AB4B" w14:textId="77777777" w:rsidTr="00EE1C5C">
        <w:trPr>
          <w:trHeight w:val="395"/>
          <w:jc w:val="center"/>
        </w:trPr>
        <w:tc>
          <w:tcPr>
            <w:tcW w:w="3220" w:type="dxa"/>
            <w:vMerge/>
            <w:tcBorders>
              <w:left w:val="single" w:sz="4" w:space="0" w:color="auto"/>
              <w:right w:val="single" w:sz="4" w:space="0" w:color="auto"/>
            </w:tcBorders>
            <w:shd w:val="clear" w:color="auto" w:fill="auto"/>
            <w:vAlign w:val="center"/>
          </w:tcPr>
          <w:p w14:paraId="7E2F7A6B"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auto" w:fill="auto"/>
            <w:vAlign w:val="center"/>
            <w:hideMark/>
          </w:tcPr>
          <w:p w14:paraId="7E7851C7" w14:textId="77777777" w:rsidR="00527C9D" w:rsidRPr="004873D9" w:rsidRDefault="00527C9D" w:rsidP="004873D9">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Total p</w:t>
            </w:r>
            <w:r w:rsidRPr="004873D9">
              <w:rPr>
                <w:rFonts w:ascii="Calibri" w:eastAsia="Times New Roman" w:hAnsi="Calibri" w:cs="Calibri"/>
                <w:b/>
                <w:bCs/>
                <w:color w:val="000000"/>
                <w:lang w:eastAsia="en-GB"/>
              </w:rPr>
              <w:t>opulation</w:t>
            </w:r>
          </w:p>
        </w:tc>
        <w:tc>
          <w:tcPr>
            <w:tcW w:w="2300" w:type="dxa"/>
            <w:tcBorders>
              <w:top w:val="nil"/>
              <w:left w:val="nil"/>
              <w:bottom w:val="single" w:sz="4" w:space="0" w:color="auto"/>
              <w:right w:val="single" w:sz="4" w:space="0" w:color="auto"/>
            </w:tcBorders>
            <w:shd w:val="clear" w:color="auto" w:fill="auto"/>
            <w:vAlign w:val="center"/>
            <w:hideMark/>
          </w:tcPr>
          <w:p w14:paraId="68E649AF" w14:textId="5974471A"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77,267,000</w:t>
            </w:r>
          </w:p>
        </w:tc>
      </w:tr>
      <w:tr w:rsidR="00527C9D" w:rsidRPr="004873D9" w14:paraId="756C6439" w14:textId="77777777" w:rsidTr="00EE1C5C">
        <w:trPr>
          <w:trHeight w:val="350"/>
          <w:jc w:val="center"/>
        </w:trPr>
        <w:tc>
          <w:tcPr>
            <w:tcW w:w="3220" w:type="dxa"/>
            <w:vMerge/>
            <w:tcBorders>
              <w:left w:val="single" w:sz="4" w:space="0" w:color="auto"/>
              <w:right w:val="single" w:sz="4" w:space="0" w:color="auto"/>
            </w:tcBorders>
            <w:shd w:val="clear" w:color="auto" w:fill="auto"/>
            <w:vAlign w:val="center"/>
          </w:tcPr>
          <w:p w14:paraId="1FA94B98"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auto" w:fill="auto"/>
            <w:vAlign w:val="center"/>
            <w:hideMark/>
          </w:tcPr>
          <w:p w14:paraId="3CC5B68C" w14:textId="77777777" w:rsidR="00527C9D" w:rsidRPr="004873D9" w:rsidRDefault="00527C9D" w:rsidP="004873D9">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Birth c</w:t>
            </w:r>
            <w:r w:rsidRPr="004873D9">
              <w:rPr>
                <w:rFonts w:ascii="Calibri" w:eastAsia="Times New Roman" w:hAnsi="Calibri" w:cs="Calibri"/>
                <w:b/>
                <w:bCs/>
                <w:color w:val="000000"/>
                <w:lang w:eastAsia="en-GB"/>
              </w:rPr>
              <w:t>ohort</w:t>
            </w:r>
          </w:p>
        </w:tc>
        <w:tc>
          <w:tcPr>
            <w:tcW w:w="2300" w:type="dxa"/>
            <w:tcBorders>
              <w:top w:val="nil"/>
              <w:left w:val="nil"/>
              <w:bottom w:val="single" w:sz="4" w:space="0" w:color="auto"/>
              <w:right w:val="single" w:sz="4" w:space="0" w:color="auto"/>
            </w:tcBorders>
            <w:shd w:val="clear" w:color="auto" w:fill="auto"/>
            <w:vAlign w:val="center"/>
            <w:hideMark/>
          </w:tcPr>
          <w:p w14:paraId="07F8F8C5"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3,127,000</w:t>
            </w:r>
          </w:p>
        </w:tc>
      </w:tr>
      <w:tr w:rsidR="00527C9D" w:rsidRPr="004873D9" w14:paraId="3EA21813" w14:textId="77777777" w:rsidTr="00886641">
        <w:trPr>
          <w:trHeight w:val="300"/>
          <w:jc w:val="center"/>
        </w:trPr>
        <w:tc>
          <w:tcPr>
            <w:tcW w:w="3220" w:type="dxa"/>
            <w:vMerge/>
            <w:tcBorders>
              <w:left w:val="single" w:sz="4" w:space="0" w:color="auto"/>
              <w:bottom w:val="single" w:sz="4" w:space="0" w:color="auto"/>
              <w:right w:val="single" w:sz="4" w:space="0" w:color="auto"/>
            </w:tcBorders>
            <w:shd w:val="clear" w:color="auto" w:fill="auto"/>
            <w:vAlign w:val="center"/>
          </w:tcPr>
          <w:p w14:paraId="5A4DC38F"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auto" w:fill="auto"/>
            <w:vAlign w:val="center"/>
            <w:hideMark/>
          </w:tcPr>
          <w:p w14:paraId="745431AB" w14:textId="77777777" w:rsidR="00527C9D" w:rsidRPr="004873D9" w:rsidRDefault="00527C9D"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Surviving Infants (JRF)</w:t>
            </w:r>
          </w:p>
        </w:tc>
        <w:tc>
          <w:tcPr>
            <w:tcW w:w="2300" w:type="dxa"/>
            <w:tcBorders>
              <w:top w:val="nil"/>
              <w:left w:val="nil"/>
              <w:bottom w:val="single" w:sz="4" w:space="0" w:color="auto"/>
              <w:right w:val="single" w:sz="4" w:space="0" w:color="auto"/>
            </w:tcBorders>
            <w:shd w:val="clear" w:color="auto" w:fill="auto"/>
            <w:vAlign w:val="center"/>
            <w:hideMark/>
          </w:tcPr>
          <w:p w14:paraId="5D025C77"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2,994,000</w:t>
            </w:r>
          </w:p>
        </w:tc>
      </w:tr>
      <w:tr w:rsidR="00527C9D" w:rsidRPr="004873D9" w14:paraId="0DB1DF82" w14:textId="77777777" w:rsidTr="00527C9D">
        <w:trPr>
          <w:trHeight w:val="395"/>
          <w:jc w:val="center"/>
        </w:trPr>
        <w:tc>
          <w:tcPr>
            <w:tcW w:w="3220" w:type="dxa"/>
            <w:vMerge w:val="restart"/>
            <w:tcBorders>
              <w:top w:val="nil"/>
              <w:left w:val="single" w:sz="4" w:space="0" w:color="auto"/>
              <w:right w:val="single" w:sz="4" w:space="0" w:color="auto"/>
            </w:tcBorders>
            <w:shd w:val="clear" w:color="000000" w:fill="DDD9C4"/>
            <w:hideMark/>
          </w:tcPr>
          <w:p w14:paraId="6B825862" w14:textId="77777777" w:rsidR="00527C9D" w:rsidRPr="004873D9" w:rsidRDefault="00527C9D" w:rsidP="00527C9D">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1. Interrupt wild poliovirus transmission</w:t>
            </w:r>
          </w:p>
        </w:tc>
        <w:tc>
          <w:tcPr>
            <w:tcW w:w="3900" w:type="dxa"/>
            <w:tcBorders>
              <w:top w:val="nil"/>
              <w:left w:val="nil"/>
              <w:bottom w:val="single" w:sz="4" w:space="0" w:color="auto"/>
              <w:right w:val="single" w:sz="4" w:space="0" w:color="auto"/>
            </w:tcBorders>
            <w:shd w:val="clear" w:color="000000" w:fill="DDD9C4"/>
            <w:vAlign w:val="center"/>
            <w:hideMark/>
          </w:tcPr>
          <w:p w14:paraId="02858C62" w14:textId="77777777" w:rsidR="00527C9D" w:rsidRPr="004873D9" w:rsidRDefault="00527C9D"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Transmission Interrupted</w:t>
            </w:r>
          </w:p>
        </w:tc>
        <w:tc>
          <w:tcPr>
            <w:tcW w:w="2300" w:type="dxa"/>
            <w:tcBorders>
              <w:top w:val="nil"/>
              <w:left w:val="nil"/>
              <w:bottom w:val="single" w:sz="4" w:space="0" w:color="auto"/>
              <w:right w:val="single" w:sz="4" w:space="0" w:color="auto"/>
            </w:tcBorders>
            <w:shd w:val="clear" w:color="000000" w:fill="00B050"/>
            <w:vAlign w:val="center"/>
            <w:hideMark/>
          </w:tcPr>
          <w:p w14:paraId="58674AEA"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Yes</w:t>
            </w:r>
            <w:r>
              <w:rPr>
                <w:rFonts w:ascii="Calibri" w:eastAsia="Times New Roman" w:hAnsi="Calibri" w:cs="Calibri"/>
                <w:b/>
                <w:bCs/>
                <w:color w:val="000000"/>
                <w:lang w:eastAsia="en-GB"/>
              </w:rPr>
              <w:t xml:space="preserve"> (since 2012)</w:t>
            </w:r>
          </w:p>
        </w:tc>
      </w:tr>
      <w:tr w:rsidR="00527C9D" w:rsidRPr="004873D9" w14:paraId="1E8063DC" w14:textId="77777777" w:rsidTr="00886641">
        <w:trPr>
          <w:trHeight w:val="900"/>
          <w:jc w:val="center"/>
        </w:trPr>
        <w:tc>
          <w:tcPr>
            <w:tcW w:w="3220" w:type="dxa"/>
            <w:vMerge/>
            <w:tcBorders>
              <w:left w:val="single" w:sz="4" w:space="0" w:color="auto"/>
              <w:right w:val="single" w:sz="4" w:space="0" w:color="auto"/>
            </w:tcBorders>
            <w:shd w:val="clear" w:color="000000" w:fill="DDD9C4"/>
            <w:vAlign w:val="center"/>
          </w:tcPr>
          <w:p w14:paraId="7BD8494D"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DDD9C4"/>
            <w:vAlign w:val="center"/>
            <w:hideMark/>
          </w:tcPr>
          <w:p w14:paraId="33810F53" w14:textId="77777777" w:rsidR="00527C9D" w:rsidRPr="004873D9" w:rsidRDefault="00527C9D" w:rsidP="004873D9">
            <w:pPr>
              <w:spacing w:after="0" w:line="240" w:lineRule="auto"/>
              <w:rPr>
                <w:rFonts w:ascii="Calibri" w:eastAsia="Times New Roman" w:hAnsi="Calibri" w:cs="Calibri"/>
                <w:b/>
                <w:bCs/>
                <w:lang w:eastAsia="en-GB"/>
              </w:rPr>
            </w:pPr>
            <w:r w:rsidRPr="004873D9">
              <w:rPr>
                <w:rFonts w:ascii="Calibri" w:eastAsia="Times New Roman" w:hAnsi="Calibri" w:cs="Calibri"/>
                <w:b/>
                <w:bCs/>
                <w:lang w:eastAsia="en-GB"/>
              </w:rPr>
              <w:t>Risk of late detection</w:t>
            </w:r>
            <w:r w:rsidRPr="004873D9">
              <w:rPr>
                <w:rFonts w:ascii="Calibri" w:eastAsia="Times New Roman" w:hAnsi="Calibri" w:cs="Calibri"/>
                <w:b/>
                <w:bCs/>
                <w:lang w:eastAsia="en-GB"/>
              </w:rPr>
              <w:br/>
              <w:t xml:space="preserve">Percent of adequate stool specimens (Rolling 12m) </w:t>
            </w:r>
            <w:r>
              <w:rPr>
                <w:rFonts w:ascii="Calibri" w:eastAsia="Times New Roman" w:hAnsi="Calibri" w:cs="Calibri"/>
                <w:b/>
                <w:bCs/>
                <w:lang w:eastAsia="en-GB"/>
              </w:rPr>
              <w:t>(</w:t>
            </w:r>
            <w:r w:rsidRPr="004873D9">
              <w:rPr>
                <w:rFonts w:ascii="Calibri" w:eastAsia="Times New Roman" w:hAnsi="Calibri" w:cs="Calibri"/>
                <w:b/>
                <w:bCs/>
                <w:lang w:eastAsia="en-GB"/>
              </w:rPr>
              <w:t>Target &gt; 80%</w:t>
            </w:r>
            <w:r>
              <w:rPr>
                <w:rFonts w:ascii="Calibri" w:eastAsia="Times New Roman" w:hAnsi="Calibri" w:cs="Calibri"/>
                <w:b/>
                <w:bCs/>
                <w:lang w:eastAsia="en-GB"/>
              </w:rPr>
              <w:t>)</w:t>
            </w:r>
          </w:p>
        </w:tc>
        <w:tc>
          <w:tcPr>
            <w:tcW w:w="2300" w:type="dxa"/>
            <w:tcBorders>
              <w:top w:val="nil"/>
              <w:left w:val="nil"/>
              <w:bottom w:val="single" w:sz="4" w:space="0" w:color="auto"/>
              <w:right w:val="single" w:sz="4" w:space="0" w:color="auto"/>
            </w:tcBorders>
            <w:shd w:val="clear" w:color="000000" w:fill="00B050"/>
            <w:vAlign w:val="center"/>
            <w:hideMark/>
          </w:tcPr>
          <w:p w14:paraId="7935C2D5" w14:textId="589BD3A2" w:rsidR="00527C9D" w:rsidRPr="004873D9" w:rsidRDefault="00527C9D" w:rsidP="004873D9">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77%</w:t>
            </w:r>
          </w:p>
        </w:tc>
      </w:tr>
      <w:tr w:rsidR="00527C9D" w:rsidRPr="004873D9" w14:paraId="0CB2D6DC" w14:textId="77777777" w:rsidTr="00886641">
        <w:trPr>
          <w:trHeight w:val="900"/>
          <w:jc w:val="center"/>
        </w:trPr>
        <w:tc>
          <w:tcPr>
            <w:tcW w:w="3220" w:type="dxa"/>
            <w:vMerge/>
            <w:tcBorders>
              <w:left w:val="single" w:sz="4" w:space="0" w:color="auto"/>
              <w:right w:val="single" w:sz="4" w:space="0" w:color="auto"/>
            </w:tcBorders>
            <w:shd w:val="clear" w:color="000000" w:fill="DDD9C4"/>
            <w:vAlign w:val="center"/>
          </w:tcPr>
          <w:p w14:paraId="3E83B9C7"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DDD9C4"/>
            <w:vAlign w:val="center"/>
            <w:hideMark/>
          </w:tcPr>
          <w:p w14:paraId="5E7ACC60" w14:textId="0103FF2D" w:rsidR="00527C9D" w:rsidRPr="004873D9" w:rsidRDefault="00527C9D" w:rsidP="00C2711B">
            <w:pPr>
              <w:spacing w:after="0" w:line="240" w:lineRule="auto"/>
              <w:rPr>
                <w:rFonts w:ascii="Calibri" w:eastAsia="Times New Roman" w:hAnsi="Calibri" w:cs="Calibri"/>
                <w:b/>
                <w:bCs/>
                <w:lang w:eastAsia="en-GB"/>
              </w:rPr>
            </w:pPr>
            <w:r w:rsidRPr="004873D9">
              <w:rPr>
                <w:rFonts w:ascii="Calibri" w:eastAsia="Times New Roman" w:hAnsi="Calibri" w:cs="Calibri"/>
                <w:b/>
                <w:bCs/>
                <w:lang w:eastAsia="en-GB"/>
              </w:rPr>
              <w:t>Risk of late detection</w:t>
            </w:r>
            <w:r w:rsidRPr="004873D9">
              <w:rPr>
                <w:rFonts w:ascii="Calibri" w:eastAsia="Times New Roman" w:hAnsi="Calibri" w:cs="Calibri"/>
                <w:b/>
                <w:bCs/>
                <w:lang w:eastAsia="en-GB"/>
              </w:rPr>
              <w:br/>
              <w:t>Non polio AFP rate</w:t>
            </w:r>
            <w:r w:rsidR="00C2711B">
              <w:rPr>
                <w:rFonts w:ascii="Calibri" w:eastAsia="Times New Roman" w:hAnsi="Calibri" w:cs="Calibri"/>
                <w:b/>
                <w:bCs/>
                <w:lang w:eastAsia="en-GB"/>
              </w:rPr>
              <w:t>/100,000</w:t>
            </w:r>
            <w:r w:rsidRPr="004873D9">
              <w:rPr>
                <w:rFonts w:ascii="Calibri" w:eastAsia="Times New Roman" w:hAnsi="Calibri" w:cs="Calibri"/>
                <w:b/>
                <w:bCs/>
                <w:lang w:eastAsia="en-GB"/>
              </w:rPr>
              <w:t xml:space="preserve"> (Rolling 12</w:t>
            </w:r>
            <w:r w:rsidR="002E66AB">
              <w:rPr>
                <w:rFonts w:ascii="Calibri" w:eastAsia="Times New Roman" w:hAnsi="Calibri" w:cs="Calibri"/>
                <w:b/>
                <w:bCs/>
                <w:lang w:eastAsia="en-GB"/>
              </w:rPr>
              <w:t xml:space="preserve"> </w:t>
            </w:r>
            <w:r w:rsidRPr="004873D9">
              <w:rPr>
                <w:rFonts w:ascii="Calibri" w:eastAsia="Times New Roman" w:hAnsi="Calibri" w:cs="Calibri"/>
                <w:b/>
                <w:bCs/>
                <w:lang w:eastAsia="en-GB"/>
              </w:rPr>
              <w:t>m</w:t>
            </w:r>
            <w:r w:rsidR="00C2711B">
              <w:rPr>
                <w:rFonts w:ascii="Calibri" w:eastAsia="Times New Roman" w:hAnsi="Calibri" w:cs="Calibri"/>
                <w:b/>
                <w:bCs/>
                <w:lang w:eastAsia="en-GB"/>
              </w:rPr>
              <w:t>o.</w:t>
            </w:r>
            <w:r w:rsidRPr="004873D9">
              <w:rPr>
                <w:rFonts w:ascii="Calibri" w:eastAsia="Times New Roman" w:hAnsi="Calibri" w:cs="Calibri"/>
                <w:b/>
                <w:bCs/>
                <w:lang w:eastAsia="en-GB"/>
              </w:rPr>
              <w:t xml:space="preserve">) </w:t>
            </w:r>
            <w:r w:rsidR="00C2711B">
              <w:rPr>
                <w:rFonts w:ascii="Calibri" w:eastAsia="Times New Roman" w:hAnsi="Calibri" w:cs="Calibri"/>
                <w:b/>
                <w:bCs/>
                <w:lang w:eastAsia="en-GB"/>
              </w:rPr>
              <w:t>(</w:t>
            </w:r>
            <w:r w:rsidRPr="004873D9">
              <w:rPr>
                <w:rFonts w:ascii="Calibri" w:eastAsia="Times New Roman" w:hAnsi="Calibri" w:cs="Calibri"/>
                <w:b/>
                <w:bCs/>
                <w:lang w:eastAsia="en-GB"/>
              </w:rPr>
              <w:t>Target &gt; 2</w:t>
            </w:r>
            <w:r w:rsidR="00C2711B">
              <w:rPr>
                <w:rFonts w:ascii="Calibri" w:eastAsia="Times New Roman" w:hAnsi="Calibri" w:cs="Calibri"/>
                <w:b/>
                <w:bCs/>
                <w:lang w:eastAsia="en-GB"/>
              </w:rPr>
              <w:t>/100,000</w:t>
            </w:r>
            <w:r w:rsidR="00226696">
              <w:rPr>
                <w:rFonts w:ascii="Calibri" w:eastAsia="Times New Roman" w:hAnsi="Calibri" w:cs="Calibri"/>
                <w:b/>
                <w:bCs/>
                <w:lang w:eastAsia="en-GB"/>
              </w:rPr>
              <w:t xml:space="preserve"> children &lt;15</w:t>
            </w:r>
            <w:r w:rsidR="00C2711B">
              <w:rPr>
                <w:rFonts w:ascii="Calibri" w:eastAsia="Times New Roman" w:hAnsi="Calibri" w:cs="Calibri"/>
                <w:b/>
                <w:bCs/>
                <w:lang w:eastAsia="en-GB"/>
              </w:rPr>
              <w:t>)</w:t>
            </w:r>
          </w:p>
        </w:tc>
        <w:tc>
          <w:tcPr>
            <w:tcW w:w="2300" w:type="dxa"/>
            <w:tcBorders>
              <w:top w:val="nil"/>
              <w:left w:val="nil"/>
              <w:bottom w:val="single" w:sz="4" w:space="0" w:color="auto"/>
              <w:right w:val="single" w:sz="4" w:space="0" w:color="auto"/>
            </w:tcBorders>
            <w:shd w:val="clear" w:color="000000" w:fill="00B050"/>
            <w:vAlign w:val="center"/>
            <w:hideMark/>
          </w:tcPr>
          <w:p w14:paraId="27FF6AD9" w14:textId="1E496713" w:rsidR="00527C9D" w:rsidRPr="004873D9" w:rsidRDefault="00226696" w:rsidP="004873D9">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 xml:space="preserve">5.5/100,000 </w:t>
            </w:r>
          </w:p>
        </w:tc>
      </w:tr>
      <w:tr w:rsidR="00527C9D" w:rsidRPr="004873D9" w14:paraId="508AE75E" w14:textId="77777777" w:rsidTr="00C2711B">
        <w:trPr>
          <w:trHeight w:val="1385"/>
          <w:jc w:val="center"/>
        </w:trPr>
        <w:tc>
          <w:tcPr>
            <w:tcW w:w="3220" w:type="dxa"/>
            <w:vMerge/>
            <w:tcBorders>
              <w:left w:val="single" w:sz="4" w:space="0" w:color="auto"/>
              <w:bottom w:val="single" w:sz="4" w:space="0" w:color="auto"/>
              <w:right w:val="single" w:sz="4" w:space="0" w:color="auto"/>
            </w:tcBorders>
            <w:shd w:val="clear" w:color="000000" w:fill="DDD9C4"/>
            <w:vAlign w:val="center"/>
          </w:tcPr>
          <w:p w14:paraId="43E96919" w14:textId="77777777" w:rsidR="00527C9D" w:rsidRPr="004873D9" w:rsidRDefault="00527C9D"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DDD9C4"/>
            <w:vAlign w:val="center"/>
            <w:hideMark/>
          </w:tcPr>
          <w:p w14:paraId="6C71C03E" w14:textId="77777777" w:rsidR="00C2711B" w:rsidRDefault="00527C9D" w:rsidP="00C2711B">
            <w:pPr>
              <w:spacing w:after="0" w:line="240" w:lineRule="auto"/>
              <w:rPr>
                <w:rFonts w:ascii="Calibri" w:eastAsia="Times New Roman" w:hAnsi="Calibri" w:cs="Calibri"/>
                <w:b/>
                <w:bCs/>
                <w:lang w:eastAsia="en-GB"/>
              </w:rPr>
            </w:pPr>
            <w:r w:rsidRPr="004873D9">
              <w:rPr>
                <w:rFonts w:ascii="Calibri" w:eastAsia="Times New Roman" w:hAnsi="Calibri" w:cs="Calibri"/>
                <w:b/>
                <w:bCs/>
                <w:lang w:eastAsia="en-GB"/>
              </w:rPr>
              <w:t>R</w:t>
            </w:r>
            <w:r w:rsidR="00C2711B">
              <w:rPr>
                <w:rFonts w:ascii="Calibri" w:eastAsia="Times New Roman" w:hAnsi="Calibri" w:cs="Calibri"/>
                <w:b/>
                <w:bCs/>
                <w:lang w:eastAsia="en-GB"/>
              </w:rPr>
              <w:t>isk of spread after importation:</w:t>
            </w:r>
          </w:p>
          <w:p w14:paraId="62E8F465" w14:textId="77777777" w:rsidR="00527C9D" w:rsidRPr="004873D9" w:rsidRDefault="00C2711B" w:rsidP="00C2711B">
            <w:pPr>
              <w:spacing w:after="0" w:line="240" w:lineRule="auto"/>
              <w:rPr>
                <w:rFonts w:ascii="Calibri" w:eastAsia="Times New Roman" w:hAnsi="Calibri" w:cs="Calibri"/>
                <w:b/>
                <w:bCs/>
                <w:lang w:eastAsia="en-GB"/>
              </w:rPr>
            </w:pPr>
            <w:r>
              <w:rPr>
                <w:rFonts w:ascii="Calibri" w:eastAsia="Times New Roman" w:hAnsi="Calibri" w:cs="Calibri"/>
                <w:b/>
                <w:bCs/>
                <w:lang w:eastAsia="en-GB"/>
              </w:rPr>
              <w:t xml:space="preserve">Percent </w:t>
            </w:r>
            <w:r w:rsidR="00527C9D" w:rsidRPr="004873D9">
              <w:rPr>
                <w:rFonts w:ascii="Calibri" w:eastAsia="Times New Roman" w:hAnsi="Calibri" w:cs="Calibri"/>
                <w:b/>
                <w:bCs/>
                <w:lang w:eastAsia="en-GB"/>
              </w:rPr>
              <w:t xml:space="preserve">of </w:t>
            </w:r>
            <w:r>
              <w:rPr>
                <w:rFonts w:ascii="Calibri" w:eastAsia="Times New Roman" w:hAnsi="Calibri" w:cs="Calibri"/>
                <w:b/>
                <w:bCs/>
                <w:lang w:eastAsia="en-GB"/>
              </w:rPr>
              <w:t>6</w:t>
            </w:r>
            <w:r w:rsidR="00527C9D" w:rsidRPr="004873D9">
              <w:rPr>
                <w:rFonts w:ascii="Calibri" w:eastAsia="Times New Roman" w:hAnsi="Calibri" w:cs="Calibri"/>
                <w:b/>
                <w:bCs/>
                <w:lang w:eastAsia="en-GB"/>
              </w:rPr>
              <w:t>-59</w:t>
            </w:r>
            <w:r>
              <w:rPr>
                <w:rFonts w:ascii="Calibri" w:eastAsia="Times New Roman" w:hAnsi="Calibri" w:cs="Calibri"/>
                <w:b/>
                <w:bCs/>
                <w:lang w:eastAsia="en-GB"/>
              </w:rPr>
              <w:t xml:space="preserve"> month olds </w:t>
            </w:r>
            <w:r w:rsidR="00527C9D" w:rsidRPr="004873D9">
              <w:rPr>
                <w:rFonts w:ascii="Calibri" w:eastAsia="Times New Roman" w:hAnsi="Calibri" w:cs="Calibri"/>
                <w:b/>
                <w:bCs/>
                <w:lang w:eastAsia="en-GB"/>
              </w:rPr>
              <w:t xml:space="preserve">having received less than 3 doses in the last year before occurrence </w:t>
            </w:r>
            <w:r>
              <w:rPr>
                <w:rFonts w:ascii="Calibri" w:eastAsia="Times New Roman" w:hAnsi="Calibri" w:cs="Calibri"/>
                <w:b/>
                <w:bCs/>
                <w:lang w:eastAsia="en-GB"/>
              </w:rPr>
              <w:t>c</w:t>
            </w:r>
            <w:r w:rsidR="00527C9D" w:rsidRPr="004873D9">
              <w:rPr>
                <w:rFonts w:ascii="Calibri" w:eastAsia="Times New Roman" w:hAnsi="Calibri" w:cs="Calibri"/>
                <w:b/>
                <w:bCs/>
                <w:lang w:eastAsia="en-GB"/>
              </w:rPr>
              <w:t>ase/environmental positive</w:t>
            </w:r>
          </w:p>
        </w:tc>
        <w:tc>
          <w:tcPr>
            <w:tcW w:w="2300" w:type="dxa"/>
            <w:tcBorders>
              <w:top w:val="nil"/>
              <w:left w:val="nil"/>
              <w:bottom w:val="single" w:sz="4" w:space="0" w:color="auto"/>
              <w:right w:val="single" w:sz="4" w:space="0" w:color="auto"/>
            </w:tcBorders>
            <w:shd w:val="clear" w:color="000000" w:fill="FF0000"/>
            <w:vAlign w:val="center"/>
            <w:hideMark/>
          </w:tcPr>
          <w:p w14:paraId="1DF4B9DC" w14:textId="77777777" w:rsidR="00527C9D" w:rsidRPr="004873D9" w:rsidRDefault="00527C9D"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19</w:t>
            </w:r>
          </w:p>
        </w:tc>
      </w:tr>
      <w:tr w:rsidR="00C2711B" w:rsidRPr="004873D9" w14:paraId="7A328907" w14:textId="77777777" w:rsidTr="00C2711B">
        <w:trPr>
          <w:trHeight w:val="300"/>
          <w:jc w:val="center"/>
        </w:trPr>
        <w:tc>
          <w:tcPr>
            <w:tcW w:w="3220" w:type="dxa"/>
            <w:vMerge w:val="restart"/>
            <w:tcBorders>
              <w:top w:val="nil"/>
              <w:left w:val="single" w:sz="4" w:space="0" w:color="auto"/>
              <w:right w:val="single" w:sz="4" w:space="0" w:color="auto"/>
            </w:tcBorders>
            <w:shd w:val="clear" w:color="000000" w:fill="C5D9F1"/>
            <w:hideMark/>
          </w:tcPr>
          <w:p w14:paraId="7BDACEB2" w14:textId="77777777" w:rsidR="00C2711B" w:rsidRPr="004873D9" w:rsidRDefault="00C2711B" w:rsidP="00C2711B">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2. Neonatal tetanus elimination</w:t>
            </w:r>
          </w:p>
        </w:tc>
        <w:tc>
          <w:tcPr>
            <w:tcW w:w="3900" w:type="dxa"/>
            <w:tcBorders>
              <w:top w:val="nil"/>
              <w:left w:val="nil"/>
              <w:bottom w:val="single" w:sz="4" w:space="0" w:color="auto"/>
              <w:right w:val="single" w:sz="4" w:space="0" w:color="auto"/>
            </w:tcBorders>
            <w:shd w:val="clear" w:color="000000" w:fill="C5D9F1"/>
            <w:vAlign w:val="center"/>
            <w:hideMark/>
          </w:tcPr>
          <w:p w14:paraId="143882CB" w14:textId="77777777" w:rsidR="00C2711B" w:rsidRPr="004873D9" w:rsidRDefault="00C2711B"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Coverage for TT (reported </w:t>
            </w:r>
            <w:r>
              <w:rPr>
                <w:rFonts w:ascii="Calibri" w:eastAsia="Times New Roman" w:hAnsi="Calibri" w:cs="Calibri"/>
                <w:b/>
                <w:bCs/>
                <w:color w:val="000000"/>
                <w:lang w:eastAsia="en-GB"/>
              </w:rPr>
              <w:t xml:space="preserve">in </w:t>
            </w:r>
            <w:r w:rsidRPr="004873D9">
              <w:rPr>
                <w:rFonts w:ascii="Calibri" w:eastAsia="Times New Roman" w:hAnsi="Calibri" w:cs="Calibri"/>
                <w:b/>
                <w:bCs/>
                <w:color w:val="000000"/>
                <w:lang w:eastAsia="en-GB"/>
              </w:rPr>
              <w:t>2015</w:t>
            </w:r>
            <w:r>
              <w:rPr>
                <w:rFonts w:ascii="Calibri" w:eastAsia="Times New Roman" w:hAnsi="Calibri" w:cs="Calibri"/>
                <w:b/>
                <w:bCs/>
                <w:color w:val="000000"/>
                <w:lang w:eastAsia="en-GB"/>
              </w:rPr>
              <w:t xml:space="preserve"> JRF</w:t>
            </w:r>
            <w:r w:rsidRPr="004873D9">
              <w:rPr>
                <w:rFonts w:ascii="Calibri" w:eastAsia="Times New Roman" w:hAnsi="Calibri" w:cs="Calibri"/>
                <w:b/>
                <w:bCs/>
                <w:color w:val="000000"/>
                <w:lang w:eastAsia="en-GB"/>
              </w:rPr>
              <w:t>)</w:t>
            </w:r>
          </w:p>
        </w:tc>
        <w:tc>
          <w:tcPr>
            <w:tcW w:w="2300" w:type="dxa"/>
            <w:tcBorders>
              <w:top w:val="nil"/>
              <w:left w:val="nil"/>
              <w:bottom w:val="single" w:sz="4" w:space="0" w:color="auto"/>
              <w:right w:val="single" w:sz="4" w:space="0" w:color="auto"/>
            </w:tcBorders>
            <w:shd w:val="clear" w:color="000000" w:fill="00B050"/>
            <w:vAlign w:val="center"/>
            <w:hideMark/>
          </w:tcPr>
          <w:p w14:paraId="56FE7099" w14:textId="77777777" w:rsidR="00C2711B" w:rsidRPr="004873D9" w:rsidRDefault="00C2711B"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91%</w:t>
            </w:r>
          </w:p>
        </w:tc>
      </w:tr>
      <w:tr w:rsidR="00C2711B" w:rsidRPr="004873D9" w14:paraId="79033F6B" w14:textId="77777777" w:rsidTr="00886641">
        <w:trPr>
          <w:trHeight w:val="600"/>
          <w:jc w:val="center"/>
        </w:trPr>
        <w:tc>
          <w:tcPr>
            <w:tcW w:w="3220" w:type="dxa"/>
            <w:vMerge/>
            <w:tcBorders>
              <w:left w:val="single" w:sz="4" w:space="0" w:color="auto"/>
              <w:right w:val="single" w:sz="4" w:space="0" w:color="auto"/>
            </w:tcBorders>
            <w:shd w:val="clear" w:color="000000" w:fill="C5D9F1"/>
            <w:vAlign w:val="center"/>
          </w:tcPr>
          <w:p w14:paraId="7FBFBD83" w14:textId="77777777" w:rsidR="00C2711B" w:rsidRPr="004873D9" w:rsidRDefault="00C2711B"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C5D9F1"/>
            <w:vAlign w:val="center"/>
            <w:hideMark/>
          </w:tcPr>
          <w:p w14:paraId="79D6410C" w14:textId="77777777" w:rsidR="00C2711B" w:rsidRPr="004873D9" w:rsidRDefault="00C2711B" w:rsidP="00C2711B">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Protection at Birth against </w:t>
            </w:r>
            <w:r>
              <w:rPr>
                <w:rFonts w:ascii="Calibri" w:eastAsia="Times New Roman" w:hAnsi="Calibri" w:cs="Calibri"/>
                <w:b/>
                <w:bCs/>
                <w:color w:val="000000"/>
                <w:lang w:eastAsia="en-GB"/>
              </w:rPr>
              <w:t xml:space="preserve"> tetanus</w:t>
            </w:r>
            <w:r w:rsidRPr="004873D9">
              <w:rPr>
                <w:rFonts w:ascii="Calibri" w:eastAsia="Times New Roman" w:hAnsi="Calibri" w:cs="Calibri"/>
                <w:b/>
                <w:bCs/>
                <w:color w:val="000000"/>
                <w:lang w:eastAsia="en-GB"/>
              </w:rPr>
              <w:t xml:space="preserve"> (WUENIC 201</w:t>
            </w:r>
            <w:r>
              <w:rPr>
                <w:rFonts w:ascii="Calibri" w:eastAsia="Times New Roman" w:hAnsi="Calibri" w:cs="Calibri"/>
                <w:b/>
                <w:bCs/>
                <w:color w:val="000000"/>
                <w:lang w:eastAsia="en-GB"/>
              </w:rPr>
              <w:t>5</w:t>
            </w:r>
            <w:r w:rsidRPr="004873D9">
              <w:rPr>
                <w:rFonts w:ascii="Calibri" w:eastAsia="Times New Roman" w:hAnsi="Calibri" w:cs="Calibri"/>
                <w:b/>
                <w:bCs/>
                <w:color w:val="000000"/>
                <w:lang w:eastAsia="en-GB"/>
              </w:rPr>
              <w:t>)</w:t>
            </w:r>
          </w:p>
        </w:tc>
        <w:tc>
          <w:tcPr>
            <w:tcW w:w="2300" w:type="dxa"/>
            <w:tcBorders>
              <w:top w:val="nil"/>
              <w:left w:val="nil"/>
              <w:bottom w:val="single" w:sz="4" w:space="0" w:color="auto"/>
              <w:right w:val="single" w:sz="4" w:space="0" w:color="auto"/>
            </w:tcBorders>
            <w:shd w:val="clear" w:color="000000" w:fill="FFC000"/>
            <w:vAlign w:val="center"/>
            <w:hideMark/>
          </w:tcPr>
          <w:p w14:paraId="2B8A704F" w14:textId="77777777" w:rsidR="00C2711B" w:rsidRPr="004873D9" w:rsidRDefault="00C2711B"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82%</w:t>
            </w:r>
          </w:p>
        </w:tc>
      </w:tr>
      <w:tr w:rsidR="00C2711B" w:rsidRPr="004873D9" w14:paraId="1C79CC45" w14:textId="77777777" w:rsidTr="00C2711B">
        <w:trPr>
          <w:trHeight w:val="1403"/>
          <w:jc w:val="center"/>
        </w:trPr>
        <w:tc>
          <w:tcPr>
            <w:tcW w:w="3220" w:type="dxa"/>
            <w:vMerge/>
            <w:tcBorders>
              <w:left w:val="single" w:sz="4" w:space="0" w:color="auto"/>
              <w:right w:val="single" w:sz="4" w:space="0" w:color="auto"/>
            </w:tcBorders>
            <w:shd w:val="clear" w:color="000000" w:fill="C5D9F1"/>
          </w:tcPr>
          <w:p w14:paraId="0CA4D8F8" w14:textId="77777777" w:rsidR="00C2711B" w:rsidRPr="004873D9" w:rsidRDefault="00C2711B"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C5D9F1"/>
            <w:hideMark/>
          </w:tcPr>
          <w:p w14:paraId="2B24678E" w14:textId="77777777" w:rsidR="00C2711B" w:rsidRPr="004873D9" w:rsidRDefault="00C2711B"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Last SIAs conducted in the country</w:t>
            </w:r>
          </w:p>
        </w:tc>
        <w:tc>
          <w:tcPr>
            <w:tcW w:w="2300" w:type="dxa"/>
            <w:tcBorders>
              <w:top w:val="nil"/>
              <w:left w:val="nil"/>
              <w:bottom w:val="single" w:sz="4" w:space="0" w:color="auto"/>
              <w:right w:val="single" w:sz="4" w:space="0" w:color="auto"/>
            </w:tcBorders>
            <w:shd w:val="clear" w:color="000000" w:fill="FF0000"/>
            <w:hideMark/>
          </w:tcPr>
          <w:p w14:paraId="2EA574AD" w14:textId="77777777" w:rsidR="00C2711B" w:rsidRPr="004873D9" w:rsidRDefault="00C2711B" w:rsidP="00C2711B">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SIA</w:t>
            </w:r>
            <w:r>
              <w:rPr>
                <w:rFonts w:ascii="Calibri" w:eastAsia="Times New Roman" w:hAnsi="Calibri" w:cs="Calibri"/>
                <w:b/>
                <w:bCs/>
                <w:color w:val="000000"/>
                <w:lang w:eastAsia="en-GB"/>
              </w:rPr>
              <w:t xml:space="preserve">s in 2013 and 2014 in 75 high-risk </w:t>
            </w:r>
            <w:r w:rsidRPr="004873D9">
              <w:rPr>
                <w:rFonts w:ascii="Calibri" w:eastAsia="Times New Roman" w:hAnsi="Calibri" w:cs="Calibri"/>
                <w:b/>
                <w:bCs/>
                <w:color w:val="000000"/>
                <w:lang w:eastAsia="en-GB"/>
              </w:rPr>
              <w:t>districts</w:t>
            </w:r>
            <w:r>
              <w:rPr>
                <w:rFonts w:ascii="Calibri" w:eastAsia="Times New Roman" w:hAnsi="Calibri" w:cs="Calibri"/>
                <w:b/>
                <w:bCs/>
                <w:color w:val="000000"/>
                <w:lang w:eastAsia="en-GB"/>
              </w:rPr>
              <w:t xml:space="preserve">, following SIAs in 2012 in 31 districts. </w:t>
            </w:r>
          </w:p>
        </w:tc>
      </w:tr>
      <w:tr w:rsidR="00C2711B" w:rsidRPr="004873D9" w14:paraId="18342893" w14:textId="77777777" w:rsidTr="00EE1C5C">
        <w:trPr>
          <w:trHeight w:val="1160"/>
          <w:jc w:val="center"/>
        </w:trPr>
        <w:tc>
          <w:tcPr>
            <w:tcW w:w="3220" w:type="dxa"/>
            <w:vMerge/>
            <w:tcBorders>
              <w:left w:val="single" w:sz="4" w:space="0" w:color="auto"/>
              <w:bottom w:val="single" w:sz="4" w:space="0" w:color="auto"/>
              <w:right w:val="single" w:sz="4" w:space="0" w:color="auto"/>
            </w:tcBorders>
            <w:shd w:val="clear" w:color="000000" w:fill="C5D9F1"/>
            <w:vAlign w:val="center"/>
          </w:tcPr>
          <w:p w14:paraId="079E281F" w14:textId="77777777" w:rsidR="00C2711B" w:rsidRPr="004873D9" w:rsidRDefault="00C2711B"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C5D9F1"/>
            <w:hideMark/>
          </w:tcPr>
          <w:p w14:paraId="5975D173" w14:textId="77777777" w:rsidR="00C2711B" w:rsidRPr="004873D9" w:rsidRDefault="00C2711B" w:rsidP="00C2711B">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Elimination validation date</w:t>
            </w:r>
          </w:p>
        </w:tc>
        <w:tc>
          <w:tcPr>
            <w:tcW w:w="2300" w:type="dxa"/>
            <w:tcBorders>
              <w:top w:val="nil"/>
              <w:left w:val="nil"/>
              <w:bottom w:val="single" w:sz="4" w:space="0" w:color="auto"/>
              <w:right w:val="single" w:sz="4" w:space="0" w:color="auto"/>
            </w:tcBorders>
            <w:shd w:val="clear" w:color="000000" w:fill="FFC000"/>
            <w:vAlign w:val="center"/>
            <w:hideMark/>
          </w:tcPr>
          <w:p w14:paraId="17F11EB8" w14:textId="77777777" w:rsidR="00C2711B" w:rsidRPr="004873D9" w:rsidRDefault="00C2711B" w:rsidP="00C2711B">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Not yet validated.</w:t>
            </w:r>
            <w:r w:rsidRPr="004873D9">
              <w:rPr>
                <w:rFonts w:ascii="Calibri" w:eastAsia="Times New Roman" w:hAnsi="Calibri" w:cs="Calibri"/>
                <w:b/>
                <w:bCs/>
                <w:color w:val="000000"/>
                <w:lang w:eastAsia="en-GB"/>
              </w:rPr>
              <w:t xml:space="preserve"> Pre-validation assessment planned for Aug-Sept 2016</w:t>
            </w:r>
          </w:p>
        </w:tc>
      </w:tr>
      <w:tr w:rsidR="00C2711B" w:rsidRPr="004873D9" w14:paraId="78976B57" w14:textId="77777777" w:rsidTr="00C2711B">
        <w:trPr>
          <w:trHeight w:val="300"/>
          <w:jc w:val="center"/>
        </w:trPr>
        <w:tc>
          <w:tcPr>
            <w:tcW w:w="3220" w:type="dxa"/>
            <w:vMerge w:val="restart"/>
            <w:tcBorders>
              <w:top w:val="nil"/>
              <w:left w:val="single" w:sz="4" w:space="0" w:color="auto"/>
              <w:right w:val="single" w:sz="4" w:space="0" w:color="auto"/>
            </w:tcBorders>
            <w:shd w:val="clear" w:color="000000" w:fill="F2DCDB"/>
            <w:hideMark/>
          </w:tcPr>
          <w:p w14:paraId="24055DEE" w14:textId="77777777" w:rsidR="00C2711B" w:rsidRPr="004873D9" w:rsidRDefault="00C2711B" w:rsidP="00C2711B">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3. Measles Elimination</w:t>
            </w:r>
          </w:p>
        </w:tc>
        <w:tc>
          <w:tcPr>
            <w:tcW w:w="3900" w:type="dxa"/>
            <w:tcBorders>
              <w:top w:val="nil"/>
              <w:left w:val="nil"/>
              <w:bottom w:val="single" w:sz="4" w:space="0" w:color="auto"/>
              <w:right w:val="single" w:sz="4" w:space="0" w:color="auto"/>
            </w:tcBorders>
            <w:shd w:val="clear" w:color="000000" w:fill="F2DCDB"/>
            <w:vAlign w:val="center"/>
            <w:hideMark/>
          </w:tcPr>
          <w:p w14:paraId="7CF134B8" w14:textId="77777777" w:rsidR="00C2711B" w:rsidRPr="004873D9" w:rsidRDefault="00C2711B" w:rsidP="00C2711B">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Coverage MCV1 (201</w:t>
            </w:r>
            <w:r>
              <w:rPr>
                <w:rFonts w:ascii="Calibri" w:eastAsia="Times New Roman" w:hAnsi="Calibri" w:cs="Calibri"/>
                <w:b/>
                <w:bCs/>
                <w:color w:val="000000"/>
                <w:lang w:eastAsia="en-GB"/>
              </w:rPr>
              <w:t>5</w:t>
            </w:r>
            <w:r w:rsidRPr="004873D9">
              <w:rPr>
                <w:rFonts w:ascii="Calibri" w:eastAsia="Times New Roman" w:hAnsi="Calibri" w:cs="Calibri"/>
                <w:b/>
                <w:bCs/>
                <w:color w:val="000000"/>
                <w:lang w:eastAsia="en-GB"/>
              </w:rPr>
              <w:t xml:space="preserve"> WUENIC)</w:t>
            </w:r>
          </w:p>
        </w:tc>
        <w:tc>
          <w:tcPr>
            <w:tcW w:w="2300" w:type="dxa"/>
            <w:tcBorders>
              <w:top w:val="nil"/>
              <w:left w:val="nil"/>
              <w:bottom w:val="single" w:sz="4" w:space="0" w:color="auto"/>
              <w:right w:val="single" w:sz="4" w:space="0" w:color="auto"/>
            </w:tcBorders>
            <w:shd w:val="clear" w:color="000000" w:fill="FF0000"/>
            <w:vAlign w:val="center"/>
            <w:hideMark/>
          </w:tcPr>
          <w:p w14:paraId="4C807F10" w14:textId="77777777" w:rsidR="00C2711B" w:rsidRPr="004873D9" w:rsidRDefault="00C2711B" w:rsidP="00C2711B">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7</w:t>
            </w:r>
            <w:r>
              <w:rPr>
                <w:rFonts w:ascii="Calibri" w:eastAsia="Times New Roman" w:hAnsi="Calibri" w:cs="Calibri"/>
                <w:b/>
                <w:bCs/>
                <w:color w:val="000000"/>
                <w:lang w:eastAsia="en-GB"/>
              </w:rPr>
              <w:t>9</w:t>
            </w:r>
            <w:r w:rsidRPr="004873D9">
              <w:rPr>
                <w:rFonts w:ascii="Calibri" w:eastAsia="Times New Roman" w:hAnsi="Calibri" w:cs="Calibri"/>
                <w:b/>
                <w:bCs/>
                <w:color w:val="000000"/>
                <w:lang w:eastAsia="en-GB"/>
              </w:rPr>
              <w:t>%</w:t>
            </w:r>
          </w:p>
        </w:tc>
      </w:tr>
      <w:tr w:rsidR="00C2711B" w:rsidRPr="004873D9" w14:paraId="2A6B74A0" w14:textId="77777777" w:rsidTr="00886641">
        <w:trPr>
          <w:trHeight w:val="300"/>
          <w:jc w:val="center"/>
        </w:trPr>
        <w:tc>
          <w:tcPr>
            <w:tcW w:w="3220" w:type="dxa"/>
            <w:vMerge/>
            <w:tcBorders>
              <w:left w:val="single" w:sz="4" w:space="0" w:color="auto"/>
              <w:right w:val="single" w:sz="4" w:space="0" w:color="auto"/>
            </w:tcBorders>
            <w:shd w:val="clear" w:color="000000" w:fill="F2DCDB"/>
            <w:vAlign w:val="center"/>
          </w:tcPr>
          <w:p w14:paraId="63FDE356" w14:textId="77777777" w:rsidR="00C2711B" w:rsidRPr="004873D9" w:rsidRDefault="00C2711B"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F2DCDB"/>
            <w:vAlign w:val="center"/>
            <w:hideMark/>
          </w:tcPr>
          <w:p w14:paraId="1E074877" w14:textId="77777777" w:rsidR="00C2711B" w:rsidRPr="004873D9" w:rsidRDefault="00C2711B"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Coverage MCV2 </w:t>
            </w:r>
          </w:p>
        </w:tc>
        <w:tc>
          <w:tcPr>
            <w:tcW w:w="2300" w:type="dxa"/>
            <w:tcBorders>
              <w:top w:val="nil"/>
              <w:left w:val="nil"/>
              <w:bottom w:val="single" w:sz="4" w:space="0" w:color="auto"/>
              <w:right w:val="single" w:sz="4" w:space="0" w:color="auto"/>
            </w:tcBorders>
            <w:shd w:val="clear" w:color="000000" w:fill="FF0000"/>
            <w:vAlign w:val="center"/>
            <w:hideMark/>
          </w:tcPr>
          <w:p w14:paraId="1873B820" w14:textId="77777777" w:rsidR="00C2711B" w:rsidRPr="004873D9" w:rsidRDefault="00C2711B"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Not in schedule</w:t>
            </w:r>
          </w:p>
        </w:tc>
      </w:tr>
      <w:tr w:rsidR="00C2711B" w:rsidRPr="004873D9" w14:paraId="05D0382F" w14:textId="77777777" w:rsidTr="00886641">
        <w:trPr>
          <w:trHeight w:val="600"/>
          <w:jc w:val="center"/>
        </w:trPr>
        <w:tc>
          <w:tcPr>
            <w:tcW w:w="3220" w:type="dxa"/>
            <w:vMerge/>
            <w:tcBorders>
              <w:left w:val="single" w:sz="4" w:space="0" w:color="auto"/>
              <w:right w:val="single" w:sz="4" w:space="0" w:color="auto"/>
            </w:tcBorders>
            <w:shd w:val="clear" w:color="000000" w:fill="F2DCDB"/>
            <w:vAlign w:val="center"/>
          </w:tcPr>
          <w:p w14:paraId="7765DF29" w14:textId="77777777" w:rsidR="00C2711B" w:rsidRPr="004873D9" w:rsidRDefault="00C2711B"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F2DCDB"/>
            <w:vAlign w:val="center"/>
            <w:hideMark/>
          </w:tcPr>
          <w:p w14:paraId="1A2F1B36" w14:textId="77777777" w:rsidR="00C2711B" w:rsidRPr="004873D9" w:rsidRDefault="00C2711B" w:rsidP="00C2711B">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Percentage of districts with MCV1 coverage </w:t>
            </w:r>
            <w:r>
              <w:rPr>
                <w:rFonts w:ascii="Calibri" w:eastAsia="Times New Roman" w:hAnsi="Calibri" w:cs="Calibri"/>
                <w:b/>
                <w:bCs/>
                <w:color w:val="000000"/>
                <w:lang w:eastAsia="en-GB"/>
              </w:rPr>
              <w:t>≥</w:t>
            </w:r>
            <w:r w:rsidRPr="004873D9">
              <w:rPr>
                <w:rFonts w:ascii="Calibri" w:eastAsia="Times New Roman" w:hAnsi="Calibri" w:cs="Calibri"/>
                <w:b/>
                <w:bCs/>
                <w:color w:val="000000"/>
                <w:lang w:eastAsia="en-GB"/>
              </w:rPr>
              <w:t>95% (2015 JRF)</w:t>
            </w:r>
          </w:p>
        </w:tc>
        <w:tc>
          <w:tcPr>
            <w:tcW w:w="2300" w:type="dxa"/>
            <w:tcBorders>
              <w:top w:val="nil"/>
              <w:left w:val="nil"/>
              <w:bottom w:val="single" w:sz="4" w:space="0" w:color="auto"/>
              <w:right w:val="single" w:sz="4" w:space="0" w:color="auto"/>
            </w:tcBorders>
            <w:shd w:val="clear" w:color="000000" w:fill="FF0000"/>
            <w:vAlign w:val="center"/>
            <w:hideMark/>
          </w:tcPr>
          <w:p w14:paraId="1C33AF13" w14:textId="77777777" w:rsidR="00C2711B" w:rsidRPr="004873D9" w:rsidRDefault="00C2711B"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36%</w:t>
            </w:r>
          </w:p>
        </w:tc>
      </w:tr>
      <w:tr w:rsidR="00C2711B" w:rsidRPr="004873D9" w14:paraId="62746B1A" w14:textId="77777777" w:rsidTr="00886641">
        <w:trPr>
          <w:trHeight w:val="300"/>
          <w:jc w:val="center"/>
        </w:trPr>
        <w:tc>
          <w:tcPr>
            <w:tcW w:w="3220" w:type="dxa"/>
            <w:vMerge/>
            <w:tcBorders>
              <w:left w:val="single" w:sz="4" w:space="0" w:color="auto"/>
              <w:right w:val="single" w:sz="4" w:space="0" w:color="auto"/>
            </w:tcBorders>
            <w:shd w:val="clear" w:color="000000" w:fill="F2DCDB"/>
            <w:vAlign w:val="center"/>
          </w:tcPr>
          <w:p w14:paraId="2008131B" w14:textId="77777777" w:rsidR="00C2711B" w:rsidRPr="004873D9" w:rsidRDefault="00C2711B"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F2DCDB"/>
            <w:vAlign w:val="center"/>
            <w:hideMark/>
          </w:tcPr>
          <w:p w14:paraId="70D1B6D7" w14:textId="77777777" w:rsidR="00C2711B" w:rsidRPr="004873D9" w:rsidRDefault="00C2711B"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Last national SIA</w:t>
            </w:r>
          </w:p>
        </w:tc>
        <w:tc>
          <w:tcPr>
            <w:tcW w:w="2300" w:type="dxa"/>
            <w:tcBorders>
              <w:top w:val="nil"/>
              <w:left w:val="nil"/>
              <w:bottom w:val="single" w:sz="4" w:space="0" w:color="auto"/>
              <w:right w:val="single" w:sz="4" w:space="0" w:color="auto"/>
            </w:tcBorders>
            <w:shd w:val="clear" w:color="000000" w:fill="FF0000"/>
            <w:vAlign w:val="center"/>
            <w:hideMark/>
          </w:tcPr>
          <w:p w14:paraId="3860539C" w14:textId="77777777" w:rsidR="00C2711B" w:rsidRPr="004873D9" w:rsidRDefault="00C2711B" w:rsidP="00C2711B">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201</w:t>
            </w:r>
            <w:r>
              <w:rPr>
                <w:rFonts w:ascii="Calibri" w:eastAsia="Times New Roman" w:hAnsi="Calibri" w:cs="Calibri"/>
                <w:b/>
                <w:bCs/>
                <w:color w:val="000000"/>
                <w:lang w:eastAsia="en-GB"/>
              </w:rPr>
              <w:t>3 and 2014 (children &lt;5 years)</w:t>
            </w:r>
          </w:p>
        </w:tc>
      </w:tr>
      <w:tr w:rsidR="00C2711B" w:rsidRPr="004873D9" w14:paraId="5EDF4EE1" w14:textId="77777777" w:rsidTr="00886641">
        <w:trPr>
          <w:trHeight w:val="300"/>
          <w:jc w:val="center"/>
        </w:trPr>
        <w:tc>
          <w:tcPr>
            <w:tcW w:w="3220" w:type="dxa"/>
            <w:vMerge/>
            <w:tcBorders>
              <w:left w:val="single" w:sz="4" w:space="0" w:color="auto"/>
              <w:bottom w:val="single" w:sz="4" w:space="0" w:color="auto"/>
              <w:right w:val="single" w:sz="4" w:space="0" w:color="auto"/>
            </w:tcBorders>
            <w:shd w:val="clear" w:color="000000" w:fill="F2DCDB"/>
            <w:vAlign w:val="center"/>
          </w:tcPr>
          <w:p w14:paraId="273D9FB6" w14:textId="77777777" w:rsidR="00C2711B" w:rsidRPr="004873D9" w:rsidRDefault="00C2711B"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F2DCDB"/>
            <w:vAlign w:val="center"/>
            <w:hideMark/>
          </w:tcPr>
          <w:p w14:paraId="0224C5BD" w14:textId="77777777" w:rsidR="00C2711B" w:rsidRPr="004873D9" w:rsidRDefault="00C2711B"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Post SIA coverage survey conducted</w:t>
            </w:r>
          </w:p>
        </w:tc>
        <w:tc>
          <w:tcPr>
            <w:tcW w:w="2300" w:type="dxa"/>
            <w:tcBorders>
              <w:top w:val="nil"/>
              <w:left w:val="nil"/>
              <w:bottom w:val="single" w:sz="4" w:space="0" w:color="auto"/>
              <w:right w:val="single" w:sz="4" w:space="0" w:color="auto"/>
            </w:tcBorders>
            <w:shd w:val="clear" w:color="000000" w:fill="FF0000"/>
            <w:vAlign w:val="center"/>
            <w:hideMark/>
          </w:tcPr>
          <w:p w14:paraId="57C2951D" w14:textId="77777777" w:rsidR="00C2711B" w:rsidRPr="004873D9" w:rsidRDefault="00C2711B"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No </w:t>
            </w:r>
          </w:p>
        </w:tc>
      </w:tr>
      <w:tr w:rsidR="00C2711B" w:rsidRPr="004873D9" w14:paraId="7204B441" w14:textId="77777777" w:rsidTr="00C2711B">
        <w:trPr>
          <w:trHeight w:val="600"/>
          <w:jc w:val="center"/>
        </w:trPr>
        <w:tc>
          <w:tcPr>
            <w:tcW w:w="3220" w:type="dxa"/>
            <w:vMerge w:val="restart"/>
            <w:tcBorders>
              <w:top w:val="nil"/>
              <w:left w:val="single" w:sz="4" w:space="0" w:color="auto"/>
              <w:right w:val="single" w:sz="4" w:space="0" w:color="auto"/>
            </w:tcBorders>
            <w:shd w:val="clear" w:color="000000" w:fill="F2DCDB"/>
            <w:hideMark/>
          </w:tcPr>
          <w:p w14:paraId="37E1FA4F" w14:textId="77777777" w:rsidR="00C2711B" w:rsidRPr="004873D9" w:rsidRDefault="00C2711B" w:rsidP="00C2711B">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4. Rubella/CRS Elimination</w:t>
            </w:r>
          </w:p>
        </w:tc>
        <w:tc>
          <w:tcPr>
            <w:tcW w:w="3900" w:type="dxa"/>
            <w:tcBorders>
              <w:top w:val="nil"/>
              <w:left w:val="nil"/>
              <w:bottom w:val="single" w:sz="4" w:space="0" w:color="auto"/>
              <w:right w:val="single" w:sz="4" w:space="0" w:color="auto"/>
            </w:tcBorders>
            <w:shd w:val="clear" w:color="000000" w:fill="F2DCDB"/>
            <w:vAlign w:val="center"/>
            <w:hideMark/>
          </w:tcPr>
          <w:p w14:paraId="734C8A1A" w14:textId="77777777" w:rsidR="00C2711B" w:rsidRPr="004873D9" w:rsidRDefault="00AD1B7E" w:rsidP="00AD1B7E">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Rubella vaccine c</w:t>
            </w:r>
            <w:r w:rsidR="00C2711B" w:rsidRPr="004873D9">
              <w:rPr>
                <w:rFonts w:ascii="Calibri" w:eastAsia="Times New Roman" w:hAnsi="Calibri" w:cs="Calibri"/>
                <w:b/>
                <w:bCs/>
                <w:color w:val="000000"/>
                <w:lang w:eastAsia="en-GB"/>
              </w:rPr>
              <w:t xml:space="preserve">overage  </w:t>
            </w:r>
          </w:p>
        </w:tc>
        <w:tc>
          <w:tcPr>
            <w:tcW w:w="2300" w:type="dxa"/>
            <w:tcBorders>
              <w:top w:val="nil"/>
              <w:left w:val="nil"/>
              <w:bottom w:val="single" w:sz="4" w:space="0" w:color="auto"/>
              <w:right w:val="single" w:sz="4" w:space="0" w:color="auto"/>
            </w:tcBorders>
            <w:shd w:val="clear" w:color="000000" w:fill="FF0000"/>
            <w:vAlign w:val="center"/>
            <w:hideMark/>
          </w:tcPr>
          <w:p w14:paraId="5A5B0CBE" w14:textId="77777777" w:rsidR="00C2711B" w:rsidRPr="004873D9" w:rsidRDefault="00AD1B7E" w:rsidP="00AD1B7E">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Vaccine n</w:t>
            </w:r>
            <w:r w:rsidR="00C2711B" w:rsidRPr="004873D9">
              <w:rPr>
                <w:rFonts w:ascii="Calibri" w:eastAsia="Times New Roman" w:hAnsi="Calibri" w:cs="Calibri"/>
                <w:b/>
                <w:bCs/>
                <w:color w:val="000000"/>
                <w:lang w:eastAsia="en-GB"/>
              </w:rPr>
              <w:t>ot introduced</w:t>
            </w:r>
          </w:p>
        </w:tc>
      </w:tr>
      <w:tr w:rsidR="00C2711B" w:rsidRPr="004873D9" w14:paraId="546B6279" w14:textId="77777777" w:rsidTr="00886641">
        <w:trPr>
          <w:trHeight w:val="300"/>
          <w:jc w:val="center"/>
        </w:trPr>
        <w:tc>
          <w:tcPr>
            <w:tcW w:w="3220" w:type="dxa"/>
            <w:vMerge/>
            <w:tcBorders>
              <w:left w:val="single" w:sz="4" w:space="0" w:color="auto"/>
              <w:bottom w:val="single" w:sz="4" w:space="0" w:color="auto"/>
              <w:right w:val="single" w:sz="4" w:space="0" w:color="auto"/>
            </w:tcBorders>
            <w:shd w:val="clear" w:color="000000" w:fill="F2DCDB"/>
            <w:vAlign w:val="center"/>
            <w:hideMark/>
          </w:tcPr>
          <w:p w14:paraId="39841CA5" w14:textId="77777777" w:rsidR="00C2711B" w:rsidRPr="004873D9" w:rsidRDefault="00C2711B" w:rsidP="00C2711B">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F2DCDB"/>
            <w:vAlign w:val="center"/>
            <w:hideMark/>
          </w:tcPr>
          <w:p w14:paraId="1C4BC9AC" w14:textId="77777777" w:rsidR="00C2711B" w:rsidRPr="004873D9" w:rsidRDefault="00C2711B"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SIAs planned?</w:t>
            </w:r>
          </w:p>
        </w:tc>
        <w:tc>
          <w:tcPr>
            <w:tcW w:w="2300" w:type="dxa"/>
            <w:tcBorders>
              <w:top w:val="nil"/>
              <w:left w:val="nil"/>
              <w:bottom w:val="single" w:sz="4" w:space="0" w:color="auto"/>
              <w:right w:val="single" w:sz="4" w:space="0" w:color="auto"/>
            </w:tcBorders>
            <w:shd w:val="clear" w:color="000000" w:fill="00B050"/>
            <w:vAlign w:val="center"/>
            <w:hideMark/>
          </w:tcPr>
          <w:p w14:paraId="22849C42" w14:textId="77777777" w:rsidR="00C2711B" w:rsidRPr="004873D9" w:rsidRDefault="00C2711B"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SIAs planned for 2017</w:t>
            </w:r>
          </w:p>
        </w:tc>
      </w:tr>
      <w:tr w:rsidR="00AD1B7E" w:rsidRPr="004873D9" w14:paraId="74A6572A" w14:textId="77777777" w:rsidTr="00AD1B7E">
        <w:trPr>
          <w:trHeight w:val="413"/>
          <w:jc w:val="center"/>
        </w:trPr>
        <w:tc>
          <w:tcPr>
            <w:tcW w:w="3220" w:type="dxa"/>
            <w:vMerge w:val="restart"/>
            <w:tcBorders>
              <w:top w:val="nil"/>
              <w:left w:val="single" w:sz="4" w:space="0" w:color="auto"/>
              <w:right w:val="single" w:sz="4" w:space="0" w:color="auto"/>
            </w:tcBorders>
            <w:shd w:val="clear" w:color="000000" w:fill="EBF1DE"/>
            <w:hideMark/>
          </w:tcPr>
          <w:p w14:paraId="36AD9546" w14:textId="77777777" w:rsidR="00AD1B7E" w:rsidRPr="004873D9" w:rsidRDefault="00AD1B7E" w:rsidP="00AD1B7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5. Reach 90% national coverage and 80% in every district with DTP3cv</w:t>
            </w:r>
          </w:p>
        </w:tc>
        <w:tc>
          <w:tcPr>
            <w:tcW w:w="3900" w:type="dxa"/>
            <w:tcBorders>
              <w:top w:val="nil"/>
              <w:left w:val="nil"/>
              <w:bottom w:val="single" w:sz="4" w:space="0" w:color="auto"/>
              <w:right w:val="single" w:sz="4" w:space="0" w:color="auto"/>
            </w:tcBorders>
            <w:shd w:val="clear" w:color="000000" w:fill="EBF1DE"/>
            <w:vAlign w:val="center"/>
            <w:hideMark/>
          </w:tcPr>
          <w:p w14:paraId="3C4465B0" w14:textId="77777777" w:rsidR="00AD1B7E" w:rsidRPr="004873D9" w:rsidRDefault="00AD1B7E" w:rsidP="00AD1B7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National coverage (</w:t>
            </w:r>
            <w:r>
              <w:rPr>
                <w:rFonts w:ascii="Calibri" w:eastAsia="Times New Roman" w:hAnsi="Calibri" w:cs="Calibri"/>
                <w:b/>
                <w:bCs/>
                <w:color w:val="000000"/>
                <w:lang w:eastAsia="en-GB"/>
              </w:rPr>
              <w:t xml:space="preserve">2015 </w:t>
            </w:r>
            <w:r w:rsidRPr="004873D9">
              <w:rPr>
                <w:rFonts w:ascii="Calibri" w:eastAsia="Times New Roman" w:hAnsi="Calibri" w:cs="Calibri"/>
                <w:b/>
                <w:bCs/>
                <w:color w:val="000000"/>
                <w:lang w:eastAsia="en-GB"/>
              </w:rPr>
              <w:t>WUENIC)</w:t>
            </w:r>
          </w:p>
        </w:tc>
        <w:tc>
          <w:tcPr>
            <w:tcW w:w="2300" w:type="dxa"/>
            <w:tcBorders>
              <w:top w:val="nil"/>
              <w:left w:val="nil"/>
              <w:bottom w:val="single" w:sz="4" w:space="0" w:color="auto"/>
              <w:right w:val="single" w:sz="4" w:space="0" w:color="auto"/>
            </w:tcBorders>
            <w:shd w:val="clear" w:color="000000" w:fill="FFC000"/>
            <w:vAlign w:val="center"/>
            <w:hideMark/>
          </w:tcPr>
          <w:p w14:paraId="26FDE0D0" w14:textId="77777777" w:rsidR="00AD1B7E" w:rsidRPr="004873D9" w:rsidRDefault="00AD1B7E" w:rsidP="00AD1B7E">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8</w:t>
            </w:r>
            <w:r>
              <w:rPr>
                <w:rFonts w:ascii="Calibri" w:eastAsia="Times New Roman" w:hAnsi="Calibri" w:cs="Calibri"/>
                <w:b/>
                <w:bCs/>
                <w:color w:val="000000"/>
                <w:lang w:eastAsia="en-GB"/>
              </w:rPr>
              <w:t>1</w:t>
            </w:r>
            <w:r w:rsidRPr="004873D9">
              <w:rPr>
                <w:rFonts w:ascii="Calibri" w:eastAsia="Times New Roman" w:hAnsi="Calibri" w:cs="Calibri"/>
                <w:b/>
                <w:bCs/>
                <w:color w:val="000000"/>
                <w:lang w:eastAsia="en-GB"/>
              </w:rPr>
              <w:t>%</w:t>
            </w:r>
          </w:p>
        </w:tc>
      </w:tr>
      <w:tr w:rsidR="00AD1B7E" w:rsidRPr="004873D9" w14:paraId="6BF9B0AD" w14:textId="77777777" w:rsidTr="00AD1B7E">
        <w:trPr>
          <w:trHeight w:val="602"/>
          <w:jc w:val="center"/>
        </w:trPr>
        <w:tc>
          <w:tcPr>
            <w:tcW w:w="3220" w:type="dxa"/>
            <w:vMerge/>
            <w:tcBorders>
              <w:left w:val="single" w:sz="4" w:space="0" w:color="auto"/>
              <w:right w:val="single" w:sz="4" w:space="0" w:color="auto"/>
            </w:tcBorders>
            <w:shd w:val="clear" w:color="000000" w:fill="EBF1DE"/>
            <w:vAlign w:val="center"/>
          </w:tcPr>
          <w:p w14:paraId="2C6ACAAA" w14:textId="77777777" w:rsidR="00AD1B7E" w:rsidRPr="004873D9" w:rsidRDefault="00AD1B7E"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EBF1DE"/>
            <w:vAlign w:val="center"/>
            <w:hideMark/>
          </w:tcPr>
          <w:p w14:paraId="17ED9E86" w14:textId="77777777" w:rsidR="00AD1B7E" w:rsidRPr="004873D9" w:rsidRDefault="00AD1B7E" w:rsidP="00AD1B7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Drop-out rate DTP1 </w:t>
            </w:r>
            <w:r>
              <w:rPr>
                <w:rFonts w:ascii="Calibri" w:eastAsia="Times New Roman" w:hAnsi="Calibri" w:cs="Calibri"/>
                <w:b/>
                <w:bCs/>
                <w:color w:val="000000"/>
                <w:lang w:eastAsia="en-GB"/>
              </w:rPr>
              <w:t xml:space="preserve">to </w:t>
            </w:r>
            <w:r w:rsidRPr="004873D9">
              <w:rPr>
                <w:rFonts w:ascii="Calibri" w:eastAsia="Times New Roman" w:hAnsi="Calibri" w:cs="Calibri"/>
                <w:b/>
                <w:bCs/>
                <w:color w:val="000000"/>
                <w:lang w:eastAsia="en-GB"/>
              </w:rPr>
              <w:t>DTP3 (201</w:t>
            </w:r>
            <w:r>
              <w:rPr>
                <w:rFonts w:ascii="Calibri" w:eastAsia="Times New Roman" w:hAnsi="Calibri" w:cs="Calibri"/>
                <w:b/>
                <w:bCs/>
                <w:color w:val="000000"/>
                <w:lang w:eastAsia="en-GB"/>
              </w:rPr>
              <w:t>5 WUENIC)</w:t>
            </w:r>
          </w:p>
        </w:tc>
        <w:tc>
          <w:tcPr>
            <w:tcW w:w="2300" w:type="dxa"/>
            <w:tcBorders>
              <w:top w:val="nil"/>
              <w:left w:val="nil"/>
              <w:bottom w:val="single" w:sz="4" w:space="0" w:color="auto"/>
              <w:right w:val="single" w:sz="4" w:space="0" w:color="auto"/>
            </w:tcBorders>
            <w:shd w:val="clear" w:color="000000" w:fill="00B050"/>
            <w:vAlign w:val="center"/>
            <w:hideMark/>
          </w:tcPr>
          <w:p w14:paraId="11E72817" w14:textId="77777777" w:rsidR="00AD1B7E" w:rsidRPr="004873D9" w:rsidRDefault="00AD1B7E"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1%</w:t>
            </w:r>
          </w:p>
        </w:tc>
      </w:tr>
      <w:tr w:rsidR="00AD1B7E" w:rsidRPr="004873D9" w14:paraId="551BE49D" w14:textId="77777777" w:rsidTr="00AD1B7E">
        <w:trPr>
          <w:trHeight w:val="728"/>
          <w:jc w:val="center"/>
        </w:trPr>
        <w:tc>
          <w:tcPr>
            <w:tcW w:w="3220" w:type="dxa"/>
            <w:vMerge/>
            <w:tcBorders>
              <w:left w:val="single" w:sz="4" w:space="0" w:color="auto"/>
              <w:right w:val="single" w:sz="4" w:space="0" w:color="auto"/>
            </w:tcBorders>
            <w:shd w:val="clear" w:color="000000" w:fill="EBF1DE"/>
            <w:vAlign w:val="center"/>
          </w:tcPr>
          <w:p w14:paraId="64FBD122" w14:textId="77777777" w:rsidR="00AD1B7E" w:rsidRPr="004873D9" w:rsidRDefault="00AD1B7E"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EBF1DE"/>
            <w:vAlign w:val="center"/>
            <w:hideMark/>
          </w:tcPr>
          <w:p w14:paraId="2B9301F5" w14:textId="77777777" w:rsidR="00AD1B7E" w:rsidRPr="004873D9" w:rsidRDefault="00AD1B7E" w:rsidP="00AD1B7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Actual numbers of children that dropped out (201</w:t>
            </w:r>
            <w:r>
              <w:rPr>
                <w:rFonts w:ascii="Calibri" w:eastAsia="Times New Roman" w:hAnsi="Calibri" w:cs="Calibri"/>
                <w:b/>
                <w:bCs/>
                <w:color w:val="000000"/>
                <w:lang w:eastAsia="en-GB"/>
              </w:rPr>
              <w:t>5</w:t>
            </w:r>
            <w:r w:rsidRPr="004873D9">
              <w:rPr>
                <w:rFonts w:ascii="Calibri" w:eastAsia="Times New Roman" w:hAnsi="Calibri" w:cs="Calibri"/>
                <w:b/>
                <w:bCs/>
                <w:color w:val="000000"/>
                <w:lang w:eastAsia="en-GB"/>
              </w:rPr>
              <w:t xml:space="preserve"> WUENIC)</w:t>
            </w:r>
          </w:p>
        </w:tc>
        <w:tc>
          <w:tcPr>
            <w:tcW w:w="2300" w:type="dxa"/>
            <w:tcBorders>
              <w:top w:val="nil"/>
              <w:left w:val="nil"/>
              <w:bottom w:val="single" w:sz="4" w:space="0" w:color="auto"/>
              <w:right w:val="single" w:sz="4" w:space="0" w:color="auto"/>
            </w:tcBorders>
            <w:shd w:val="clear" w:color="000000" w:fill="00B050"/>
            <w:vAlign w:val="center"/>
            <w:hideMark/>
          </w:tcPr>
          <w:p w14:paraId="41BEF077" w14:textId="30D70883" w:rsidR="00AD1B7E" w:rsidRPr="004873D9" w:rsidRDefault="00AD1B7E" w:rsidP="00B7182E">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2</w:t>
            </w:r>
            <w:r w:rsidR="00B7182E">
              <w:rPr>
                <w:rFonts w:ascii="Calibri" w:eastAsia="Times New Roman" w:hAnsi="Calibri" w:cs="Calibri"/>
                <w:b/>
                <w:bCs/>
                <w:color w:val="000000"/>
                <w:lang w:eastAsia="en-GB"/>
              </w:rPr>
              <w:t>9,937</w:t>
            </w:r>
          </w:p>
        </w:tc>
      </w:tr>
      <w:tr w:rsidR="00AD1B7E" w:rsidRPr="004873D9" w14:paraId="5893EBB3" w14:textId="77777777" w:rsidTr="00AD1B7E">
        <w:trPr>
          <w:trHeight w:val="692"/>
          <w:jc w:val="center"/>
        </w:trPr>
        <w:tc>
          <w:tcPr>
            <w:tcW w:w="3220" w:type="dxa"/>
            <w:vMerge/>
            <w:tcBorders>
              <w:left w:val="single" w:sz="4" w:space="0" w:color="auto"/>
              <w:right w:val="single" w:sz="4" w:space="0" w:color="auto"/>
            </w:tcBorders>
            <w:shd w:val="clear" w:color="000000" w:fill="EBF1DE"/>
            <w:vAlign w:val="center"/>
          </w:tcPr>
          <w:p w14:paraId="2A1E3DA4" w14:textId="77777777" w:rsidR="00AD1B7E" w:rsidRPr="004873D9" w:rsidRDefault="00AD1B7E"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EBF1DE"/>
            <w:vAlign w:val="center"/>
            <w:hideMark/>
          </w:tcPr>
          <w:p w14:paraId="652F97EA" w14:textId="77777777" w:rsidR="00AD1B7E" w:rsidRPr="004873D9" w:rsidRDefault="00AD1B7E"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Difference between poorest and richest quintile </w:t>
            </w:r>
            <w:r>
              <w:rPr>
                <w:rFonts w:ascii="Calibri" w:eastAsia="Times New Roman" w:hAnsi="Calibri" w:cs="Calibri"/>
                <w:b/>
                <w:bCs/>
                <w:color w:val="000000"/>
                <w:lang w:eastAsia="en-GB"/>
              </w:rPr>
              <w:t xml:space="preserve">in </w:t>
            </w:r>
            <w:r w:rsidRPr="004873D9">
              <w:rPr>
                <w:rFonts w:ascii="Calibri" w:eastAsia="Times New Roman" w:hAnsi="Calibri" w:cs="Calibri"/>
                <w:b/>
                <w:bCs/>
                <w:color w:val="000000"/>
                <w:lang w:eastAsia="en-GB"/>
              </w:rPr>
              <w:t xml:space="preserve">DTP3 coverage (2013 </w:t>
            </w:r>
            <w:r>
              <w:rPr>
                <w:rFonts w:ascii="Calibri" w:eastAsia="Times New Roman" w:hAnsi="Calibri" w:cs="Calibri"/>
                <w:b/>
                <w:bCs/>
                <w:color w:val="000000"/>
                <w:lang w:eastAsia="en-GB"/>
              </w:rPr>
              <w:t xml:space="preserve">DHS </w:t>
            </w:r>
            <w:r w:rsidRPr="004873D9">
              <w:rPr>
                <w:rFonts w:ascii="Calibri" w:eastAsia="Times New Roman" w:hAnsi="Calibri" w:cs="Calibri"/>
                <w:b/>
                <w:bCs/>
                <w:color w:val="000000"/>
                <w:lang w:eastAsia="en-GB"/>
              </w:rPr>
              <w:t>data)</w:t>
            </w:r>
          </w:p>
        </w:tc>
        <w:tc>
          <w:tcPr>
            <w:tcW w:w="2300" w:type="dxa"/>
            <w:tcBorders>
              <w:top w:val="nil"/>
              <w:left w:val="nil"/>
              <w:bottom w:val="single" w:sz="4" w:space="0" w:color="auto"/>
              <w:right w:val="single" w:sz="4" w:space="0" w:color="auto"/>
            </w:tcBorders>
            <w:shd w:val="clear" w:color="000000" w:fill="FF0000"/>
            <w:vAlign w:val="center"/>
            <w:hideMark/>
          </w:tcPr>
          <w:p w14:paraId="6DE3D5F4" w14:textId="77777777" w:rsidR="00AD1B7E" w:rsidRPr="004873D9" w:rsidRDefault="00AD1B7E"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34.9</w:t>
            </w:r>
          </w:p>
        </w:tc>
      </w:tr>
      <w:tr w:rsidR="00AD1B7E" w:rsidRPr="004873D9" w14:paraId="4231FC10" w14:textId="77777777" w:rsidTr="00AD1B7E">
        <w:trPr>
          <w:trHeight w:val="602"/>
          <w:jc w:val="center"/>
        </w:trPr>
        <w:tc>
          <w:tcPr>
            <w:tcW w:w="3220" w:type="dxa"/>
            <w:vMerge/>
            <w:tcBorders>
              <w:left w:val="single" w:sz="4" w:space="0" w:color="auto"/>
              <w:bottom w:val="single" w:sz="4" w:space="0" w:color="auto"/>
              <w:right w:val="single" w:sz="4" w:space="0" w:color="auto"/>
            </w:tcBorders>
            <w:shd w:val="clear" w:color="000000" w:fill="EBF1DE"/>
            <w:vAlign w:val="center"/>
          </w:tcPr>
          <w:p w14:paraId="3DC607D2" w14:textId="77777777" w:rsidR="00AD1B7E" w:rsidRPr="004873D9" w:rsidRDefault="00AD1B7E" w:rsidP="004873D9">
            <w:pPr>
              <w:spacing w:after="0" w:line="240" w:lineRule="auto"/>
              <w:rPr>
                <w:rFonts w:ascii="Calibri" w:eastAsia="Times New Roman" w:hAnsi="Calibri" w:cs="Calibri"/>
                <w:b/>
                <w:bCs/>
                <w:color w:val="000000"/>
                <w:lang w:eastAsia="en-GB"/>
              </w:rPr>
            </w:pPr>
          </w:p>
        </w:tc>
        <w:tc>
          <w:tcPr>
            <w:tcW w:w="3900" w:type="dxa"/>
            <w:tcBorders>
              <w:top w:val="nil"/>
              <w:left w:val="nil"/>
              <w:bottom w:val="single" w:sz="4" w:space="0" w:color="auto"/>
              <w:right w:val="single" w:sz="4" w:space="0" w:color="auto"/>
            </w:tcBorders>
            <w:shd w:val="clear" w:color="000000" w:fill="EBF1DE"/>
            <w:vAlign w:val="center"/>
            <w:hideMark/>
          </w:tcPr>
          <w:p w14:paraId="7126DC4D" w14:textId="77777777" w:rsidR="00AD1B7E" w:rsidRPr="004873D9" w:rsidRDefault="00AD1B7E" w:rsidP="00AD1B7E">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 of d</w:t>
            </w:r>
            <w:r w:rsidRPr="004873D9">
              <w:rPr>
                <w:rFonts w:ascii="Calibri" w:eastAsia="Times New Roman" w:hAnsi="Calibri" w:cs="Calibri"/>
                <w:b/>
                <w:bCs/>
                <w:color w:val="000000"/>
                <w:lang w:eastAsia="en-GB"/>
              </w:rPr>
              <w:t>istrict</w:t>
            </w:r>
            <w:r>
              <w:rPr>
                <w:rFonts w:ascii="Calibri" w:eastAsia="Times New Roman" w:hAnsi="Calibri" w:cs="Calibri"/>
                <w:b/>
                <w:bCs/>
                <w:color w:val="000000"/>
                <w:lang w:eastAsia="en-GB"/>
              </w:rPr>
              <w:t>s</w:t>
            </w:r>
            <w:r w:rsidRPr="004873D9">
              <w:rPr>
                <w:rFonts w:ascii="Calibri" w:eastAsia="Times New Roman" w:hAnsi="Calibri" w:cs="Calibri"/>
                <w:b/>
                <w:bCs/>
                <w:color w:val="000000"/>
                <w:lang w:eastAsia="en-GB"/>
              </w:rPr>
              <w:t xml:space="preserve"> reaching 80% coverage</w:t>
            </w:r>
            <w:r>
              <w:rPr>
                <w:rFonts w:ascii="Calibri" w:eastAsia="Times New Roman" w:hAnsi="Calibri" w:cs="Calibri"/>
                <w:b/>
                <w:bCs/>
                <w:color w:val="000000"/>
                <w:lang w:eastAsia="en-GB"/>
              </w:rPr>
              <w:t xml:space="preserve"> (</w:t>
            </w:r>
            <w:r w:rsidRPr="004873D9">
              <w:rPr>
                <w:rFonts w:ascii="Calibri" w:eastAsia="Times New Roman" w:hAnsi="Calibri" w:cs="Calibri"/>
                <w:b/>
                <w:bCs/>
                <w:color w:val="000000"/>
                <w:lang w:eastAsia="en-GB"/>
              </w:rPr>
              <w:t>2015 JRF</w:t>
            </w:r>
            <w:r>
              <w:rPr>
                <w:rFonts w:ascii="Calibri" w:eastAsia="Times New Roman" w:hAnsi="Calibri" w:cs="Calibri"/>
                <w:b/>
                <w:bCs/>
                <w:color w:val="000000"/>
                <w:lang w:eastAsia="en-GB"/>
              </w:rPr>
              <w:t>)</w:t>
            </w:r>
          </w:p>
        </w:tc>
        <w:tc>
          <w:tcPr>
            <w:tcW w:w="2300" w:type="dxa"/>
            <w:tcBorders>
              <w:top w:val="nil"/>
              <w:left w:val="nil"/>
              <w:bottom w:val="single" w:sz="4" w:space="0" w:color="auto"/>
              <w:right w:val="single" w:sz="4" w:space="0" w:color="auto"/>
            </w:tcBorders>
            <w:shd w:val="clear" w:color="000000" w:fill="FFC000"/>
            <w:vAlign w:val="center"/>
            <w:hideMark/>
          </w:tcPr>
          <w:p w14:paraId="7ADE6E14" w14:textId="77777777" w:rsidR="00AD1B7E" w:rsidRPr="004873D9" w:rsidRDefault="00AD1B7E"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86%</w:t>
            </w:r>
          </w:p>
        </w:tc>
      </w:tr>
      <w:tr w:rsidR="004873D9" w:rsidRPr="004873D9" w14:paraId="3A775657" w14:textId="77777777" w:rsidTr="00AD1B7E">
        <w:trPr>
          <w:trHeight w:val="1880"/>
          <w:jc w:val="center"/>
        </w:trPr>
        <w:tc>
          <w:tcPr>
            <w:tcW w:w="3220" w:type="dxa"/>
            <w:tcBorders>
              <w:top w:val="nil"/>
              <w:left w:val="single" w:sz="4" w:space="0" w:color="auto"/>
              <w:bottom w:val="single" w:sz="4" w:space="0" w:color="auto"/>
              <w:right w:val="single" w:sz="4" w:space="0" w:color="auto"/>
            </w:tcBorders>
            <w:shd w:val="clear" w:color="000000" w:fill="EBF1DE"/>
            <w:hideMark/>
          </w:tcPr>
          <w:p w14:paraId="129FC2F7" w14:textId="77777777" w:rsidR="004873D9" w:rsidRPr="004873D9" w:rsidRDefault="004873D9" w:rsidP="00AD1B7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6. Reach 90% and 80% coverage with all vaccines in national immunization programmes</w:t>
            </w:r>
          </w:p>
        </w:tc>
        <w:tc>
          <w:tcPr>
            <w:tcW w:w="3900" w:type="dxa"/>
            <w:tcBorders>
              <w:top w:val="nil"/>
              <w:left w:val="nil"/>
              <w:bottom w:val="single" w:sz="4" w:space="0" w:color="auto"/>
              <w:right w:val="single" w:sz="4" w:space="0" w:color="auto"/>
            </w:tcBorders>
            <w:shd w:val="clear" w:color="000000" w:fill="EBF1DE"/>
            <w:hideMark/>
          </w:tcPr>
          <w:p w14:paraId="16072658" w14:textId="77777777" w:rsidR="004873D9" w:rsidRPr="004873D9" w:rsidRDefault="00AD1B7E" w:rsidP="00AD1B7E">
            <w:pPr>
              <w:spacing w:after="0" w:line="240" w:lineRule="auto"/>
              <w:rPr>
                <w:rFonts w:ascii="Calibri" w:eastAsia="Times New Roman" w:hAnsi="Calibri" w:cs="Calibri"/>
                <w:b/>
                <w:bCs/>
                <w:color w:val="000000"/>
                <w:lang w:eastAsia="en-GB"/>
              </w:rPr>
            </w:pPr>
            <w:r>
              <w:rPr>
                <w:rFonts w:ascii="Calibri" w:eastAsia="Times New Roman" w:hAnsi="Calibri" w:cs="Calibri"/>
                <w:b/>
                <w:bCs/>
                <w:color w:val="000000"/>
                <w:lang w:eastAsia="en-GB"/>
              </w:rPr>
              <w:t>National c</w:t>
            </w:r>
            <w:r w:rsidR="004873D9" w:rsidRPr="004873D9">
              <w:rPr>
                <w:rFonts w:ascii="Calibri" w:eastAsia="Times New Roman" w:hAnsi="Calibri" w:cs="Calibri"/>
                <w:b/>
                <w:bCs/>
                <w:color w:val="000000"/>
                <w:lang w:eastAsia="en-GB"/>
              </w:rPr>
              <w:t>overage   (201</w:t>
            </w:r>
            <w:r>
              <w:rPr>
                <w:rFonts w:ascii="Calibri" w:eastAsia="Times New Roman" w:hAnsi="Calibri" w:cs="Calibri"/>
                <w:b/>
                <w:bCs/>
                <w:color w:val="000000"/>
                <w:lang w:eastAsia="en-GB"/>
              </w:rPr>
              <w:t>5</w:t>
            </w:r>
            <w:r w:rsidR="004873D9" w:rsidRPr="004873D9">
              <w:rPr>
                <w:rFonts w:ascii="Calibri" w:eastAsia="Times New Roman" w:hAnsi="Calibri" w:cs="Calibri"/>
                <w:b/>
                <w:bCs/>
                <w:color w:val="000000"/>
                <w:lang w:eastAsia="en-GB"/>
              </w:rPr>
              <w:t xml:space="preserve"> WUENIC)</w:t>
            </w:r>
          </w:p>
        </w:tc>
        <w:tc>
          <w:tcPr>
            <w:tcW w:w="2300" w:type="dxa"/>
            <w:tcBorders>
              <w:top w:val="nil"/>
              <w:left w:val="nil"/>
              <w:bottom w:val="single" w:sz="4" w:space="0" w:color="auto"/>
              <w:right w:val="single" w:sz="4" w:space="0" w:color="auto"/>
            </w:tcBorders>
            <w:shd w:val="clear" w:color="000000" w:fill="FF0000"/>
            <w:hideMark/>
          </w:tcPr>
          <w:p w14:paraId="2B56C2AE" w14:textId="77777777" w:rsidR="004873D9" w:rsidRPr="004873D9" w:rsidRDefault="004873D9" w:rsidP="00AD1B7E">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BCG</w:t>
            </w:r>
            <w:r w:rsidR="00AD1B7E">
              <w:rPr>
                <w:rFonts w:ascii="Calibri" w:eastAsia="Times New Roman" w:hAnsi="Calibri" w:cs="Calibri"/>
                <w:b/>
                <w:bCs/>
                <w:color w:val="000000"/>
                <w:lang w:eastAsia="en-GB"/>
              </w:rPr>
              <w:t>: 74</w:t>
            </w:r>
            <w:r w:rsidRPr="004873D9">
              <w:rPr>
                <w:rFonts w:ascii="Calibri" w:eastAsia="Times New Roman" w:hAnsi="Calibri" w:cs="Calibri"/>
                <w:b/>
                <w:bCs/>
                <w:color w:val="000000"/>
                <w:lang w:eastAsia="en-GB"/>
              </w:rPr>
              <w:br/>
              <w:t>DTP-HepB-Hib1: 8</w:t>
            </w:r>
            <w:r w:rsidR="00AD1B7E">
              <w:rPr>
                <w:rFonts w:ascii="Calibri" w:eastAsia="Times New Roman" w:hAnsi="Calibri" w:cs="Calibri"/>
                <w:b/>
                <w:bCs/>
                <w:color w:val="000000"/>
                <w:lang w:eastAsia="en-GB"/>
              </w:rPr>
              <w:t>2</w:t>
            </w:r>
            <w:r w:rsidRPr="004873D9">
              <w:rPr>
                <w:rFonts w:ascii="Calibri" w:eastAsia="Times New Roman" w:hAnsi="Calibri" w:cs="Calibri"/>
                <w:b/>
                <w:bCs/>
                <w:color w:val="000000"/>
                <w:lang w:eastAsia="en-GB"/>
              </w:rPr>
              <w:t xml:space="preserve">   </w:t>
            </w:r>
            <w:r w:rsidRPr="004873D9">
              <w:rPr>
                <w:rFonts w:ascii="Calibri" w:eastAsia="Times New Roman" w:hAnsi="Calibri" w:cs="Calibri"/>
                <w:b/>
                <w:bCs/>
                <w:color w:val="000000"/>
                <w:lang w:eastAsia="en-GB"/>
              </w:rPr>
              <w:br/>
              <w:t>DTP-HepB-Hib3: 8</w:t>
            </w:r>
            <w:r w:rsidR="00AD1B7E">
              <w:rPr>
                <w:rFonts w:ascii="Calibri" w:eastAsia="Times New Roman" w:hAnsi="Calibri" w:cs="Calibri"/>
                <w:b/>
                <w:bCs/>
                <w:color w:val="000000"/>
                <w:lang w:eastAsia="en-GB"/>
              </w:rPr>
              <w:t>1</w:t>
            </w:r>
            <w:r w:rsidRPr="004873D9">
              <w:rPr>
                <w:rFonts w:ascii="Calibri" w:eastAsia="Times New Roman" w:hAnsi="Calibri" w:cs="Calibri"/>
                <w:b/>
                <w:bCs/>
                <w:color w:val="000000"/>
                <w:lang w:eastAsia="en-GB"/>
              </w:rPr>
              <w:t xml:space="preserve">  MCV1: 7</w:t>
            </w:r>
            <w:r w:rsidR="00AD1B7E">
              <w:rPr>
                <w:rFonts w:ascii="Calibri" w:eastAsia="Times New Roman" w:hAnsi="Calibri" w:cs="Calibri"/>
                <w:b/>
                <w:bCs/>
                <w:color w:val="000000"/>
                <w:lang w:eastAsia="en-GB"/>
              </w:rPr>
              <w:t>9</w:t>
            </w:r>
            <w:r w:rsidRPr="004873D9">
              <w:rPr>
                <w:rFonts w:ascii="Calibri" w:eastAsia="Times New Roman" w:hAnsi="Calibri" w:cs="Calibri"/>
                <w:b/>
                <w:bCs/>
                <w:color w:val="000000"/>
                <w:lang w:eastAsia="en-GB"/>
              </w:rPr>
              <w:br/>
              <w:t>PCV3</w:t>
            </w:r>
            <w:r w:rsidR="00AD1B7E">
              <w:rPr>
                <w:rFonts w:ascii="Calibri" w:eastAsia="Times New Roman" w:hAnsi="Calibri" w:cs="Calibri"/>
                <w:b/>
                <w:bCs/>
                <w:color w:val="000000"/>
                <w:lang w:eastAsia="en-GB"/>
              </w:rPr>
              <w:t>: 73</w:t>
            </w:r>
            <w:r w:rsidRPr="004873D9">
              <w:rPr>
                <w:rFonts w:ascii="Calibri" w:eastAsia="Times New Roman" w:hAnsi="Calibri" w:cs="Calibri"/>
                <w:b/>
                <w:bCs/>
                <w:color w:val="000000"/>
                <w:lang w:eastAsia="en-GB"/>
              </w:rPr>
              <w:t xml:space="preserve"> </w:t>
            </w:r>
            <w:r w:rsidRPr="004873D9">
              <w:rPr>
                <w:rFonts w:ascii="Calibri" w:eastAsia="Times New Roman" w:hAnsi="Calibri" w:cs="Calibri"/>
                <w:b/>
                <w:bCs/>
                <w:color w:val="000000"/>
                <w:lang w:eastAsia="en-GB"/>
              </w:rPr>
              <w:br/>
              <w:t>Pol</w:t>
            </w:r>
            <w:r w:rsidR="00AD1B7E">
              <w:rPr>
                <w:rFonts w:ascii="Calibri" w:eastAsia="Times New Roman" w:hAnsi="Calibri" w:cs="Calibri"/>
                <w:b/>
                <w:bCs/>
                <w:color w:val="000000"/>
                <w:lang w:eastAsia="en-GB"/>
              </w:rPr>
              <w:t>io</w:t>
            </w:r>
            <w:r w:rsidRPr="004873D9">
              <w:rPr>
                <w:rFonts w:ascii="Calibri" w:eastAsia="Times New Roman" w:hAnsi="Calibri" w:cs="Calibri"/>
                <w:b/>
                <w:bCs/>
                <w:color w:val="000000"/>
                <w:lang w:eastAsia="en-GB"/>
              </w:rPr>
              <w:t>3</w:t>
            </w:r>
            <w:r w:rsidR="00AD1B7E">
              <w:rPr>
                <w:rFonts w:ascii="Calibri" w:eastAsia="Times New Roman" w:hAnsi="Calibri" w:cs="Calibri"/>
                <w:b/>
                <w:bCs/>
                <w:color w:val="000000"/>
                <w:lang w:eastAsia="en-GB"/>
              </w:rPr>
              <w:t>:</w:t>
            </w:r>
            <w:r w:rsidRPr="004873D9">
              <w:rPr>
                <w:rFonts w:ascii="Calibri" w:eastAsia="Times New Roman" w:hAnsi="Calibri" w:cs="Calibri"/>
                <w:b/>
                <w:bCs/>
                <w:color w:val="000000"/>
                <w:lang w:eastAsia="en-GB"/>
              </w:rPr>
              <w:t xml:space="preserve"> 7</w:t>
            </w:r>
            <w:r w:rsidR="00AD1B7E">
              <w:rPr>
                <w:rFonts w:ascii="Calibri" w:eastAsia="Times New Roman" w:hAnsi="Calibri" w:cs="Calibri"/>
                <w:b/>
                <w:bCs/>
                <w:color w:val="000000"/>
                <w:lang w:eastAsia="en-GB"/>
              </w:rPr>
              <w:t>8</w:t>
            </w:r>
            <w:r w:rsidRPr="004873D9">
              <w:rPr>
                <w:rFonts w:ascii="Calibri" w:eastAsia="Times New Roman" w:hAnsi="Calibri" w:cs="Calibri"/>
                <w:b/>
                <w:bCs/>
                <w:color w:val="000000"/>
                <w:lang w:eastAsia="en-GB"/>
              </w:rPr>
              <w:t xml:space="preserve"> </w:t>
            </w:r>
            <w:r w:rsidRPr="004873D9">
              <w:rPr>
                <w:rFonts w:ascii="Calibri" w:eastAsia="Times New Roman" w:hAnsi="Calibri" w:cs="Calibri"/>
                <w:b/>
                <w:bCs/>
                <w:color w:val="000000"/>
                <w:lang w:eastAsia="en-GB"/>
              </w:rPr>
              <w:br/>
              <w:t>YF</w:t>
            </w:r>
            <w:r w:rsidR="00AD1B7E">
              <w:rPr>
                <w:rFonts w:ascii="Calibri" w:eastAsia="Times New Roman" w:hAnsi="Calibri" w:cs="Calibri"/>
                <w:b/>
                <w:bCs/>
                <w:color w:val="000000"/>
                <w:lang w:eastAsia="en-GB"/>
              </w:rPr>
              <w:t>:</w:t>
            </w:r>
            <w:r w:rsidRPr="004873D9">
              <w:rPr>
                <w:rFonts w:ascii="Calibri" w:eastAsia="Times New Roman" w:hAnsi="Calibri" w:cs="Calibri"/>
                <w:b/>
                <w:bCs/>
                <w:color w:val="000000"/>
                <w:lang w:eastAsia="en-GB"/>
              </w:rPr>
              <w:t xml:space="preserve"> 65</w:t>
            </w:r>
          </w:p>
        </w:tc>
      </w:tr>
      <w:tr w:rsidR="004873D9" w:rsidRPr="004873D9" w14:paraId="022D8FD6" w14:textId="77777777" w:rsidTr="00AD1B7E">
        <w:trPr>
          <w:trHeight w:val="900"/>
          <w:jc w:val="center"/>
        </w:trPr>
        <w:tc>
          <w:tcPr>
            <w:tcW w:w="3220" w:type="dxa"/>
            <w:tcBorders>
              <w:top w:val="nil"/>
              <w:left w:val="single" w:sz="4" w:space="0" w:color="auto"/>
              <w:bottom w:val="single" w:sz="4" w:space="0" w:color="auto"/>
              <w:right w:val="single" w:sz="4" w:space="0" w:color="auto"/>
            </w:tcBorders>
            <w:shd w:val="clear" w:color="000000" w:fill="E4DFEC"/>
            <w:hideMark/>
          </w:tcPr>
          <w:p w14:paraId="0F382C3D" w14:textId="77777777" w:rsidR="004873D9" w:rsidRPr="004873D9" w:rsidRDefault="004873D9" w:rsidP="00AD1B7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lastRenderedPageBreak/>
              <w:t>7. Introduction of new vaccines</w:t>
            </w:r>
          </w:p>
        </w:tc>
        <w:tc>
          <w:tcPr>
            <w:tcW w:w="3900" w:type="dxa"/>
            <w:tcBorders>
              <w:top w:val="nil"/>
              <w:left w:val="nil"/>
              <w:bottom w:val="single" w:sz="4" w:space="0" w:color="auto"/>
              <w:right w:val="single" w:sz="4" w:space="0" w:color="auto"/>
            </w:tcBorders>
            <w:shd w:val="clear" w:color="000000" w:fill="E4DFEC"/>
            <w:hideMark/>
          </w:tcPr>
          <w:p w14:paraId="7905D176" w14:textId="77777777" w:rsidR="004873D9" w:rsidRPr="004873D9" w:rsidRDefault="004873D9" w:rsidP="00AD1B7E">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New </w:t>
            </w:r>
            <w:r w:rsidR="00AD1B7E">
              <w:rPr>
                <w:rFonts w:ascii="Calibri" w:eastAsia="Times New Roman" w:hAnsi="Calibri" w:cs="Calibri"/>
                <w:b/>
                <w:bCs/>
                <w:color w:val="000000"/>
                <w:lang w:eastAsia="en-GB"/>
              </w:rPr>
              <w:t>v</w:t>
            </w:r>
            <w:r w:rsidRPr="004873D9">
              <w:rPr>
                <w:rFonts w:ascii="Calibri" w:eastAsia="Times New Roman" w:hAnsi="Calibri" w:cs="Calibri"/>
                <w:b/>
                <w:bCs/>
                <w:color w:val="000000"/>
                <w:lang w:eastAsia="en-GB"/>
              </w:rPr>
              <w:t>accines introduced</w:t>
            </w:r>
          </w:p>
        </w:tc>
        <w:tc>
          <w:tcPr>
            <w:tcW w:w="2300" w:type="dxa"/>
            <w:tcBorders>
              <w:top w:val="nil"/>
              <w:left w:val="nil"/>
              <w:bottom w:val="single" w:sz="4" w:space="0" w:color="auto"/>
              <w:right w:val="single" w:sz="4" w:space="0" w:color="auto"/>
            </w:tcBorders>
            <w:shd w:val="clear" w:color="000000" w:fill="00B050"/>
            <w:vAlign w:val="center"/>
            <w:hideMark/>
          </w:tcPr>
          <w:p w14:paraId="6F4189A2" w14:textId="77777777" w:rsidR="00AD1B7E" w:rsidRDefault="00AD1B7E" w:rsidP="004873D9">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Pentavalent: 2009</w:t>
            </w:r>
          </w:p>
          <w:p w14:paraId="404A101A" w14:textId="77777777" w:rsidR="004873D9" w:rsidRDefault="004873D9" w:rsidP="00AD1B7E">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PCV</w:t>
            </w:r>
            <w:r w:rsidR="00AD1B7E">
              <w:rPr>
                <w:rFonts w:ascii="Calibri" w:eastAsia="Times New Roman" w:hAnsi="Calibri" w:cs="Calibri"/>
                <w:b/>
                <w:bCs/>
                <w:color w:val="000000"/>
                <w:lang w:eastAsia="en-GB"/>
              </w:rPr>
              <w:t>: 2011-</w:t>
            </w:r>
            <w:r w:rsidRPr="004873D9">
              <w:rPr>
                <w:rFonts w:ascii="Calibri" w:eastAsia="Times New Roman" w:hAnsi="Calibri" w:cs="Calibri"/>
                <w:b/>
                <w:bCs/>
                <w:color w:val="000000"/>
                <w:lang w:eastAsia="en-GB"/>
              </w:rPr>
              <w:t>2013</w:t>
            </w:r>
            <w:r w:rsidR="00AD1B7E">
              <w:rPr>
                <w:rFonts w:ascii="Calibri" w:eastAsia="Times New Roman" w:hAnsi="Calibri" w:cs="Calibri"/>
                <w:b/>
                <w:bCs/>
                <w:color w:val="000000"/>
                <w:lang w:eastAsia="en-GB"/>
              </w:rPr>
              <w:t xml:space="preserve"> (phased in)</w:t>
            </w:r>
          </w:p>
          <w:p w14:paraId="74587FD9" w14:textId="77777777" w:rsidR="00AD1B7E" w:rsidRPr="004873D9" w:rsidRDefault="00AD1B7E" w:rsidP="00AD1B7E">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IPV: 2015</w:t>
            </w:r>
          </w:p>
        </w:tc>
      </w:tr>
      <w:tr w:rsidR="004873D9" w:rsidRPr="004873D9" w14:paraId="4A58D928" w14:textId="77777777" w:rsidTr="00AD1B7E">
        <w:trPr>
          <w:trHeight w:val="800"/>
          <w:jc w:val="center"/>
        </w:trPr>
        <w:tc>
          <w:tcPr>
            <w:tcW w:w="3220" w:type="dxa"/>
            <w:tcBorders>
              <w:top w:val="nil"/>
              <w:left w:val="single" w:sz="4" w:space="0" w:color="auto"/>
              <w:bottom w:val="single" w:sz="4" w:space="0" w:color="auto"/>
              <w:right w:val="single" w:sz="4" w:space="0" w:color="auto"/>
            </w:tcBorders>
            <w:shd w:val="clear" w:color="000000" w:fill="DAEEF3"/>
            <w:vAlign w:val="center"/>
            <w:hideMark/>
          </w:tcPr>
          <w:p w14:paraId="28F3BCB7" w14:textId="77777777" w:rsidR="004873D9" w:rsidRPr="004873D9" w:rsidRDefault="004873D9"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8. Reduction in under 5 mortality rate</w:t>
            </w:r>
          </w:p>
        </w:tc>
        <w:tc>
          <w:tcPr>
            <w:tcW w:w="3900" w:type="dxa"/>
            <w:tcBorders>
              <w:top w:val="nil"/>
              <w:left w:val="nil"/>
              <w:bottom w:val="single" w:sz="4" w:space="0" w:color="auto"/>
              <w:right w:val="single" w:sz="4" w:space="0" w:color="auto"/>
            </w:tcBorders>
            <w:shd w:val="clear" w:color="000000" w:fill="DAEEF3"/>
            <w:vAlign w:val="center"/>
            <w:hideMark/>
          </w:tcPr>
          <w:p w14:paraId="299B8643" w14:textId="77777777" w:rsidR="004873D9" w:rsidRPr="004873D9" w:rsidRDefault="004873D9"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UM5R 201 and 2015 (% diminution between 2010 and 2015) </w:t>
            </w:r>
          </w:p>
        </w:tc>
        <w:tc>
          <w:tcPr>
            <w:tcW w:w="2300" w:type="dxa"/>
            <w:tcBorders>
              <w:top w:val="nil"/>
              <w:left w:val="nil"/>
              <w:bottom w:val="single" w:sz="4" w:space="0" w:color="auto"/>
              <w:right w:val="single" w:sz="4" w:space="0" w:color="auto"/>
            </w:tcBorders>
            <w:shd w:val="clear" w:color="000000" w:fill="FF0000"/>
            <w:hideMark/>
          </w:tcPr>
          <w:p w14:paraId="4E7A7149" w14:textId="77777777" w:rsidR="004873D9" w:rsidRPr="004873D9" w:rsidRDefault="004873D9"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2010: 116.1</w:t>
            </w:r>
            <w:r w:rsidRPr="004873D9">
              <w:rPr>
                <w:rFonts w:ascii="Calibri" w:eastAsia="Times New Roman" w:hAnsi="Calibri" w:cs="Calibri"/>
                <w:b/>
                <w:bCs/>
                <w:color w:val="000000"/>
                <w:lang w:eastAsia="en-GB"/>
              </w:rPr>
              <w:br/>
              <w:t>2015: 98.3</w:t>
            </w:r>
            <w:r w:rsidRPr="004873D9">
              <w:rPr>
                <w:rFonts w:ascii="Calibri" w:eastAsia="Times New Roman" w:hAnsi="Calibri" w:cs="Calibri"/>
                <w:b/>
                <w:bCs/>
                <w:color w:val="000000"/>
                <w:lang w:eastAsia="en-GB"/>
              </w:rPr>
              <w:br/>
              <w:t>(15.3%)</w:t>
            </w:r>
          </w:p>
        </w:tc>
      </w:tr>
      <w:tr w:rsidR="004873D9" w:rsidRPr="004873D9" w14:paraId="6A1655A9" w14:textId="77777777" w:rsidTr="00AD1B7E">
        <w:trPr>
          <w:trHeight w:val="422"/>
          <w:jc w:val="center"/>
        </w:trPr>
        <w:tc>
          <w:tcPr>
            <w:tcW w:w="3220" w:type="dxa"/>
            <w:tcBorders>
              <w:top w:val="nil"/>
              <w:left w:val="single" w:sz="4" w:space="0" w:color="auto"/>
              <w:bottom w:val="single" w:sz="4" w:space="0" w:color="auto"/>
              <w:right w:val="single" w:sz="4" w:space="0" w:color="auto"/>
            </w:tcBorders>
            <w:shd w:val="clear" w:color="000000" w:fill="FDE9D9"/>
            <w:vAlign w:val="center"/>
            <w:hideMark/>
          </w:tcPr>
          <w:p w14:paraId="4D8FB2FD" w14:textId="77777777" w:rsidR="004873D9" w:rsidRPr="004873D9" w:rsidRDefault="004873D9"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9. NITAG</w:t>
            </w:r>
          </w:p>
        </w:tc>
        <w:tc>
          <w:tcPr>
            <w:tcW w:w="3900" w:type="dxa"/>
            <w:tcBorders>
              <w:top w:val="nil"/>
              <w:left w:val="nil"/>
              <w:bottom w:val="single" w:sz="4" w:space="0" w:color="auto"/>
              <w:right w:val="single" w:sz="4" w:space="0" w:color="auto"/>
            </w:tcBorders>
            <w:shd w:val="clear" w:color="000000" w:fill="FDE9D9"/>
            <w:vAlign w:val="center"/>
            <w:hideMark/>
          </w:tcPr>
          <w:p w14:paraId="1CD27D7D" w14:textId="77777777" w:rsidR="004873D9" w:rsidRPr="004873D9" w:rsidRDefault="004873D9"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NITAG established?</w:t>
            </w:r>
          </w:p>
        </w:tc>
        <w:tc>
          <w:tcPr>
            <w:tcW w:w="2300" w:type="dxa"/>
            <w:tcBorders>
              <w:top w:val="nil"/>
              <w:left w:val="nil"/>
              <w:bottom w:val="single" w:sz="4" w:space="0" w:color="auto"/>
              <w:right w:val="single" w:sz="4" w:space="0" w:color="auto"/>
            </w:tcBorders>
            <w:shd w:val="clear" w:color="000000" w:fill="FF0000"/>
            <w:vAlign w:val="center"/>
            <w:hideMark/>
          </w:tcPr>
          <w:p w14:paraId="5224D543" w14:textId="77777777" w:rsidR="004873D9" w:rsidRPr="004873D9" w:rsidRDefault="004873D9" w:rsidP="00AD1B7E">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No (201</w:t>
            </w:r>
            <w:r w:rsidR="00AD1B7E">
              <w:rPr>
                <w:rFonts w:ascii="Calibri" w:eastAsia="Times New Roman" w:hAnsi="Calibri" w:cs="Calibri"/>
                <w:b/>
                <w:bCs/>
                <w:color w:val="000000"/>
                <w:lang w:eastAsia="en-GB"/>
              </w:rPr>
              <w:t>5</w:t>
            </w:r>
            <w:r w:rsidRPr="004873D9">
              <w:rPr>
                <w:rFonts w:ascii="Calibri" w:eastAsia="Times New Roman" w:hAnsi="Calibri" w:cs="Calibri"/>
                <w:b/>
                <w:bCs/>
                <w:color w:val="000000"/>
                <w:lang w:eastAsia="en-GB"/>
              </w:rPr>
              <w:t>)</w:t>
            </w:r>
          </w:p>
        </w:tc>
      </w:tr>
      <w:tr w:rsidR="004873D9" w:rsidRPr="004873D9" w14:paraId="7154404D" w14:textId="77777777" w:rsidTr="004873D9">
        <w:trPr>
          <w:trHeight w:val="900"/>
          <w:jc w:val="center"/>
        </w:trPr>
        <w:tc>
          <w:tcPr>
            <w:tcW w:w="3220" w:type="dxa"/>
            <w:tcBorders>
              <w:top w:val="nil"/>
              <w:left w:val="single" w:sz="4" w:space="0" w:color="auto"/>
              <w:bottom w:val="single" w:sz="4" w:space="0" w:color="auto"/>
              <w:right w:val="single" w:sz="4" w:space="0" w:color="auto"/>
            </w:tcBorders>
            <w:shd w:val="clear" w:color="000000" w:fill="FDE9D9"/>
            <w:vAlign w:val="center"/>
            <w:hideMark/>
          </w:tcPr>
          <w:p w14:paraId="75E12AEE" w14:textId="77777777" w:rsidR="004873D9" w:rsidRPr="004873D9" w:rsidRDefault="004873D9"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 xml:space="preserve">10. Government expenditure on routine immunization per live birth </w:t>
            </w:r>
            <w:r w:rsidR="00AD1B7E">
              <w:rPr>
                <w:rFonts w:ascii="Calibri" w:eastAsia="Times New Roman" w:hAnsi="Calibri" w:cs="Calibri"/>
                <w:b/>
                <w:bCs/>
                <w:color w:val="000000"/>
                <w:lang w:eastAsia="en-GB"/>
              </w:rPr>
              <w:t>(</w:t>
            </w:r>
            <w:r w:rsidRPr="004873D9">
              <w:rPr>
                <w:rFonts w:ascii="Calibri" w:eastAsia="Times New Roman" w:hAnsi="Calibri" w:cs="Calibri"/>
                <w:b/>
                <w:bCs/>
                <w:color w:val="000000"/>
                <w:lang w:eastAsia="en-GB"/>
              </w:rPr>
              <w:t>USD</w:t>
            </w:r>
            <w:r w:rsidR="00AD1B7E">
              <w:rPr>
                <w:rFonts w:ascii="Calibri" w:eastAsia="Times New Roman" w:hAnsi="Calibri" w:cs="Calibri"/>
                <w:b/>
                <w:bCs/>
                <w:color w:val="000000"/>
                <w:lang w:eastAsia="en-GB"/>
              </w:rPr>
              <w:t>)</w:t>
            </w:r>
          </w:p>
        </w:tc>
        <w:tc>
          <w:tcPr>
            <w:tcW w:w="3900" w:type="dxa"/>
            <w:tcBorders>
              <w:top w:val="nil"/>
              <w:left w:val="nil"/>
              <w:bottom w:val="single" w:sz="4" w:space="0" w:color="auto"/>
              <w:right w:val="single" w:sz="4" w:space="0" w:color="auto"/>
            </w:tcBorders>
            <w:shd w:val="clear" w:color="000000" w:fill="FDE9D9"/>
            <w:vAlign w:val="center"/>
            <w:hideMark/>
          </w:tcPr>
          <w:p w14:paraId="5A38D3F0" w14:textId="77777777" w:rsidR="004873D9" w:rsidRPr="004873D9" w:rsidRDefault="004873D9" w:rsidP="004873D9">
            <w:pPr>
              <w:spacing w:after="0" w:line="240" w:lineRule="auto"/>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Baseline 2010-2011 and average for 2013-2015 (% change)</w:t>
            </w:r>
          </w:p>
        </w:tc>
        <w:tc>
          <w:tcPr>
            <w:tcW w:w="2300" w:type="dxa"/>
            <w:tcBorders>
              <w:top w:val="nil"/>
              <w:left w:val="nil"/>
              <w:bottom w:val="single" w:sz="4" w:space="0" w:color="auto"/>
              <w:right w:val="single" w:sz="4" w:space="0" w:color="auto"/>
            </w:tcBorders>
            <w:shd w:val="clear" w:color="000000" w:fill="00B050"/>
            <w:vAlign w:val="center"/>
            <w:hideMark/>
          </w:tcPr>
          <w:p w14:paraId="5127722E" w14:textId="77777777" w:rsidR="004873D9" w:rsidRPr="004873D9" w:rsidRDefault="004873D9" w:rsidP="004873D9">
            <w:pPr>
              <w:spacing w:after="0" w:line="240" w:lineRule="auto"/>
              <w:jc w:val="center"/>
              <w:rPr>
                <w:rFonts w:ascii="Calibri" w:eastAsia="Times New Roman" w:hAnsi="Calibri" w:cs="Calibri"/>
                <w:b/>
                <w:bCs/>
                <w:color w:val="000000"/>
                <w:lang w:eastAsia="en-GB"/>
              </w:rPr>
            </w:pPr>
            <w:r w:rsidRPr="004873D9">
              <w:rPr>
                <w:rFonts w:ascii="Calibri" w:eastAsia="Times New Roman" w:hAnsi="Calibri" w:cs="Calibri"/>
                <w:b/>
                <w:bCs/>
                <w:color w:val="000000"/>
                <w:lang w:eastAsia="en-GB"/>
              </w:rPr>
              <w:t>0.7 to 1.4 (+101%)</w:t>
            </w:r>
          </w:p>
        </w:tc>
      </w:tr>
    </w:tbl>
    <w:p w14:paraId="4833B1E6" w14:textId="77777777" w:rsidR="00641572" w:rsidRDefault="00641572">
      <w:pPr>
        <w:rPr>
          <w:rFonts w:ascii="Arial" w:hAnsi="Arial" w:cs="Arial"/>
        </w:rPr>
        <w:sectPr w:rsidR="00641572" w:rsidSect="00A54964">
          <w:footerReference w:type="default" r:id="rId9"/>
          <w:pgSz w:w="11906" w:h="16838"/>
          <w:pgMar w:top="1440" w:right="1440" w:bottom="1440" w:left="1440" w:header="709" w:footer="709" w:gutter="0"/>
          <w:cols w:space="708"/>
          <w:docGrid w:linePitch="360"/>
        </w:sectPr>
      </w:pPr>
    </w:p>
    <w:p w14:paraId="023C9C00" w14:textId="77777777" w:rsidR="00373BA5" w:rsidRPr="007C52E5" w:rsidRDefault="00865907" w:rsidP="007C52E5">
      <w:pPr>
        <w:pStyle w:val="ListParagraph"/>
        <w:numPr>
          <w:ilvl w:val="0"/>
          <w:numId w:val="1"/>
        </w:numPr>
        <w:contextualSpacing w:val="0"/>
        <w:rPr>
          <w:rFonts w:ascii="Arial" w:hAnsi="Arial" w:cs="Arial"/>
          <w:b/>
          <w:sz w:val="24"/>
          <w:szCs w:val="24"/>
        </w:rPr>
      </w:pPr>
      <w:r w:rsidRPr="007C52E5">
        <w:rPr>
          <w:rFonts w:ascii="Arial" w:hAnsi="Arial" w:cs="Arial"/>
          <w:b/>
          <w:sz w:val="24"/>
          <w:szCs w:val="24"/>
        </w:rPr>
        <w:lastRenderedPageBreak/>
        <w:t>Country ownership of the immunization programme</w:t>
      </w:r>
    </w:p>
    <w:p w14:paraId="35EB3EAD" w14:textId="7A7605E8" w:rsidR="00373BA5" w:rsidRPr="007C52E5" w:rsidRDefault="00373BA5" w:rsidP="007C52E5">
      <w:pPr>
        <w:pStyle w:val="ListParagraph"/>
        <w:numPr>
          <w:ilvl w:val="1"/>
          <w:numId w:val="22"/>
        </w:numPr>
        <w:contextualSpacing w:val="0"/>
        <w:rPr>
          <w:rFonts w:ascii="Arial" w:hAnsi="Arial" w:cs="Arial"/>
          <w:b/>
        </w:rPr>
      </w:pPr>
      <w:r w:rsidRPr="007C52E5">
        <w:rPr>
          <w:rFonts w:ascii="Arial" w:hAnsi="Arial" w:cs="Arial"/>
          <w:b/>
        </w:rPr>
        <w:t>Immunization policy decision-making capacity</w:t>
      </w:r>
    </w:p>
    <w:p w14:paraId="2E39DF61" w14:textId="765485CF" w:rsidR="00373BA5" w:rsidRDefault="007C52E5" w:rsidP="007C52E5">
      <w:pPr>
        <w:rPr>
          <w:rFonts w:ascii="Arial" w:hAnsi="Arial" w:cs="Arial"/>
        </w:rPr>
      </w:pPr>
      <w:r>
        <w:rPr>
          <w:rFonts w:ascii="Arial" w:hAnsi="Arial" w:cs="Arial"/>
        </w:rPr>
        <w:t xml:space="preserve">The main body for making recommendations and decisions concerning the immunization program continues to be the country’s Strategic Inter-Agency Coordinating Committee (ICC), which is headed by the Minister of Public Health </w:t>
      </w:r>
      <w:r w:rsidR="00221A3A">
        <w:rPr>
          <w:rFonts w:ascii="Arial" w:hAnsi="Arial" w:cs="Arial"/>
        </w:rPr>
        <w:t xml:space="preserve">(MOPH) </w:t>
      </w:r>
      <w:r>
        <w:rPr>
          <w:rFonts w:ascii="Arial" w:hAnsi="Arial" w:cs="Arial"/>
        </w:rPr>
        <w:t xml:space="preserve">and enjoys strong ownership by the </w:t>
      </w:r>
      <w:r w:rsidR="00775B84">
        <w:rPr>
          <w:rFonts w:ascii="Arial" w:hAnsi="Arial" w:cs="Arial"/>
        </w:rPr>
        <w:t>Ministry</w:t>
      </w:r>
      <w:r>
        <w:rPr>
          <w:rFonts w:ascii="Arial" w:hAnsi="Arial" w:cs="Arial"/>
        </w:rPr>
        <w:t xml:space="preserve">. Members include Ministry of </w:t>
      </w:r>
      <w:r w:rsidR="00886641">
        <w:rPr>
          <w:rFonts w:ascii="Arial" w:hAnsi="Arial" w:cs="Arial"/>
        </w:rPr>
        <w:t xml:space="preserve">Public </w:t>
      </w:r>
      <w:r>
        <w:rPr>
          <w:rFonts w:ascii="Arial" w:hAnsi="Arial" w:cs="Arial"/>
        </w:rPr>
        <w:t xml:space="preserve">Health staff, representatives from the Ministry of Finance and Budget, </w:t>
      </w:r>
      <w:r w:rsidR="00775B84">
        <w:rPr>
          <w:rFonts w:ascii="Arial" w:hAnsi="Arial" w:cs="Arial"/>
        </w:rPr>
        <w:t xml:space="preserve">and </w:t>
      </w:r>
      <w:r>
        <w:rPr>
          <w:rFonts w:ascii="Arial" w:hAnsi="Arial" w:cs="Arial"/>
        </w:rPr>
        <w:t xml:space="preserve">from several partner organizations, such as WHO and UNICEF. The core committee meets twice a year. Under it are four technical sub-committees – technical, logistics, communications, and finance – each of which meet monthly and are chaired by the Secretary General of the </w:t>
      </w:r>
      <w:r w:rsidR="00886641">
        <w:rPr>
          <w:rFonts w:ascii="Arial" w:hAnsi="Arial" w:cs="Arial"/>
        </w:rPr>
        <w:t xml:space="preserve">Ministry of Public Health or his designee. The Technical sub-committee is headed by the EPI manager and includes technical MOPH staff as well as the immunization focal points of </w:t>
      </w:r>
      <w:r w:rsidR="00775B84">
        <w:rPr>
          <w:rFonts w:ascii="Arial" w:hAnsi="Arial" w:cs="Arial"/>
        </w:rPr>
        <w:t>the major</w:t>
      </w:r>
      <w:r w:rsidR="00886641">
        <w:rPr>
          <w:rFonts w:ascii="Arial" w:hAnsi="Arial" w:cs="Arial"/>
        </w:rPr>
        <w:t xml:space="preserve"> partner organizations. The EPI </w:t>
      </w:r>
      <w:proofErr w:type="gramStart"/>
      <w:r w:rsidR="00886641">
        <w:rPr>
          <w:rFonts w:ascii="Arial" w:hAnsi="Arial" w:cs="Arial"/>
        </w:rPr>
        <w:t>program also meets on a weekly basis</w:t>
      </w:r>
      <w:r w:rsidR="00775B84">
        <w:rPr>
          <w:rFonts w:ascii="Arial" w:hAnsi="Arial" w:cs="Arial"/>
        </w:rPr>
        <w:t xml:space="preserve"> and produce</w:t>
      </w:r>
      <w:proofErr w:type="gramEnd"/>
      <w:r w:rsidR="00775B84">
        <w:rPr>
          <w:rFonts w:ascii="Arial" w:hAnsi="Arial" w:cs="Arial"/>
        </w:rPr>
        <w:t xml:space="preserve"> a weekly report of progress against the annual EPI </w:t>
      </w:r>
      <w:proofErr w:type="spellStart"/>
      <w:r w:rsidR="00775B84">
        <w:rPr>
          <w:rFonts w:ascii="Arial" w:hAnsi="Arial" w:cs="Arial"/>
        </w:rPr>
        <w:t>workplan</w:t>
      </w:r>
      <w:proofErr w:type="spellEnd"/>
      <w:r w:rsidR="00886641">
        <w:rPr>
          <w:rFonts w:ascii="Arial" w:hAnsi="Arial" w:cs="Arial"/>
        </w:rPr>
        <w:t>. In addition, each province has its own ICC, headed by the provincial Health Minister or his/her designee, to discuss technical and financial issues and plan activities.</w:t>
      </w:r>
    </w:p>
    <w:p w14:paraId="612BA441" w14:textId="11E2A03B" w:rsidR="00775B84" w:rsidRDefault="00886641" w:rsidP="007C52E5">
      <w:pPr>
        <w:rPr>
          <w:rFonts w:ascii="Arial" w:hAnsi="Arial" w:cs="Arial"/>
        </w:rPr>
      </w:pPr>
      <w:r>
        <w:rPr>
          <w:rFonts w:ascii="Arial" w:hAnsi="Arial" w:cs="Arial"/>
        </w:rPr>
        <w:t xml:space="preserve">Several efforts have been made by partners to assist the country in establishing a NITAG, including a regional training </w:t>
      </w:r>
      <w:r w:rsidR="00221A3A">
        <w:rPr>
          <w:rFonts w:ascii="Arial" w:hAnsi="Arial" w:cs="Arial"/>
        </w:rPr>
        <w:t xml:space="preserve">at WHO/AFRO headquarters </w:t>
      </w:r>
      <w:r>
        <w:rPr>
          <w:rFonts w:ascii="Arial" w:hAnsi="Arial" w:cs="Arial"/>
        </w:rPr>
        <w:t>in Brazzaville attended by DRC representatives</w:t>
      </w:r>
      <w:r w:rsidR="00221A3A">
        <w:rPr>
          <w:rFonts w:ascii="Arial" w:hAnsi="Arial" w:cs="Arial"/>
        </w:rPr>
        <w:t>,</w:t>
      </w:r>
      <w:r>
        <w:rPr>
          <w:rFonts w:ascii="Arial" w:hAnsi="Arial" w:cs="Arial"/>
        </w:rPr>
        <w:t xml:space="preserve"> and visits by EPI team members </w:t>
      </w:r>
      <w:r w:rsidR="00EE1C5C">
        <w:rPr>
          <w:rFonts w:ascii="Arial" w:hAnsi="Arial" w:cs="Arial"/>
        </w:rPr>
        <w:t xml:space="preserve">in 2016 </w:t>
      </w:r>
      <w:r>
        <w:rPr>
          <w:rFonts w:ascii="Arial" w:hAnsi="Arial" w:cs="Arial"/>
        </w:rPr>
        <w:t>to other countries (U.S., Belgium) to examine different models of NITAGs. A change in EPI managers has delayed a decision on establishing a NITAG, which is currently pending MOPH approval. Informants</w:t>
      </w:r>
      <w:r w:rsidR="00775B84">
        <w:rPr>
          <w:rFonts w:ascii="Arial" w:hAnsi="Arial" w:cs="Arial"/>
        </w:rPr>
        <w:t xml:space="preserve"> believe that a strong NITAG with well-respected members could speed up decision-making (e.g., to apply to GAVI for rotavirus vaccine introduction), help convince the Government to pay its GAVI co-financing obligations on time, and convince it of the value of introducing a second measles vaccine dose to reduce outbreaks and the need for costly </w:t>
      </w:r>
      <w:r w:rsidR="00221A3A">
        <w:rPr>
          <w:rFonts w:ascii="Arial" w:hAnsi="Arial" w:cs="Arial"/>
        </w:rPr>
        <w:t xml:space="preserve">measles vaccination </w:t>
      </w:r>
      <w:r w:rsidR="00775B84">
        <w:rPr>
          <w:rFonts w:ascii="Arial" w:hAnsi="Arial" w:cs="Arial"/>
        </w:rPr>
        <w:t>campaigns.</w:t>
      </w:r>
    </w:p>
    <w:p w14:paraId="40EAFA7B" w14:textId="3C616747" w:rsidR="00886641" w:rsidRPr="007C52E5" w:rsidRDefault="00775B84" w:rsidP="007C52E5">
      <w:pPr>
        <w:rPr>
          <w:rFonts w:ascii="Arial" w:hAnsi="Arial" w:cs="Arial"/>
        </w:rPr>
      </w:pPr>
      <w:r>
        <w:rPr>
          <w:rFonts w:ascii="Arial" w:hAnsi="Arial" w:cs="Arial"/>
        </w:rPr>
        <w:t>DRC does benefit from having the Congolese Parliamentary Network to Support Vaccination (REDACAV) – an influential group of parliament members who lobby the Government for increased funding in immunization</w:t>
      </w:r>
      <w:r w:rsidR="007D0750">
        <w:rPr>
          <w:rFonts w:ascii="Arial" w:hAnsi="Arial" w:cs="Arial"/>
        </w:rPr>
        <w:t>. REDAVAC monitors the disbursement rate of funds for immunization</w:t>
      </w:r>
      <w:r w:rsidR="00EE1C5C">
        <w:rPr>
          <w:rFonts w:ascii="Arial" w:hAnsi="Arial" w:cs="Arial"/>
        </w:rPr>
        <w:t>,</w:t>
      </w:r>
      <w:r w:rsidR="007D0750">
        <w:rPr>
          <w:rFonts w:ascii="Arial" w:hAnsi="Arial" w:cs="Arial"/>
        </w:rPr>
        <w:t xml:space="preserve"> and individual members have been known to contact Ministry of Finance </w:t>
      </w:r>
      <w:r w:rsidR="00EE1C5C">
        <w:rPr>
          <w:rFonts w:ascii="Arial" w:hAnsi="Arial" w:cs="Arial"/>
        </w:rPr>
        <w:t xml:space="preserve">officials </w:t>
      </w:r>
      <w:r w:rsidR="007D0750">
        <w:rPr>
          <w:rFonts w:ascii="Arial" w:hAnsi="Arial" w:cs="Arial"/>
        </w:rPr>
        <w:t xml:space="preserve">to get allocated funds released for GAVI co-financing and other expenditures. Some </w:t>
      </w:r>
      <w:r w:rsidR="00EE1C5C">
        <w:rPr>
          <w:rFonts w:ascii="Arial" w:hAnsi="Arial" w:cs="Arial"/>
        </w:rPr>
        <w:t xml:space="preserve">REDACAV </w:t>
      </w:r>
      <w:r w:rsidR="007D0750">
        <w:rPr>
          <w:rFonts w:ascii="Arial" w:hAnsi="Arial" w:cs="Arial"/>
        </w:rPr>
        <w:t>members also participated in the development of the latest comprehensive multi-year immunization plan</w:t>
      </w:r>
      <w:r w:rsidR="00EE1C5C">
        <w:rPr>
          <w:rFonts w:ascii="Arial" w:hAnsi="Arial" w:cs="Arial"/>
        </w:rPr>
        <w:t xml:space="preserve"> (for 2015-2019</w:t>
      </w:r>
      <w:r w:rsidR="007D0750">
        <w:rPr>
          <w:rFonts w:ascii="Arial" w:hAnsi="Arial" w:cs="Arial"/>
        </w:rPr>
        <w:t xml:space="preserve">). With help from the Sabin Institute, the group drafted an Immunization Bill to make vaccination mandatory and </w:t>
      </w:r>
      <w:r w:rsidR="00EE1C5C">
        <w:rPr>
          <w:rFonts w:ascii="Arial" w:hAnsi="Arial" w:cs="Arial"/>
        </w:rPr>
        <w:t>lay out</w:t>
      </w:r>
      <w:r w:rsidR="007D0750">
        <w:rPr>
          <w:rFonts w:ascii="Arial" w:hAnsi="Arial" w:cs="Arial"/>
        </w:rPr>
        <w:t xml:space="preserve"> the Government’s responsibilities for immunization financing. However, the bill </w:t>
      </w:r>
      <w:r w:rsidR="00221A3A">
        <w:rPr>
          <w:rFonts w:ascii="Arial" w:hAnsi="Arial" w:cs="Arial"/>
        </w:rPr>
        <w:t>was not passed</w:t>
      </w:r>
      <w:r w:rsidR="007D0750">
        <w:rPr>
          <w:rFonts w:ascii="Arial" w:hAnsi="Arial" w:cs="Arial"/>
        </w:rPr>
        <w:t>, since the Parliament is proposing an overall Health Act that will include immunization.</w:t>
      </w:r>
      <w:r w:rsidR="00886641">
        <w:rPr>
          <w:rFonts w:ascii="Arial" w:hAnsi="Arial" w:cs="Arial"/>
        </w:rPr>
        <w:t xml:space="preserve"> </w:t>
      </w:r>
    </w:p>
    <w:p w14:paraId="7D3B6686" w14:textId="244A2249" w:rsidR="00373BA5" w:rsidRPr="007D0750" w:rsidRDefault="00373BA5" w:rsidP="007D0750">
      <w:pPr>
        <w:pStyle w:val="ListParagraph"/>
        <w:numPr>
          <w:ilvl w:val="1"/>
          <w:numId w:val="22"/>
        </w:numPr>
        <w:contextualSpacing w:val="0"/>
        <w:rPr>
          <w:rFonts w:ascii="Arial" w:hAnsi="Arial" w:cs="Arial"/>
          <w:b/>
        </w:rPr>
      </w:pPr>
      <w:r w:rsidRPr="007D0750">
        <w:rPr>
          <w:rFonts w:ascii="Arial" w:hAnsi="Arial" w:cs="Arial"/>
          <w:b/>
        </w:rPr>
        <w:t>Govern</w:t>
      </w:r>
      <w:r w:rsidR="007D0750">
        <w:rPr>
          <w:rFonts w:ascii="Arial" w:hAnsi="Arial" w:cs="Arial"/>
          <w:b/>
        </w:rPr>
        <w:t>ment financing of i</w:t>
      </w:r>
      <w:r w:rsidRPr="007D0750">
        <w:rPr>
          <w:rFonts w:ascii="Arial" w:hAnsi="Arial" w:cs="Arial"/>
          <w:b/>
        </w:rPr>
        <w:t>mmunization</w:t>
      </w:r>
    </w:p>
    <w:p w14:paraId="57BCB3D5" w14:textId="6651C6E1" w:rsidR="00AF3E38" w:rsidRDefault="006F3709" w:rsidP="00AF3E38">
      <w:pPr>
        <w:pStyle w:val="ListParagraph"/>
        <w:ind w:left="0"/>
        <w:contextualSpacing w:val="0"/>
        <w:rPr>
          <w:rFonts w:ascii="Arial" w:hAnsi="Arial" w:cs="Arial"/>
        </w:rPr>
      </w:pPr>
      <w:r>
        <w:rPr>
          <w:rFonts w:ascii="Arial" w:hAnsi="Arial" w:cs="Arial"/>
        </w:rPr>
        <w:t xml:space="preserve">As shown in Figure 1, government expenditures for immunization have increased since 2010, after DRC </w:t>
      </w:r>
      <w:r w:rsidR="007D0750">
        <w:rPr>
          <w:rFonts w:ascii="Arial" w:hAnsi="Arial" w:cs="Arial"/>
        </w:rPr>
        <w:t>sta</w:t>
      </w:r>
      <w:r w:rsidR="00221A3A">
        <w:rPr>
          <w:rFonts w:ascii="Arial" w:hAnsi="Arial" w:cs="Arial"/>
        </w:rPr>
        <w:t>r</w:t>
      </w:r>
      <w:r w:rsidR="007D0750">
        <w:rPr>
          <w:rFonts w:ascii="Arial" w:hAnsi="Arial" w:cs="Arial"/>
        </w:rPr>
        <w:t xml:space="preserve">ted paying for traditional vaccines in </w:t>
      </w:r>
      <w:r w:rsidR="00EE1C5C">
        <w:rPr>
          <w:rFonts w:ascii="Arial" w:hAnsi="Arial" w:cs="Arial"/>
        </w:rPr>
        <w:t xml:space="preserve">2009 </w:t>
      </w:r>
      <w:r w:rsidR="007D0750">
        <w:rPr>
          <w:rFonts w:ascii="Arial" w:hAnsi="Arial" w:cs="Arial"/>
        </w:rPr>
        <w:t>and</w:t>
      </w:r>
      <w:r>
        <w:rPr>
          <w:rFonts w:ascii="Arial" w:hAnsi="Arial" w:cs="Arial"/>
        </w:rPr>
        <w:t xml:space="preserve"> co-financing new vaccine introductions. However, </w:t>
      </w:r>
      <w:r w:rsidR="00B76F10">
        <w:rPr>
          <w:rFonts w:ascii="Arial" w:hAnsi="Arial" w:cs="Arial"/>
        </w:rPr>
        <w:t xml:space="preserve">the figure clearly shows that government contributions have not been rising steadily, but in fact have dipped considerably in the past four years. This is due to the fact that the transfer of funds from the Government is often slow and funds can be diverted to other uses. As a result, the Government paid for only 20% of the cost of </w:t>
      </w:r>
      <w:r w:rsidR="00B76F10">
        <w:rPr>
          <w:rFonts w:ascii="Arial" w:hAnsi="Arial" w:cs="Arial"/>
        </w:rPr>
        <w:lastRenderedPageBreak/>
        <w:t>procuring traditional vaccines in 2014 ($2.4 million out of $11.8 million), with UNICEF covering the remaining 80%.</w:t>
      </w:r>
      <w:r w:rsidR="00B76F10">
        <w:rPr>
          <w:rStyle w:val="FootnoteReference"/>
          <w:rFonts w:ascii="Arial" w:hAnsi="Arial" w:cs="Arial"/>
        </w:rPr>
        <w:footnoteReference w:id="1"/>
      </w:r>
      <w:r w:rsidR="00B76F10">
        <w:rPr>
          <w:rFonts w:ascii="Arial" w:hAnsi="Arial" w:cs="Arial"/>
        </w:rPr>
        <w:t xml:space="preserve"> These delays in releasing funds contributed to national </w:t>
      </w:r>
      <w:proofErr w:type="spellStart"/>
      <w:r w:rsidR="00B76F10">
        <w:rPr>
          <w:rFonts w:ascii="Arial" w:hAnsi="Arial" w:cs="Arial"/>
        </w:rPr>
        <w:t>stockouts</w:t>
      </w:r>
      <w:proofErr w:type="spellEnd"/>
      <w:r w:rsidR="00B76F10">
        <w:rPr>
          <w:rFonts w:ascii="Arial" w:hAnsi="Arial" w:cs="Arial"/>
        </w:rPr>
        <w:t xml:space="preserve"> of several vaccines in 2014 (BCG, TT, measles), as discussed below. The difficulty in getting </w:t>
      </w:r>
      <w:r w:rsidR="00871017">
        <w:rPr>
          <w:rFonts w:ascii="Arial" w:hAnsi="Arial" w:cs="Arial"/>
        </w:rPr>
        <w:t xml:space="preserve">the Government to release </w:t>
      </w:r>
      <w:r w:rsidR="00B76F10">
        <w:rPr>
          <w:rFonts w:ascii="Arial" w:hAnsi="Arial" w:cs="Arial"/>
        </w:rPr>
        <w:t xml:space="preserve">funds has greatly affected DRC’s ability to co-finance new vaccines. The country was in default to GAVI in 2014 and 2015 and did not pay the </w:t>
      </w:r>
      <w:proofErr w:type="gramStart"/>
      <w:r w:rsidR="00B76F10">
        <w:rPr>
          <w:rFonts w:ascii="Arial" w:hAnsi="Arial" w:cs="Arial"/>
        </w:rPr>
        <w:t>its</w:t>
      </w:r>
      <w:proofErr w:type="gramEnd"/>
      <w:r w:rsidR="00B76F10">
        <w:rPr>
          <w:rFonts w:ascii="Arial" w:hAnsi="Arial" w:cs="Arial"/>
        </w:rPr>
        <w:t xml:space="preserve"> co-financing obligation for 2014 until July of 2015. DRC continues to be late in making co-financing payments.</w:t>
      </w:r>
      <w:r w:rsidR="007D0750">
        <w:rPr>
          <w:rFonts w:ascii="Arial" w:hAnsi="Arial" w:cs="Arial"/>
        </w:rPr>
        <w:t xml:space="preserve"> </w:t>
      </w:r>
    </w:p>
    <w:p w14:paraId="32E1085D" w14:textId="7511385E" w:rsidR="00B316F3" w:rsidRPr="00651C67" w:rsidRDefault="00651C67" w:rsidP="00651C67">
      <w:pPr>
        <w:pStyle w:val="Caption"/>
        <w:rPr>
          <w:rFonts w:ascii="Arial" w:hAnsi="Arial" w:cs="Arial"/>
          <w:b w:val="0"/>
          <w:color w:val="auto"/>
          <w:sz w:val="22"/>
        </w:rPr>
      </w:pPr>
      <w:r w:rsidRPr="00651C67">
        <w:rPr>
          <w:rFonts w:ascii="Arial" w:hAnsi="Arial" w:cs="Arial"/>
          <w:color w:val="auto"/>
          <w:sz w:val="22"/>
        </w:rPr>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1</w:t>
      </w:r>
      <w:r w:rsidRPr="00651C67">
        <w:rPr>
          <w:rFonts w:ascii="Arial" w:hAnsi="Arial" w:cs="Arial"/>
          <w:color w:val="auto"/>
          <w:sz w:val="22"/>
        </w:rPr>
        <w:fldChar w:fldCharType="end"/>
      </w:r>
      <w:r w:rsidRPr="00651C67">
        <w:rPr>
          <w:rFonts w:ascii="Arial" w:hAnsi="Arial" w:cs="Arial"/>
          <w:color w:val="auto"/>
          <w:sz w:val="22"/>
        </w:rPr>
        <w:t xml:space="preserve">: </w:t>
      </w:r>
      <w:r w:rsidR="00B76F10" w:rsidRPr="00651C67">
        <w:rPr>
          <w:rFonts w:ascii="Arial" w:hAnsi="Arial" w:cs="Arial"/>
          <w:color w:val="auto"/>
          <w:sz w:val="22"/>
        </w:rPr>
        <w:t>Trends in government expenditures</w:t>
      </w:r>
      <w:r w:rsidRPr="00651C67">
        <w:rPr>
          <w:rFonts w:ascii="Arial" w:hAnsi="Arial" w:cs="Arial"/>
          <w:color w:val="auto"/>
          <w:sz w:val="22"/>
        </w:rPr>
        <w:t xml:space="preserve"> for immunization and vaccines</w:t>
      </w:r>
    </w:p>
    <w:p w14:paraId="613C62A0" w14:textId="7E0AA58F" w:rsidR="00AF3E38" w:rsidRPr="00B76F10" w:rsidRDefault="00B76F10" w:rsidP="00B316F3">
      <w:pPr>
        <w:pStyle w:val="ListParagraph"/>
        <w:spacing w:after="0"/>
        <w:ind w:left="0"/>
        <w:contextualSpacing w:val="0"/>
        <w:jc w:val="center"/>
        <w:rPr>
          <w:rFonts w:ascii="Arial" w:hAnsi="Arial" w:cs="Arial"/>
          <w:b/>
        </w:rPr>
      </w:pPr>
      <w:r w:rsidRPr="00B76F10">
        <w:rPr>
          <w:rFonts w:ascii="Arial" w:hAnsi="Arial" w:cs="Arial"/>
          <w:b/>
        </w:rPr>
        <w:t>2010-2015 (from the JRF)</w:t>
      </w:r>
    </w:p>
    <w:p w14:paraId="644FC3DB" w14:textId="28577828" w:rsidR="00B76F10" w:rsidRDefault="00B76F10" w:rsidP="00B76F10">
      <w:pPr>
        <w:pStyle w:val="ListParagraph"/>
        <w:ind w:left="0"/>
        <w:contextualSpacing w:val="0"/>
        <w:jc w:val="center"/>
        <w:rPr>
          <w:rFonts w:ascii="Arial" w:hAnsi="Arial" w:cs="Arial"/>
        </w:rPr>
      </w:pPr>
      <w:r>
        <w:rPr>
          <w:noProof/>
          <w:lang w:eastAsia="zh-CN"/>
        </w:rPr>
        <w:drawing>
          <wp:inline distT="0" distB="0" distL="0" distR="0" wp14:anchorId="3EA955FF" wp14:editId="2B7B43B4">
            <wp:extent cx="4029075" cy="2438400"/>
            <wp:effectExtent l="0" t="0" r="9525"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B4E9DF4" w14:textId="37325A33" w:rsidR="00373BA5" w:rsidRDefault="00AF3E38" w:rsidP="00AF3E38">
      <w:pPr>
        <w:pStyle w:val="ListParagraph"/>
        <w:ind w:left="0"/>
        <w:contextualSpacing w:val="0"/>
        <w:rPr>
          <w:rFonts w:ascii="Arial" w:hAnsi="Arial" w:cs="Arial"/>
        </w:rPr>
      </w:pPr>
      <w:r>
        <w:rPr>
          <w:rFonts w:ascii="Arial" w:hAnsi="Arial" w:cs="Arial"/>
        </w:rPr>
        <w:t>As a result of the disbursement problem, the Government provided only 1</w:t>
      </w:r>
      <w:r w:rsidR="00F74620">
        <w:rPr>
          <w:rFonts w:ascii="Arial" w:hAnsi="Arial" w:cs="Arial"/>
        </w:rPr>
        <w:t>5</w:t>
      </w:r>
      <w:r>
        <w:rPr>
          <w:rFonts w:ascii="Arial" w:hAnsi="Arial" w:cs="Arial"/>
        </w:rPr>
        <w:t>% of its immunization budget in 2015 ($2.</w:t>
      </w:r>
      <w:r w:rsidR="00F74620">
        <w:rPr>
          <w:rFonts w:ascii="Arial" w:hAnsi="Arial" w:cs="Arial"/>
        </w:rPr>
        <w:t>3</w:t>
      </w:r>
      <w:r>
        <w:rPr>
          <w:rFonts w:ascii="Arial" w:hAnsi="Arial" w:cs="Arial"/>
        </w:rPr>
        <w:t xml:space="preserve"> million out of $15 million) and 25% in 2014</w:t>
      </w:r>
      <w:r w:rsidR="00871017">
        <w:rPr>
          <w:rFonts w:ascii="Arial" w:hAnsi="Arial" w:cs="Arial"/>
        </w:rPr>
        <w:t>, with most of the funds going to vaccine procurement and very little to the operational costs of routine immunization.</w:t>
      </w:r>
      <w:r w:rsidR="00F74620">
        <w:rPr>
          <w:rStyle w:val="FootnoteReference"/>
          <w:rFonts w:ascii="Arial" w:hAnsi="Arial" w:cs="Arial"/>
        </w:rPr>
        <w:footnoteReference w:id="2"/>
      </w:r>
      <w:r w:rsidR="00BE379F">
        <w:rPr>
          <w:rFonts w:ascii="Arial" w:hAnsi="Arial" w:cs="Arial"/>
        </w:rPr>
        <w:t xml:space="preserve"> Several partner organizations cont</w:t>
      </w:r>
      <w:r w:rsidR="00221A3A">
        <w:rPr>
          <w:rFonts w:ascii="Arial" w:hAnsi="Arial" w:cs="Arial"/>
        </w:rPr>
        <w:t>ributed</w:t>
      </w:r>
      <w:r w:rsidR="00BE379F">
        <w:rPr>
          <w:rFonts w:ascii="Arial" w:hAnsi="Arial" w:cs="Arial"/>
        </w:rPr>
        <w:t xml:space="preserve"> more than budgeted to help make up the difference</w:t>
      </w:r>
      <w:r w:rsidR="00871017">
        <w:rPr>
          <w:rFonts w:ascii="Arial" w:hAnsi="Arial" w:cs="Arial"/>
        </w:rPr>
        <w:t>, especially for operational costs for vaccination campaigns and routine immunization</w:t>
      </w:r>
      <w:r w:rsidR="00BE379F">
        <w:rPr>
          <w:rFonts w:ascii="Arial" w:hAnsi="Arial" w:cs="Arial"/>
        </w:rPr>
        <w:t xml:space="preserve">. In all, </w:t>
      </w:r>
      <w:r>
        <w:rPr>
          <w:rFonts w:ascii="Arial" w:hAnsi="Arial" w:cs="Arial"/>
        </w:rPr>
        <w:t>the Government’s contribution to the EPI budget was 5% in 2014 (due to no co-financing in that year)</w:t>
      </w:r>
      <w:r w:rsidR="00BE379F">
        <w:rPr>
          <w:rFonts w:ascii="Arial" w:hAnsi="Arial" w:cs="Arial"/>
        </w:rPr>
        <w:t>.</w:t>
      </w:r>
      <w:r w:rsidR="00BE379F">
        <w:rPr>
          <w:rStyle w:val="FootnoteReference"/>
          <w:rFonts w:ascii="Arial" w:hAnsi="Arial" w:cs="Arial"/>
        </w:rPr>
        <w:footnoteReference w:id="3"/>
      </w:r>
      <w:r w:rsidR="00BE379F">
        <w:rPr>
          <w:rFonts w:ascii="Arial" w:hAnsi="Arial" w:cs="Arial"/>
        </w:rPr>
        <w:t xml:space="preserve"> </w:t>
      </w:r>
      <w:r>
        <w:rPr>
          <w:rFonts w:ascii="Arial" w:hAnsi="Arial" w:cs="Arial"/>
        </w:rPr>
        <w:t>This is a lower rate than in most countries and includes personnel costs. However, these costs are low since most health workers receive no government salary and at most, a small stipend (see next section).</w:t>
      </w:r>
    </w:p>
    <w:p w14:paraId="5937C399" w14:textId="28CE33E2" w:rsidR="00846F7D" w:rsidRDefault="00846F7D" w:rsidP="00AF3E38">
      <w:pPr>
        <w:pStyle w:val="ListParagraph"/>
        <w:ind w:left="0"/>
        <w:contextualSpacing w:val="0"/>
        <w:rPr>
          <w:rFonts w:ascii="Arial" w:hAnsi="Arial" w:cs="Arial"/>
        </w:rPr>
      </w:pPr>
      <w:r>
        <w:rPr>
          <w:rFonts w:ascii="Arial" w:hAnsi="Arial" w:cs="Arial"/>
        </w:rPr>
        <w:t>As a result of advocacy for immunization, most provincial governments are now contributing to the operational costs of the EPI, by, for example, buying fuel and BCG syringes and paying for transportation of supplies from higher levels.</w:t>
      </w:r>
      <w:r w:rsidR="00C148D5">
        <w:rPr>
          <w:rStyle w:val="FootnoteReference"/>
          <w:rFonts w:ascii="Arial" w:hAnsi="Arial" w:cs="Arial"/>
        </w:rPr>
        <w:footnoteReference w:id="4"/>
      </w:r>
    </w:p>
    <w:p w14:paraId="120E93B1" w14:textId="10B9ECE1" w:rsidR="001C1193" w:rsidRDefault="00846F7D" w:rsidP="00AF3E38">
      <w:pPr>
        <w:pStyle w:val="ListParagraph"/>
        <w:ind w:left="0"/>
        <w:contextualSpacing w:val="0"/>
        <w:rPr>
          <w:rFonts w:ascii="Arial" w:hAnsi="Arial" w:cs="Arial"/>
          <w:b/>
        </w:rPr>
      </w:pPr>
      <w:r>
        <w:rPr>
          <w:rFonts w:ascii="Arial" w:hAnsi="Arial" w:cs="Arial"/>
          <w:b/>
        </w:rPr>
        <w:t xml:space="preserve">2.3 </w:t>
      </w:r>
      <w:r w:rsidR="001C1193">
        <w:rPr>
          <w:rFonts w:ascii="Arial" w:hAnsi="Arial" w:cs="Arial"/>
          <w:b/>
        </w:rPr>
        <w:t>H</w:t>
      </w:r>
      <w:r w:rsidR="00373BA5">
        <w:rPr>
          <w:rFonts w:ascii="Arial" w:hAnsi="Arial" w:cs="Arial"/>
          <w:b/>
        </w:rPr>
        <w:t>uman resource situation</w:t>
      </w:r>
    </w:p>
    <w:p w14:paraId="5444B3CF" w14:textId="5D641B68" w:rsidR="001C1193" w:rsidRDefault="0011764D" w:rsidP="00AF3E38">
      <w:pPr>
        <w:pStyle w:val="ListParagraph"/>
        <w:ind w:left="0"/>
        <w:contextualSpacing w:val="0"/>
        <w:rPr>
          <w:rFonts w:ascii="Arial" w:hAnsi="Arial" w:cs="Arial"/>
        </w:rPr>
      </w:pPr>
      <w:r>
        <w:rPr>
          <w:rFonts w:ascii="Arial" w:hAnsi="Arial" w:cs="Arial"/>
        </w:rPr>
        <w:t>The DRC Government has an extensive EPI team. In 2016, there were 115 staff members at the central level, including 36 professionals.</w:t>
      </w:r>
      <w:r w:rsidR="00C148D5">
        <w:rPr>
          <w:rStyle w:val="FootnoteReference"/>
          <w:rFonts w:ascii="Arial" w:hAnsi="Arial" w:cs="Arial"/>
        </w:rPr>
        <w:footnoteReference w:id="5"/>
      </w:r>
      <w:r>
        <w:rPr>
          <w:rFonts w:ascii="Arial" w:hAnsi="Arial" w:cs="Arial"/>
        </w:rPr>
        <w:t xml:space="preserve"> At the provincial and </w:t>
      </w:r>
      <w:proofErr w:type="spellStart"/>
      <w:r w:rsidRPr="0011764D">
        <w:rPr>
          <w:rFonts w:ascii="Arial" w:hAnsi="Arial" w:cs="Arial"/>
          <w:i/>
        </w:rPr>
        <w:t>antenne</w:t>
      </w:r>
      <w:proofErr w:type="spellEnd"/>
      <w:r>
        <w:rPr>
          <w:rFonts w:ascii="Arial" w:hAnsi="Arial" w:cs="Arial"/>
        </w:rPr>
        <w:t xml:space="preserve"> (sub-provincial) </w:t>
      </w:r>
      <w:r>
        <w:rPr>
          <w:rFonts w:ascii="Arial" w:hAnsi="Arial" w:cs="Arial"/>
        </w:rPr>
        <w:lastRenderedPageBreak/>
        <w:t xml:space="preserve">level, there </w:t>
      </w:r>
      <w:proofErr w:type="gramStart"/>
      <w:r>
        <w:rPr>
          <w:rFonts w:ascii="Arial" w:hAnsi="Arial" w:cs="Arial"/>
        </w:rPr>
        <w:t>are</w:t>
      </w:r>
      <w:proofErr w:type="gramEnd"/>
      <w:r>
        <w:rPr>
          <w:rFonts w:ascii="Arial" w:hAnsi="Arial" w:cs="Arial"/>
        </w:rPr>
        <w:t xml:space="preserve"> 364 immunization-specific staff, for a total at all levels of 479 people, including 75 doctors (16%). The size of the team is considered adequate and they are generally well-trained. However, there is considerable staff turnover.</w:t>
      </w:r>
    </w:p>
    <w:p w14:paraId="76E77FC2" w14:textId="0CD19311" w:rsidR="0011764D" w:rsidRPr="0011764D" w:rsidRDefault="0011764D" w:rsidP="00AF3E38">
      <w:pPr>
        <w:pStyle w:val="ListParagraph"/>
        <w:ind w:left="0"/>
        <w:contextualSpacing w:val="0"/>
        <w:rPr>
          <w:rFonts w:ascii="Arial" w:hAnsi="Arial" w:cs="Arial"/>
        </w:rPr>
      </w:pPr>
      <w:r>
        <w:rPr>
          <w:rFonts w:ascii="Arial" w:hAnsi="Arial" w:cs="Arial"/>
        </w:rPr>
        <w:t xml:space="preserve">Another factor affecting human resources for immunization is the recent change in the administrative structure of the health sector, </w:t>
      </w:r>
      <w:r w:rsidR="00C60E99">
        <w:rPr>
          <w:rFonts w:ascii="Arial" w:hAnsi="Arial" w:cs="Arial"/>
        </w:rPr>
        <w:t xml:space="preserve">in </w:t>
      </w:r>
      <w:r>
        <w:rPr>
          <w:rFonts w:ascii="Arial" w:hAnsi="Arial" w:cs="Arial"/>
        </w:rPr>
        <w:t xml:space="preserve">which </w:t>
      </w:r>
      <w:r w:rsidR="00C60E99">
        <w:rPr>
          <w:rFonts w:ascii="Arial" w:hAnsi="Arial" w:cs="Arial"/>
        </w:rPr>
        <w:t>26 provincial health divisions (</w:t>
      </w:r>
      <w:proofErr w:type="gramStart"/>
      <w:r w:rsidR="00C60E99" w:rsidRPr="0011764D">
        <w:rPr>
          <w:rFonts w:ascii="Arial" w:hAnsi="Arial" w:cs="Arial"/>
          <w:i/>
        </w:rPr>
        <w:t>divisions</w:t>
      </w:r>
      <w:proofErr w:type="gramEnd"/>
      <w:r w:rsidR="00C60E99" w:rsidRPr="0011764D">
        <w:rPr>
          <w:rFonts w:ascii="Arial" w:hAnsi="Arial" w:cs="Arial"/>
          <w:i/>
        </w:rPr>
        <w:t xml:space="preserve"> provincial de la santé</w:t>
      </w:r>
      <w:r w:rsidR="00C60E99">
        <w:rPr>
          <w:rFonts w:ascii="Arial" w:hAnsi="Arial" w:cs="Arial"/>
        </w:rPr>
        <w:t xml:space="preserve"> or DPS) have replaced the 11 </w:t>
      </w:r>
      <w:r>
        <w:rPr>
          <w:rFonts w:ascii="Arial" w:hAnsi="Arial" w:cs="Arial"/>
        </w:rPr>
        <w:t>provinces.</w:t>
      </w:r>
      <w:r>
        <w:rPr>
          <w:rStyle w:val="FootnoteReference"/>
          <w:rFonts w:ascii="Arial" w:hAnsi="Arial" w:cs="Arial"/>
        </w:rPr>
        <w:footnoteReference w:id="6"/>
      </w:r>
      <w:r w:rsidR="00444AD2">
        <w:rPr>
          <w:rFonts w:ascii="Arial" w:hAnsi="Arial" w:cs="Arial"/>
        </w:rPr>
        <w:t xml:space="preserve"> </w:t>
      </w:r>
      <w:r w:rsidR="00C60E99">
        <w:rPr>
          <w:rFonts w:ascii="Arial" w:hAnsi="Arial" w:cs="Arial"/>
        </w:rPr>
        <w:t>This change has required the creation of new E</w:t>
      </w:r>
      <w:r w:rsidR="00444AD2">
        <w:rPr>
          <w:rFonts w:ascii="Arial" w:hAnsi="Arial" w:cs="Arial"/>
        </w:rPr>
        <w:t>PI staff positions in the new</w:t>
      </w:r>
      <w:r w:rsidR="00B316F3">
        <w:rPr>
          <w:rFonts w:ascii="Arial" w:hAnsi="Arial" w:cs="Arial"/>
        </w:rPr>
        <w:t xml:space="preserve">ly-established </w:t>
      </w:r>
      <w:r w:rsidR="00444AD2">
        <w:rPr>
          <w:rFonts w:ascii="Arial" w:hAnsi="Arial" w:cs="Arial"/>
        </w:rPr>
        <w:t>DPSs</w:t>
      </w:r>
      <w:r w:rsidR="00C60E99">
        <w:rPr>
          <w:rFonts w:ascii="Arial" w:hAnsi="Arial" w:cs="Arial"/>
        </w:rPr>
        <w:t>, who are currently in the process of being trained. This expansion in provincial health divisions has caused major disruptions to the health sector, including the immunization program.</w:t>
      </w:r>
    </w:p>
    <w:p w14:paraId="6AB2E31D" w14:textId="106E156D" w:rsidR="00373BA5" w:rsidRPr="008B71DB" w:rsidRDefault="00C60E99" w:rsidP="00AF3E38">
      <w:pPr>
        <w:pStyle w:val="ListParagraph"/>
        <w:ind w:left="0"/>
        <w:contextualSpacing w:val="0"/>
        <w:rPr>
          <w:rFonts w:ascii="Arial" w:hAnsi="Arial" w:cs="Arial"/>
          <w:lang w:val="en-US"/>
        </w:rPr>
      </w:pPr>
      <w:r w:rsidRPr="008B71DB">
        <w:rPr>
          <w:rFonts w:ascii="Arial" w:hAnsi="Arial" w:cs="Arial"/>
          <w:lang w:val="en-US"/>
        </w:rPr>
        <w:t xml:space="preserve">At the operational level, most vaccines are administered by nurses working in government hospitals and </w:t>
      </w:r>
      <w:r w:rsidR="00221A3A">
        <w:rPr>
          <w:rFonts w:ascii="Arial" w:hAnsi="Arial" w:cs="Arial"/>
          <w:lang w:val="en-US"/>
        </w:rPr>
        <w:t xml:space="preserve">the </w:t>
      </w:r>
      <w:r w:rsidRPr="008B71DB">
        <w:rPr>
          <w:rFonts w:ascii="Arial" w:hAnsi="Arial" w:cs="Arial"/>
          <w:lang w:val="en-US"/>
        </w:rPr>
        <w:t>8,830 health centers throughout the country.</w:t>
      </w:r>
      <w:r w:rsidR="00B316F3">
        <w:rPr>
          <w:rStyle w:val="FootnoteReference"/>
          <w:rFonts w:ascii="Arial" w:hAnsi="Arial" w:cs="Arial"/>
          <w:lang w:val="en-US"/>
        </w:rPr>
        <w:footnoteReference w:id="7"/>
      </w:r>
      <w:r w:rsidRPr="008B71DB">
        <w:rPr>
          <w:rFonts w:ascii="Arial" w:hAnsi="Arial" w:cs="Arial"/>
          <w:lang w:val="en-US"/>
        </w:rPr>
        <w:t xml:space="preserve"> According to a situation a</w:t>
      </w:r>
      <w:r w:rsidR="00B316F3">
        <w:rPr>
          <w:rFonts w:ascii="Arial" w:hAnsi="Arial" w:cs="Arial"/>
          <w:lang w:val="en-US"/>
        </w:rPr>
        <w:t>nalysis conducted for the 2015 GAVI joint a</w:t>
      </w:r>
      <w:r w:rsidRPr="008B71DB">
        <w:rPr>
          <w:rFonts w:ascii="Arial" w:hAnsi="Arial" w:cs="Arial"/>
          <w:lang w:val="en-US"/>
        </w:rPr>
        <w:t>ppraisal, at least one person was trained in immunization in more than half of the health centers surveyed.</w:t>
      </w:r>
      <w:r w:rsidR="008B71DB" w:rsidRPr="008B71DB">
        <w:rPr>
          <w:rFonts w:ascii="Arial" w:hAnsi="Arial" w:cs="Arial"/>
          <w:lang w:val="en-US"/>
        </w:rPr>
        <w:t xml:space="preserve"> However, most health center staff (90% according to the Joint Appraisal) receive no government salary and only a portion (e.g., 25%) receive a “risk bonus” (prime de risqué), which covers the cost of supporting a family for only five days. Health workers share a portion of the revenues from patient fees for curative care services, which constitute the main source of financing to keep health centers functioning in many places</w:t>
      </w:r>
      <w:r w:rsidR="00B316F3">
        <w:rPr>
          <w:rStyle w:val="FootnoteReference"/>
          <w:rFonts w:ascii="Arial" w:hAnsi="Arial" w:cs="Arial"/>
          <w:lang w:val="en-US"/>
        </w:rPr>
        <w:footnoteReference w:id="8"/>
      </w:r>
      <w:r w:rsidR="00B316F3">
        <w:rPr>
          <w:rFonts w:ascii="Arial" w:hAnsi="Arial" w:cs="Arial"/>
          <w:lang w:val="en-US"/>
        </w:rPr>
        <w:t xml:space="preserve"> However, </w:t>
      </w:r>
      <w:r w:rsidR="008B71DB" w:rsidRPr="008B71DB">
        <w:rPr>
          <w:rFonts w:ascii="Arial" w:hAnsi="Arial" w:cs="Arial"/>
          <w:lang w:val="en-US"/>
        </w:rPr>
        <w:t>this remuneration is low</w:t>
      </w:r>
      <w:r w:rsidR="00221A3A">
        <w:rPr>
          <w:rFonts w:ascii="Arial" w:hAnsi="Arial" w:cs="Arial"/>
          <w:lang w:val="en-US"/>
        </w:rPr>
        <w:t>,</w:t>
      </w:r>
      <w:r w:rsidR="008B71DB" w:rsidRPr="008B71DB">
        <w:rPr>
          <w:rFonts w:ascii="Arial" w:hAnsi="Arial" w:cs="Arial"/>
          <w:lang w:val="en-US"/>
        </w:rPr>
        <w:t xml:space="preserve"> especially in poor areas. Thus</w:t>
      </w:r>
      <w:r w:rsidR="008B71DB">
        <w:rPr>
          <w:rFonts w:ascii="Arial" w:hAnsi="Arial" w:cs="Arial"/>
          <w:lang w:val="en-US"/>
        </w:rPr>
        <w:t xml:space="preserve">, health workers are often demotivated, resulting in retention problems, uneven quality of </w:t>
      </w:r>
      <w:proofErr w:type="gramStart"/>
      <w:r w:rsidR="008B71DB">
        <w:rPr>
          <w:rFonts w:ascii="Arial" w:hAnsi="Arial" w:cs="Arial"/>
          <w:lang w:val="en-US"/>
        </w:rPr>
        <w:t>personnel,</w:t>
      </w:r>
      <w:proofErr w:type="gramEnd"/>
      <w:r w:rsidR="008B71DB">
        <w:rPr>
          <w:rFonts w:ascii="Arial" w:hAnsi="Arial" w:cs="Arial"/>
          <w:lang w:val="en-US"/>
        </w:rPr>
        <w:t xml:space="preserve"> and a lack of interest in making special efforts</w:t>
      </w:r>
      <w:r w:rsidR="0051290F" w:rsidRPr="0051290F">
        <w:rPr>
          <w:rFonts w:ascii="Arial" w:hAnsi="Arial" w:cs="Arial"/>
          <w:lang w:val="en-US"/>
        </w:rPr>
        <w:t xml:space="preserve"> </w:t>
      </w:r>
      <w:r w:rsidR="0051290F">
        <w:rPr>
          <w:rFonts w:ascii="Arial" w:hAnsi="Arial" w:cs="Arial"/>
          <w:lang w:val="en-US"/>
        </w:rPr>
        <w:t>for preventive health services that are not remunerated</w:t>
      </w:r>
      <w:r w:rsidR="008B71DB">
        <w:rPr>
          <w:rFonts w:ascii="Arial" w:hAnsi="Arial" w:cs="Arial"/>
          <w:lang w:val="en-US"/>
        </w:rPr>
        <w:t>, such as conducting outreach visits and establishing immunization hours convenient to mothers.</w:t>
      </w:r>
      <w:r w:rsidR="00B316F3">
        <w:rPr>
          <w:rStyle w:val="FootnoteReference"/>
          <w:rFonts w:ascii="Arial" w:hAnsi="Arial" w:cs="Arial"/>
          <w:lang w:val="en-US"/>
        </w:rPr>
        <w:footnoteReference w:id="9"/>
      </w:r>
      <w:r w:rsidR="008B71DB">
        <w:rPr>
          <w:rFonts w:ascii="Arial" w:hAnsi="Arial" w:cs="Arial"/>
          <w:lang w:val="en-US"/>
        </w:rPr>
        <w:t xml:space="preserve"> </w:t>
      </w:r>
    </w:p>
    <w:p w14:paraId="4101520A" w14:textId="25B7B744" w:rsidR="00432B70" w:rsidRPr="00EE765D" w:rsidRDefault="009318B8" w:rsidP="0051290F">
      <w:pPr>
        <w:pStyle w:val="ListParagraph"/>
        <w:numPr>
          <w:ilvl w:val="0"/>
          <w:numId w:val="1"/>
        </w:numPr>
        <w:contextualSpacing w:val="0"/>
        <w:rPr>
          <w:rFonts w:ascii="Arial" w:hAnsi="Arial" w:cs="Arial"/>
          <w:b/>
          <w:sz w:val="24"/>
          <w:szCs w:val="24"/>
        </w:rPr>
      </w:pPr>
      <w:r w:rsidRPr="00EE765D">
        <w:rPr>
          <w:rFonts w:ascii="Arial" w:hAnsi="Arial" w:cs="Arial"/>
          <w:b/>
          <w:sz w:val="24"/>
          <w:szCs w:val="24"/>
        </w:rPr>
        <w:t>Progress towards specific GVAP goals</w:t>
      </w:r>
      <w:r w:rsidR="00865907" w:rsidRPr="00EE765D">
        <w:rPr>
          <w:rFonts w:ascii="Arial" w:hAnsi="Arial" w:cs="Arial"/>
          <w:b/>
          <w:sz w:val="24"/>
          <w:szCs w:val="24"/>
        </w:rPr>
        <w:t xml:space="preserve"> (issues/challenges/successes)</w:t>
      </w:r>
    </w:p>
    <w:p w14:paraId="32DABE16" w14:textId="55961276" w:rsidR="0051290F" w:rsidRDefault="00641572" w:rsidP="0051290F">
      <w:pPr>
        <w:rPr>
          <w:rFonts w:ascii="Arial" w:hAnsi="Arial" w:cs="Arial"/>
          <w:b/>
          <w:lang w:val="en-US"/>
        </w:rPr>
      </w:pPr>
      <w:r>
        <w:rPr>
          <w:rFonts w:ascii="Arial" w:hAnsi="Arial" w:cs="Arial"/>
          <w:b/>
        </w:rPr>
        <w:t xml:space="preserve">3.1 Goal </w:t>
      </w:r>
      <w:r w:rsidR="0051290F">
        <w:rPr>
          <w:rFonts w:ascii="Arial" w:hAnsi="Arial" w:cs="Arial"/>
          <w:b/>
          <w:lang w:val="en-US"/>
        </w:rPr>
        <w:t>1: Achieve a world free of p</w:t>
      </w:r>
      <w:r w:rsidR="0051290F" w:rsidRPr="00B760C4">
        <w:rPr>
          <w:rFonts w:ascii="Arial" w:hAnsi="Arial" w:cs="Arial"/>
          <w:b/>
          <w:lang w:val="en-US"/>
        </w:rPr>
        <w:t>oliomyelitis</w:t>
      </w:r>
    </w:p>
    <w:p w14:paraId="6270C312" w14:textId="52068732" w:rsidR="00A330ED" w:rsidRPr="00A330ED" w:rsidRDefault="00A330ED" w:rsidP="0051290F">
      <w:pPr>
        <w:rPr>
          <w:rFonts w:ascii="Arial" w:hAnsi="Arial" w:cs="Arial"/>
          <w:u w:val="single"/>
          <w:lang w:val="en-US"/>
        </w:rPr>
      </w:pPr>
      <w:r w:rsidRPr="00A330ED">
        <w:rPr>
          <w:rFonts w:ascii="Arial" w:hAnsi="Arial" w:cs="Arial"/>
          <w:u w:val="single"/>
          <w:lang w:val="en-US"/>
        </w:rPr>
        <w:t>Has polio transmission been interrupted?</w:t>
      </w:r>
    </w:p>
    <w:p w14:paraId="2C54C6C8" w14:textId="1C9C18A9" w:rsidR="0051290F" w:rsidRPr="0051290F" w:rsidRDefault="0051290F" w:rsidP="0051290F">
      <w:pPr>
        <w:rPr>
          <w:rFonts w:ascii="Arial" w:hAnsi="Arial" w:cs="Arial"/>
          <w:lang w:val="en-US"/>
        </w:rPr>
      </w:pPr>
      <w:r>
        <w:rPr>
          <w:rFonts w:ascii="Arial" w:hAnsi="Arial" w:cs="Arial"/>
          <w:lang w:val="en-US"/>
        </w:rPr>
        <w:t xml:space="preserve">Polio transmission has been interrupted in DR Congo, with no cases of wild polio virus </w:t>
      </w:r>
      <w:r w:rsidR="00221A3A">
        <w:rPr>
          <w:rFonts w:ascii="Arial" w:hAnsi="Arial" w:cs="Arial"/>
          <w:lang w:val="en-US"/>
        </w:rPr>
        <w:t xml:space="preserve">(WPV) </w:t>
      </w:r>
      <w:r>
        <w:rPr>
          <w:rFonts w:ascii="Arial" w:hAnsi="Arial" w:cs="Arial"/>
          <w:lang w:val="en-US"/>
        </w:rPr>
        <w:t>detected since December 2011, when 93 cases were reported (and 100 cases the previous year). There were 29 cases of vaccine-derived disease from 2010 to 2012 and not again until 2016, when one case was reported in March.</w:t>
      </w:r>
      <w:r w:rsidR="00B316F3">
        <w:rPr>
          <w:rStyle w:val="FootnoteReference"/>
          <w:rFonts w:ascii="Arial" w:hAnsi="Arial" w:cs="Arial"/>
          <w:lang w:val="en-US"/>
        </w:rPr>
        <w:footnoteReference w:id="10"/>
      </w:r>
      <w:r w:rsidR="00A330ED">
        <w:rPr>
          <w:rFonts w:ascii="Arial" w:hAnsi="Arial" w:cs="Arial"/>
          <w:lang w:val="en-US"/>
        </w:rPr>
        <w:t xml:space="preserve"> This </w:t>
      </w:r>
      <w:r w:rsidR="00221A3A">
        <w:rPr>
          <w:rFonts w:ascii="Arial" w:hAnsi="Arial" w:cs="Arial"/>
          <w:lang w:val="en-US"/>
        </w:rPr>
        <w:t xml:space="preserve">decline in polio cases </w:t>
      </w:r>
      <w:r w:rsidR="00A330ED">
        <w:rPr>
          <w:rFonts w:ascii="Arial" w:hAnsi="Arial" w:cs="Arial"/>
          <w:lang w:val="en-US"/>
        </w:rPr>
        <w:t>could be the result of a series of national immunization days and sub-national immunization days (</w:t>
      </w:r>
      <w:proofErr w:type="spellStart"/>
      <w:r w:rsidR="00A330ED" w:rsidRPr="00A330ED">
        <w:rPr>
          <w:rFonts w:ascii="Arial" w:hAnsi="Arial" w:cs="Arial"/>
          <w:i/>
          <w:lang w:val="en-US"/>
        </w:rPr>
        <w:t>Journées</w:t>
      </w:r>
      <w:proofErr w:type="spellEnd"/>
      <w:r w:rsidR="00A330ED" w:rsidRPr="00A330ED">
        <w:rPr>
          <w:rFonts w:ascii="Arial" w:hAnsi="Arial" w:cs="Arial"/>
          <w:i/>
          <w:lang w:val="en-US"/>
        </w:rPr>
        <w:t xml:space="preserve"> locales de vaccination</w:t>
      </w:r>
      <w:r w:rsidR="00656D34">
        <w:rPr>
          <w:rFonts w:ascii="Arial" w:hAnsi="Arial" w:cs="Arial"/>
          <w:i/>
          <w:lang w:val="en-US"/>
        </w:rPr>
        <w:t xml:space="preserve"> </w:t>
      </w:r>
      <w:r w:rsidR="00656D34" w:rsidRPr="00656D34">
        <w:rPr>
          <w:rFonts w:ascii="Arial" w:hAnsi="Arial" w:cs="Arial"/>
          <w:lang w:val="en-US"/>
        </w:rPr>
        <w:t>or JLVs</w:t>
      </w:r>
      <w:r w:rsidR="00A330ED">
        <w:rPr>
          <w:rFonts w:ascii="Arial" w:hAnsi="Arial" w:cs="Arial"/>
          <w:lang w:val="en-US"/>
        </w:rPr>
        <w:t xml:space="preserve">) that </w:t>
      </w:r>
      <w:r w:rsidR="00B316F3">
        <w:rPr>
          <w:rFonts w:ascii="Arial" w:hAnsi="Arial" w:cs="Arial"/>
          <w:lang w:val="en-US"/>
        </w:rPr>
        <w:t>the country</w:t>
      </w:r>
      <w:r w:rsidR="00A330ED">
        <w:rPr>
          <w:rFonts w:ascii="Arial" w:hAnsi="Arial" w:cs="Arial"/>
          <w:lang w:val="en-US"/>
        </w:rPr>
        <w:t xml:space="preserve"> has conducted in </w:t>
      </w:r>
      <w:r>
        <w:rPr>
          <w:rFonts w:ascii="Arial" w:hAnsi="Arial" w:cs="Arial"/>
          <w:lang w:val="en-US"/>
        </w:rPr>
        <w:t xml:space="preserve">response to </w:t>
      </w:r>
      <w:r w:rsidR="00A330ED">
        <w:rPr>
          <w:rFonts w:ascii="Arial" w:hAnsi="Arial" w:cs="Arial"/>
          <w:lang w:val="en-US"/>
        </w:rPr>
        <w:t xml:space="preserve">the </w:t>
      </w:r>
      <w:r>
        <w:rPr>
          <w:rFonts w:ascii="Arial" w:hAnsi="Arial" w:cs="Arial"/>
          <w:lang w:val="en-US"/>
        </w:rPr>
        <w:t>WPV cases and to eradicate the disease</w:t>
      </w:r>
      <w:r w:rsidR="00656D34">
        <w:rPr>
          <w:rFonts w:ascii="Arial" w:hAnsi="Arial" w:cs="Arial"/>
          <w:lang w:val="en-US"/>
        </w:rPr>
        <w:t xml:space="preserve"> (see below)</w:t>
      </w:r>
      <w:r w:rsidR="00A330ED">
        <w:rPr>
          <w:rFonts w:ascii="Arial" w:hAnsi="Arial" w:cs="Arial"/>
          <w:lang w:val="en-US"/>
        </w:rPr>
        <w:t>. The Government presented a dossier to be declared polio-free in November 2015, which was granted by WHO.</w:t>
      </w:r>
      <w:r>
        <w:rPr>
          <w:rFonts w:ascii="Arial" w:hAnsi="Arial" w:cs="Arial"/>
          <w:lang w:val="en-US"/>
        </w:rPr>
        <w:t xml:space="preserve"> </w:t>
      </w:r>
    </w:p>
    <w:p w14:paraId="05A5A820" w14:textId="77777777" w:rsidR="002E66AB" w:rsidRDefault="002E66AB" w:rsidP="0051290F">
      <w:pPr>
        <w:rPr>
          <w:rFonts w:ascii="Arial" w:hAnsi="Arial" w:cs="Arial"/>
          <w:u w:val="single"/>
          <w:lang w:val="en-US"/>
        </w:rPr>
      </w:pPr>
    </w:p>
    <w:p w14:paraId="3F2F7891" w14:textId="77777777" w:rsidR="002E66AB" w:rsidRDefault="002E66AB" w:rsidP="0051290F">
      <w:pPr>
        <w:rPr>
          <w:rFonts w:ascii="Arial" w:hAnsi="Arial" w:cs="Arial"/>
          <w:u w:val="single"/>
          <w:lang w:val="en-US"/>
        </w:rPr>
      </w:pPr>
    </w:p>
    <w:p w14:paraId="1B311B35" w14:textId="77777777" w:rsidR="002E66AB" w:rsidRDefault="002E66AB" w:rsidP="0051290F">
      <w:pPr>
        <w:rPr>
          <w:rFonts w:ascii="Arial" w:hAnsi="Arial" w:cs="Arial"/>
          <w:u w:val="single"/>
          <w:lang w:val="en-US"/>
        </w:rPr>
      </w:pPr>
    </w:p>
    <w:p w14:paraId="34D15688" w14:textId="5810AB52" w:rsidR="0051290F" w:rsidRPr="00A330ED" w:rsidRDefault="00A330ED" w:rsidP="0051290F">
      <w:pPr>
        <w:rPr>
          <w:rFonts w:ascii="Arial" w:hAnsi="Arial" w:cs="Arial"/>
          <w:u w:val="single"/>
          <w:lang w:val="en-US"/>
        </w:rPr>
      </w:pPr>
      <w:r w:rsidRPr="00A330ED">
        <w:rPr>
          <w:rFonts w:ascii="Arial" w:hAnsi="Arial" w:cs="Arial"/>
          <w:u w:val="single"/>
          <w:lang w:val="en-US"/>
        </w:rPr>
        <w:t>Is the country considered at high risk of polio transmission?</w:t>
      </w:r>
    </w:p>
    <w:p w14:paraId="1289403C" w14:textId="5A7315B9" w:rsidR="00A330ED" w:rsidRDefault="00A330ED" w:rsidP="0051290F">
      <w:pPr>
        <w:rPr>
          <w:rFonts w:ascii="Arial" w:hAnsi="Arial" w:cs="Arial"/>
          <w:lang w:val="en-US"/>
        </w:rPr>
      </w:pPr>
      <w:r>
        <w:rPr>
          <w:rFonts w:ascii="Arial" w:hAnsi="Arial" w:cs="Arial"/>
          <w:lang w:val="en-US"/>
        </w:rPr>
        <w:t>According to the risk assessment for polio transmission cond</w:t>
      </w:r>
      <w:r w:rsidR="00B316F3">
        <w:rPr>
          <w:rFonts w:ascii="Arial" w:hAnsi="Arial" w:cs="Arial"/>
          <w:lang w:val="en-US"/>
        </w:rPr>
        <w:t xml:space="preserve">ucted by </w:t>
      </w:r>
      <w:proofErr w:type="gramStart"/>
      <w:r w:rsidR="00B316F3">
        <w:rPr>
          <w:rFonts w:ascii="Arial" w:hAnsi="Arial" w:cs="Arial"/>
          <w:lang w:val="en-US"/>
        </w:rPr>
        <w:t>WHO</w:t>
      </w:r>
      <w:proofErr w:type="gramEnd"/>
      <w:r w:rsidR="00B316F3">
        <w:rPr>
          <w:rFonts w:ascii="Arial" w:hAnsi="Arial" w:cs="Arial"/>
          <w:lang w:val="en-US"/>
        </w:rPr>
        <w:t xml:space="preserve"> in June 2016</w:t>
      </w:r>
      <w:r>
        <w:rPr>
          <w:rFonts w:ascii="Arial" w:hAnsi="Arial" w:cs="Arial"/>
          <w:lang w:val="en-US"/>
        </w:rPr>
        <w:t>,</w:t>
      </w:r>
      <w:r w:rsidR="00B316F3">
        <w:rPr>
          <w:rStyle w:val="FootnoteReference"/>
          <w:rFonts w:ascii="Arial" w:hAnsi="Arial" w:cs="Arial"/>
          <w:lang w:val="en-US"/>
        </w:rPr>
        <w:footnoteReference w:id="11"/>
      </w:r>
      <w:r>
        <w:rPr>
          <w:rFonts w:ascii="Arial" w:hAnsi="Arial" w:cs="Arial"/>
          <w:lang w:val="en-US"/>
        </w:rPr>
        <w:t xml:space="preserve"> DR</w:t>
      </w:r>
      <w:r w:rsidR="002E66AB">
        <w:rPr>
          <w:rFonts w:ascii="Arial" w:hAnsi="Arial" w:cs="Arial"/>
          <w:lang w:val="en-US"/>
        </w:rPr>
        <w:t xml:space="preserve"> </w:t>
      </w:r>
      <w:r>
        <w:rPr>
          <w:rFonts w:ascii="Arial" w:hAnsi="Arial" w:cs="Arial"/>
          <w:lang w:val="en-US"/>
        </w:rPr>
        <w:t>C</w:t>
      </w:r>
      <w:r w:rsidR="002E66AB">
        <w:rPr>
          <w:rFonts w:ascii="Arial" w:hAnsi="Arial" w:cs="Arial"/>
          <w:lang w:val="en-US"/>
        </w:rPr>
        <w:t>ongo</w:t>
      </w:r>
      <w:r>
        <w:rPr>
          <w:rFonts w:ascii="Arial" w:hAnsi="Arial" w:cs="Arial"/>
          <w:lang w:val="en-US"/>
        </w:rPr>
        <w:t xml:space="preserve"> is at medium risk of polio transmission for the country as a whole. This determination is based on the combination of the potential for transmission in-country and beyond its borders – which is considered high – and the strength of its capacity to respond to and contain an outbreak – which is considered strong. </w:t>
      </w:r>
      <w:r w:rsidR="002E66AB">
        <w:rPr>
          <w:rFonts w:ascii="Arial" w:hAnsi="Arial" w:cs="Arial"/>
          <w:lang w:val="en-US"/>
        </w:rPr>
        <w:t xml:space="preserve">As shown in Figure 2, a number of </w:t>
      </w:r>
      <w:r>
        <w:rPr>
          <w:rFonts w:ascii="Arial" w:hAnsi="Arial" w:cs="Arial"/>
          <w:lang w:val="en-US"/>
        </w:rPr>
        <w:t>the country’s 516 health districts (</w:t>
      </w:r>
      <w:r w:rsidRPr="00210674">
        <w:rPr>
          <w:rFonts w:ascii="Arial" w:hAnsi="Arial" w:cs="Arial"/>
          <w:i/>
          <w:lang w:val="en-US"/>
        </w:rPr>
        <w:t>zones de santé</w:t>
      </w:r>
      <w:r>
        <w:rPr>
          <w:rFonts w:ascii="Arial" w:hAnsi="Arial" w:cs="Arial"/>
          <w:lang w:val="en-US"/>
        </w:rPr>
        <w:t>)</w:t>
      </w:r>
      <w:r w:rsidR="002E66AB">
        <w:rPr>
          <w:rFonts w:ascii="Arial" w:hAnsi="Arial" w:cs="Arial"/>
          <w:lang w:val="en-US"/>
        </w:rPr>
        <w:t xml:space="preserve"> have </w:t>
      </w:r>
      <w:r>
        <w:rPr>
          <w:rFonts w:ascii="Arial" w:hAnsi="Arial" w:cs="Arial"/>
          <w:lang w:val="en-US"/>
        </w:rPr>
        <w:t xml:space="preserve">levels of population movement, a lack of security due to armed conflicts, and poor immunization coverage </w:t>
      </w:r>
      <w:r w:rsidR="00221A3A">
        <w:rPr>
          <w:rFonts w:ascii="Arial" w:hAnsi="Arial" w:cs="Arial"/>
          <w:lang w:val="en-US"/>
        </w:rPr>
        <w:t xml:space="preserve">that </w:t>
      </w:r>
      <w:r>
        <w:rPr>
          <w:rFonts w:ascii="Arial" w:hAnsi="Arial" w:cs="Arial"/>
          <w:lang w:val="en-US"/>
        </w:rPr>
        <w:t>plac</w:t>
      </w:r>
      <w:r w:rsidR="00221A3A">
        <w:rPr>
          <w:rFonts w:ascii="Arial" w:hAnsi="Arial" w:cs="Arial"/>
          <w:lang w:val="en-US"/>
        </w:rPr>
        <w:t>e</w:t>
      </w:r>
      <w:r>
        <w:rPr>
          <w:rFonts w:ascii="Arial" w:hAnsi="Arial" w:cs="Arial"/>
          <w:lang w:val="en-US"/>
        </w:rPr>
        <w:t xml:space="preserve"> them at risk.</w:t>
      </w:r>
    </w:p>
    <w:p w14:paraId="7FC3F27B" w14:textId="3750B004" w:rsidR="00C43F4C" w:rsidRPr="00651C67" w:rsidRDefault="00651C67" w:rsidP="00651C67">
      <w:pPr>
        <w:pStyle w:val="Caption"/>
        <w:rPr>
          <w:rFonts w:ascii="Arial" w:hAnsi="Arial" w:cs="Arial"/>
          <w:b w:val="0"/>
          <w:color w:val="auto"/>
          <w:sz w:val="22"/>
          <w:lang w:val="en-US"/>
        </w:rPr>
      </w:pPr>
      <w:r w:rsidRPr="00651C67">
        <w:rPr>
          <w:rFonts w:ascii="Arial" w:hAnsi="Arial" w:cs="Arial"/>
          <w:color w:val="auto"/>
          <w:sz w:val="22"/>
        </w:rPr>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2</w:t>
      </w:r>
      <w:r w:rsidRPr="00651C67">
        <w:rPr>
          <w:rFonts w:ascii="Arial" w:hAnsi="Arial" w:cs="Arial"/>
          <w:color w:val="auto"/>
          <w:sz w:val="22"/>
        </w:rPr>
        <w:fldChar w:fldCharType="end"/>
      </w:r>
      <w:r w:rsidRPr="00651C67">
        <w:rPr>
          <w:rFonts w:ascii="Arial" w:hAnsi="Arial" w:cs="Arial"/>
          <w:color w:val="auto"/>
          <w:sz w:val="22"/>
        </w:rPr>
        <w:t xml:space="preserve">: </w:t>
      </w:r>
      <w:r w:rsidR="00C43F4C" w:rsidRPr="00651C67">
        <w:rPr>
          <w:rFonts w:ascii="Arial" w:hAnsi="Arial" w:cs="Arial"/>
          <w:color w:val="auto"/>
          <w:sz w:val="22"/>
          <w:lang w:val="en-US"/>
        </w:rPr>
        <w:t xml:space="preserve">The level of polio </w:t>
      </w:r>
      <w:r w:rsidR="00EE765D" w:rsidRPr="00651C67">
        <w:rPr>
          <w:rFonts w:ascii="Arial" w:hAnsi="Arial" w:cs="Arial"/>
          <w:color w:val="auto"/>
          <w:sz w:val="22"/>
          <w:lang w:val="en-US"/>
        </w:rPr>
        <w:t xml:space="preserve">risk </w:t>
      </w:r>
      <w:r w:rsidR="00C43F4C" w:rsidRPr="00651C67">
        <w:rPr>
          <w:rFonts w:ascii="Arial" w:hAnsi="Arial" w:cs="Arial"/>
          <w:color w:val="auto"/>
          <w:sz w:val="22"/>
          <w:lang w:val="en-US"/>
        </w:rPr>
        <w:t>from importations by health district, 2016</w:t>
      </w:r>
    </w:p>
    <w:p w14:paraId="2AA714A9" w14:textId="44BB01A6" w:rsidR="00C43F4C" w:rsidRDefault="00CD61CC" w:rsidP="00D733F1">
      <w:pPr>
        <w:spacing w:after="0"/>
        <w:jc w:val="center"/>
        <w:rPr>
          <w:rFonts w:ascii="Arial" w:hAnsi="Arial" w:cs="Arial"/>
          <w:lang w:val="en-US"/>
        </w:rPr>
      </w:pPr>
      <w:r w:rsidRPr="00CD61CC">
        <w:rPr>
          <w:rFonts w:ascii="Arial" w:hAnsi="Arial" w:cs="Arial"/>
          <w:noProof/>
          <w:lang w:eastAsia="zh-CN"/>
        </w:rPr>
        <w:drawing>
          <wp:inline distT="0" distB="0" distL="0" distR="0" wp14:anchorId="553B1C3D" wp14:editId="64BA397E">
            <wp:extent cx="5029197" cy="3771900"/>
            <wp:effectExtent l="19050" t="19050" r="1968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0801" cy="3803103"/>
                    </a:xfrm>
                    <a:prstGeom prst="rect">
                      <a:avLst/>
                    </a:prstGeom>
                    <a:solidFill>
                      <a:schemeClr val="tx2"/>
                    </a:solidFill>
                    <a:ln>
                      <a:solidFill>
                        <a:schemeClr val="tx1"/>
                      </a:solidFill>
                    </a:ln>
                  </pic:spPr>
                </pic:pic>
              </a:graphicData>
            </a:graphic>
          </wp:inline>
        </w:drawing>
      </w:r>
    </w:p>
    <w:p w14:paraId="5E0534B9" w14:textId="1790BE9D" w:rsidR="00D733F1" w:rsidRDefault="00D733F1" w:rsidP="00D733F1">
      <w:pPr>
        <w:ind w:left="1440" w:hanging="1440"/>
        <w:rPr>
          <w:rFonts w:ascii="Arial" w:hAnsi="Arial" w:cs="Arial"/>
          <w:sz w:val="18"/>
          <w:szCs w:val="18"/>
          <w:lang w:val="en-US"/>
        </w:rPr>
      </w:pPr>
      <w:r w:rsidRPr="00D733F1">
        <w:rPr>
          <w:rFonts w:ascii="Arial" w:hAnsi="Arial" w:cs="Arial"/>
          <w:sz w:val="18"/>
          <w:szCs w:val="18"/>
          <w:lang w:val="en-US"/>
        </w:rPr>
        <w:tab/>
        <w:t>Source: Risk assessment for polio virus transmission: DR Congo presentation (June 15, 2016)</w:t>
      </w:r>
    </w:p>
    <w:p w14:paraId="06D23C2D" w14:textId="77777777" w:rsidR="002945B9" w:rsidRPr="00C43F4C" w:rsidRDefault="002945B9" w:rsidP="002945B9">
      <w:pPr>
        <w:rPr>
          <w:rFonts w:ascii="Arial" w:hAnsi="Arial" w:cs="Arial"/>
          <w:u w:val="single"/>
          <w:lang w:val="en-US"/>
        </w:rPr>
      </w:pPr>
      <w:r w:rsidRPr="00C43F4C">
        <w:rPr>
          <w:rFonts w:ascii="Arial" w:hAnsi="Arial" w:cs="Arial"/>
          <w:u w:val="single"/>
          <w:lang w:val="en-US"/>
        </w:rPr>
        <w:t>What needs to be done to keep DRC polio free?</w:t>
      </w:r>
    </w:p>
    <w:p w14:paraId="4A5B3090" w14:textId="43B86746" w:rsidR="002945B9" w:rsidRDefault="002945B9" w:rsidP="002945B9">
      <w:pPr>
        <w:rPr>
          <w:rFonts w:ascii="Arial" w:hAnsi="Arial" w:cs="Arial"/>
          <w:lang w:val="en-US"/>
        </w:rPr>
      </w:pPr>
      <w:r>
        <w:rPr>
          <w:rFonts w:ascii="Arial" w:hAnsi="Arial" w:cs="Arial"/>
          <w:lang w:val="en-US"/>
        </w:rPr>
        <w:t xml:space="preserve">To keep DRC free of polio outbreaks, good AFP and polio surveillance must be maintained. The country currently meets several AFP surveillance targets, including a national rate of non-polio AFP incidence of 5.5/100,000 children under the age of 15 and a rate of 91% of reported AFP cases investigated within 48 hours. The percent of cases with adequate stool samples nation-wide is 77% − just below the target of 80%. However, the quality of AFP surveillance is uneven in the country, with 28% of the 516 districts “silent” (reporting no AFP cases) for the first six months of 2016 and six DPSs with adequate stool rates of 60% of </w:t>
      </w:r>
      <w:r>
        <w:rPr>
          <w:rFonts w:ascii="Arial" w:hAnsi="Arial" w:cs="Arial"/>
          <w:lang w:val="en-US"/>
        </w:rPr>
        <w:lastRenderedPageBreak/>
        <w:t>less.</w:t>
      </w:r>
      <w:r>
        <w:rPr>
          <w:rStyle w:val="FootnoteReference"/>
          <w:rFonts w:ascii="Arial" w:hAnsi="Arial" w:cs="Arial"/>
          <w:lang w:val="en-US"/>
        </w:rPr>
        <w:footnoteReference w:id="12"/>
      </w:r>
      <w:r>
        <w:rPr>
          <w:rFonts w:ascii="Arial" w:hAnsi="Arial" w:cs="Arial"/>
          <w:lang w:val="en-US"/>
        </w:rPr>
        <w:t xml:space="preserve"> In poor-performing areas, there is limited case-based surveillance and investigations of possible cases, often due to a lack of transport, as well as poor documentation.</w:t>
      </w:r>
    </w:p>
    <w:p w14:paraId="577C65DF" w14:textId="14E03249" w:rsidR="00D733F1" w:rsidRDefault="00D733F1" w:rsidP="00D733F1">
      <w:pPr>
        <w:rPr>
          <w:rFonts w:ascii="Arial" w:hAnsi="Arial" w:cs="Arial"/>
          <w:lang w:val="en-US"/>
        </w:rPr>
      </w:pPr>
      <w:r>
        <w:rPr>
          <w:rFonts w:ascii="Arial" w:hAnsi="Arial" w:cs="Arial"/>
          <w:lang w:val="en-US"/>
        </w:rPr>
        <w:t xml:space="preserve">The surveillance system is heavily supported by WHO, which maintains a team of </w:t>
      </w:r>
      <w:r w:rsidR="002945B9">
        <w:rPr>
          <w:rFonts w:ascii="Arial" w:hAnsi="Arial" w:cs="Arial"/>
          <w:lang w:val="en-US"/>
        </w:rPr>
        <w:t>several dozen</w:t>
      </w:r>
      <w:r>
        <w:rPr>
          <w:rFonts w:ascii="Arial" w:hAnsi="Arial" w:cs="Arial"/>
          <w:lang w:val="en-US"/>
        </w:rPr>
        <w:t xml:space="preserve"> staff and consultants in the provinces (including support staff and drivers), as well as 12 staff at the national level. The country is also supported by the CDC-funded international STOP teams, made up of </w:t>
      </w:r>
      <w:r w:rsidR="009F7B84">
        <w:rPr>
          <w:rFonts w:ascii="Arial" w:hAnsi="Arial" w:cs="Arial"/>
          <w:lang w:val="en-US"/>
        </w:rPr>
        <w:t>10-</w:t>
      </w:r>
      <w:r>
        <w:rPr>
          <w:rFonts w:ascii="Arial" w:hAnsi="Arial" w:cs="Arial"/>
          <w:lang w:val="en-US"/>
        </w:rPr>
        <w:t xml:space="preserve">14 or so surveillance experts who spend time working with health authorities in silent districts to provide technical assistance and training to improve surveillance for AFP and other diseases. They hope to reduce the number of districts not reporting any AFP cases to zero </w:t>
      </w:r>
      <w:r w:rsidR="009F7B84">
        <w:rPr>
          <w:rFonts w:ascii="Arial" w:hAnsi="Arial" w:cs="Arial"/>
          <w:lang w:val="en-US"/>
        </w:rPr>
        <w:t>in</w:t>
      </w:r>
      <w:r>
        <w:rPr>
          <w:rFonts w:ascii="Arial" w:hAnsi="Arial" w:cs="Arial"/>
          <w:lang w:val="en-US"/>
        </w:rPr>
        <w:t xml:space="preserve"> 2016.</w:t>
      </w:r>
    </w:p>
    <w:p w14:paraId="24231CDD" w14:textId="26ABCE31" w:rsidR="00656D34" w:rsidRDefault="00656D34" w:rsidP="00D733F1">
      <w:pPr>
        <w:rPr>
          <w:rFonts w:ascii="Arial" w:hAnsi="Arial" w:cs="Arial"/>
          <w:lang w:val="en-US"/>
        </w:rPr>
      </w:pPr>
      <w:r>
        <w:rPr>
          <w:rFonts w:ascii="Arial" w:hAnsi="Arial" w:cs="Arial"/>
          <w:lang w:val="en-US"/>
        </w:rPr>
        <w:t xml:space="preserve">The immunization program has conducted a series of sub-national </w:t>
      </w:r>
      <w:r w:rsidR="002945B9">
        <w:rPr>
          <w:rFonts w:ascii="Arial" w:hAnsi="Arial" w:cs="Arial"/>
          <w:lang w:val="en-US"/>
        </w:rPr>
        <w:t>polio campaigns</w:t>
      </w:r>
      <w:r>
        <w:rPr>
          <w:rFonts w:ascii="Arial" w:hAnsi="Arial" w:cs="Arial"/>
          <w:lang w:val="en-US"/>
        </w:rPr>
        <w:t>, including catch-up campaigns following the detection of vaccine-derived polio cases</w:t>
      </w:r>
      <w:r w:rsidR="009F7B84">
        <w:rPr>
          <w:rFonts w:ascii="Arial" w:hAnsi="Arial" w:cs="Arial"/>
          <w:lang w:val="en-US"/>
        </w:rPr>
        <w:t>,</w:t>
      </w:r>
      <w:r>
        <w:rPr>
          <w:rFonts w:ascii="Arial" w:hAnsi="Arial" w:cs="Arial"/>
          <w:lang w:val="en-US"/>
        </w:rPr>
        <w:t xml:space="preserve"> every year for the past several years. These include three rounds of JLVs (local vaccination days) in 2015 and two rounds of national immunization days in 2016, with a third planned for October. Due to problems with data quality, the campaigns constantly register coverage rates in excess of 100%. However, one LQA survey following the campaigns in 2015 found that 30% of the districts had what they considered “poor coverage” and an estimated 6% of the children had been missed.</w:t>
      </w:r>
      <w:r w:rsidR="002945B9">
        <w:rPr>
          <w:rStyle w:val="FootnoteReference"/>
          <w:rFonts w:ascii="Arial" w:hAnsi="Arial" w:cs="Arial"/>
          <w:lang w:val="en-US"/>
        </w:rPr>
        <w:footnoteReference w:id="13"/>
      </w:r>
    </w:p>
    <w:p w14:paraId="14F498FB" w14:textId="7AFF4CBF" w:rsidR="00656D34" w:rsidRDefault="00656D34" w:rsidP="00D733F1">
      <w:pPr>
        <w:rPr>
          <w:rFonts w:ascii="Arial" w:hAnsi="Arial" w:cs="Arial"/>
          <w:lang w:val="en-US"/>
        </w:rPr>
      </w:pPr>
      <w:r>
        <w:rPr>
          <w:rFonts w:ascii="Arial" w:hAnsi="Arial" w:cs="Arial"/>
          <w:lang w:val="en-US"/>
        </w:rPr>
        <w:t>Achieving high polio vaccination coverage through the routine immunization program is also critical to reducing the risk of the disease from re</w:t>
      </w:r>
      <w:r w:rsidR="009F7B84">
        <w:rPr>
          <w:rFonts w:ascii="Arial" w:hAnsi="Arial" w:cs="Arial"/>
          <w:lang w:val="en-US"/>
        </w:rPr>
        <w:t>-emerging</w:t>
      </w:r>
      <w:r>
        <w:rPr>
          <w:rFonts w:ascii="Arial" w:hAnsi="Arial" w:cs="Arial"/>
          <w:lang w:val="en-US"/>
        </w:rPr>
        <w:t>. According to the WHO-UNICEF estimates, national coverage of three polio vaccine doses has been in the range of 74-79% since 2011 and was 78% in 2015. This is up from 42% national coverage in 2000, but below the GVAP target of 90% nationally. In addition, the 2016 polio risk assessment identified</w:t>
      </w:r>
      <w:r w:rsidR="002945B9">
        <w:rPr>
          <w:rFonts w:ascii="Arial" w:hAnsi="Arial" w:cs="Arial"/>
          <w:lang w:val="en-US"/>
        </w:rPr>
        <w:t xml:space="preserve"> several </w:t>
      </w:r>
      <w:r>
        <w:rPr>
          <w:rFonts w:ascii="Arial" w:hAnsi="Arial" w:cs="Arial"/>
          <w:lang w:val="en-US"/>
        </w:rPr>
        <w:t xml:space="preserve">districts with poor vaccination coverage, putting them at risk of transmission (see </w:t>
      </w:r>
      <w:r w:rsidR="009F7B84">
        <w:rPr>
          <w:rFonts w:ascii="Arial" w:hAnsi="Arial" w:cs="Arial"/>
          <w:lang w:val="en-US"/>
        </w:rPr>
        <w:t xml:space="preserve">the </w:t>
      </w:r>
      <w:r w:rsidR="002945B9">
        <w:rPr>
          <w:rFonts w:ascii="Arial" w:hAnsi="Arial" w:cs="Arial"/>
          <w:lang w:val="en-US"/>
        </w:rPr>
        <w:t>lower middle</w:t>
      </w:r>
      <w:r w:rsidR="009F7B84">
        <w:rPr>
          <w:rFonts w:ascii="Arial" w:hAnsi="Arial" w:cs="Arial"/>
          <w:lang w:val="en-US"/>
        </w:rPr>
        <w:t xml:space="preserve"> map in </w:t>
      </w:r>
      <w:r w:rsidR="002945B9">
        <w:rPr>
          <w:rFonts w:ascii="Arial" w:hAnsi="Arial" w:cs="Arial"/>
          <w:lang w:val="en-US"/>
        </w:rPr>
        <w:t>Figure 2</w:t>
      </w:r>
      <w:r>
        <w:rPr>
          <w:rFonts w:ascii="Arial" w:hAnsi="Arial" w:cs="Arial"/>
          <w:lang w:val="en-US"/>
        </w:rPr>
        <w:t>).</w:t>
      </w:r>
    </w:p>
    <w:p w14:paraId="530213A8" w14:textId="2361F391" w:rsidR="00210674" w:rsidRDefault="00210674" w:rsidP="00D733F1">
      <w:pPr>
        <w:rPr>
          <w:rFonts w:ascii="Arial" w:hAnsi="Arial" w:cs="Arial"/>
          <w:lang w:val="en-US"/>
        </w:rPr>
      </w:pPr>
      <w:r>
        <w:rPr>
          <w:rFonts w:ascii="Arial" w:hAnsi="Arial" w:cs="Arial"/>
          <w:lang w:val="en-US"/>
        </w:rPr>
        <w:t xml:space="preserve">According to two studies conducted in 2011, refusal </w:t>
      </w:r>
      <w:r w:rsidR="008D27F4">
        <w:rPr>
          <w:rFonts w:ascii="Arial" w:hAnsi="Arial" w:cs="Arial"/>
          <w:lang w:val="en-US"/>
        </w:rPr>
        <w:t xml:space="preserve">of parents </w:t>
      </w:r>
      <w:r>
        <w:rPr>
          <w:rFonts w:ascii="Arial" w:hAnsi="Arial" w:cs="Arial"/>
          <w:lang w:val="en-US"/>
        </w:rPr>
        <w:t>to have their children vaccinated against polio was the second most common reason children were not vaccinated against polio, in contrast to measles, for which refusals were found to be negligible.</w:t>
      </w:r>
      <w:r w:rsidR="002945B9">
        <w:rPr>
          <w:rStyle w:val="FootnoteReference"/>
          <w:rFonts w:ascii="Arial" w:hAnsi="Arial" w:cs="Arial"/>
          <w:lang w:val="en-US"/>
        </w:rPr>
        <w:footnoteReference w:id="14"/>
      </w:r>
      <w:r>
        <w:rPr>
          <w:rFonts w:ascii="Arial" w:hAnsi="Arial" w:cs="Arial"/>
          <w:lang w:val="en-US"/>
        </w:rPr>
        <w:t xml:space="preserve"> Refusals to polio vaccination were found to be due to the existence of 60 </w:t>
      </w:r>
      <w:r w:rsidR="008D27F4">
        <w:rPr>
          <w:rFonts w:ascii="Arial" w:hAnsi="Arial" w:cs="Arial"/>
          <w:lang w:val="en-US"/>
        </w:rPr>
        <w:t xml:space="preserve">or so </w:t>
      </w:r>
      <w:r>
        <w:rPr>
          <w:rFonts w:ascii="Arial" w:hAnsi="Arial" w:cs="Arial"/>
          <w:lang w:val="en-US"/>
        </w:rPr>
        <w:t>religious groups who were against the polio SIAs, the population’s low perceived risk of the disease, the repetitiveness of polio vaccination campaigns</w:t>
      </w:r>
      <w:r w:rsidR="008D27F4">
        <w:rPr>
          <w:rFonts w:ascii="Arial" w:hAnsi="Arial" w:cs="Arial"/>
          <w:lang w:val="en-US"/>
        </w:rPr>
        <w:t xml:space="preserve">, and inadequate communications and social mobilization activities targeting pregnant women and anti-vaccine groups. Intensified communications activities by national consultants and STOP Team members in low-performing provinces and </w:t>
      </w:r>
      <w:proofErr w:type="spellStart"/>
      <w:r w:rsidR="008D27F4" w:rsidRPr="009F7B84">
        <w:rPr>
          <w:rFonts w:ascii="Arial" w:hAnsi="Arial" w:cs="Arial"/>
          <w:i/>
          <w:lang w:val="en-US"/>
        </w:rPr>
        <w:t>ante</w:t>
      </w:r>
      <w:r w:rsidR="009F7B84" w:rsidRPr="009F7B84">
        <w:rPr>
          <w:rFonts w:ascii="Arial" w:hAnsi="Arial" w:cs="Arial"/>
          <w:i/>
          <w:lang w:val="en-US"/>
        </w:rPr>
        <w:t>nne</w:t>
      </w:r>
      <w:r w:rsidR="008D27F4" w:rsidRPr="009F7B84">
        <w:rPr>
          <w:rFonts w:ascii="Arial" w:hAnsi="Arial" w:cs="Arial"/>
          <w:i/>
          <w:lang w:val="en-US"/>
        </w:rPr>
        <w:t>s</w:t>
      </w:r>
      <w:proofErr w:type="spellEnd"/>
      <w:r w:rsidR="008D27F4">
        <w:rPr>
          <w:rFonts w:ascii="Arial" w:hAnsi="Arial" w:cs="Arial"/>
          <w:lang w:val="en-US"/>
        </w:rPr>
        <w:t xml:space="preserve"> in 2012 reduced the number of groups still opposed to vaccination from 60 to 10 and otherwise increased parents’ knowledge about polio vaccination.</w:t>
      </w:r>
      <w:r w:rsidR="002945B9">
        <w:rPr>
          <w:rStyle w:val="FootnoteReference"/>
          <w:rFonts w:ascii="Arial" w:hAnsi="Arial" w:cs="Arial"/>
          <w:lang w:val="en-US"/>
        </w:rPr>
        <w:footnoteReference w:id="15"/>
      </w:r>
    </w:p>
    <w:p w14:paraId="6E965862" w14:textId="77777777" w:rsidR="002945B9" w:rsidRDefault="002945B9" w:rsidP="00D733F1">
      <w:pPr>
        <w:rPr>
          <w:rFonts w:ascii="Arial" w:hAnsi="Arial" w:cs="Arial"/>
          <w:lang w:val="en-US"/>
        </w:rPr>
      </w:pPr>
    </w:p>
    <w:p w14:paraId="18C99021" w14:textId="77777777" w:rsidR="002945B9" w:rsidRDefault="002945B9" w:rsidP="00D733F1">
      <w:pPr>
        <w:rPr>
          <w:rFonts w:ascii="Arial" w:hAnsi="Arial" w:cs="Arial"/>
          <w:lang w:val="en-US"/>
        </w:rPr>
      </w:pPr>
    </w:p>
    <w:p w14:paraId="07AB0474" w14:textId="77777777" w:rsidR="002945B9" w:rsidRDefault="002945B9" w:rsidP="00D733F1">
      <w:pPr>
        <w:rPr>
          <w:rFonts w:ascii="Arial" w:hAnsi="Arial" w:cs="Arial"/>
          <w:lang w:val="en-US"/>
        </w:rPr>
      </w:pPr>
    </w:p>
    <w:p w14:paraId="5BC9AAFF" w14:textId="77777777" w:rsidR="00371B50" w:rsidRDefault="009318B8" w:rsidP="009318B8">
      <w:pPr>
        <w:pStyle w:val="ListParagraph"/>
        <w:numPr>
          <w:ilvl w:val="1"/>
          <w:numId w:val="18"/>
        </w:numPr>
        <w:rPr>
          <w:rFonts w:ascii="Arial" w:hAnsi="Arial" w:cs="Arial"/>
          <w:b/>
        </w:rPr>
      </w:pPr>
      <w:r>
        <w:rPr>
          <w:rFonts w:ascii="Arial" w:hAnsi="Arial" w:cs="Arial"/>
          <w:b/>
        </w:rPr>
        <w:lastRenderedPageBreak/>
        <w:t xml:space="preserve">  </w:t>
      </w:r>
      <w:r w:rsidR="0079008F" w:rsidRPr="009318B8">
        <w:rPr>
          <w:rFonts w:ascii="Arial" w:hAnsi="Arial" w:cs="Arial"/>
          <w:b/>
        </w:rPr>
        <w:t xml:space="preserve">Goal 2 : </w:t>
      </w:r>
      <w:r w:rsidR="00371B50">
        <w:rPr>
          <w:rFonts w:ascii="Arial" w:hAnsi="Arial" w:cs="Arial"/>
          <w:b/>
        </w:rPr>
        <w:t>Meet global and regional elimination targets</w:t>
      </w:r>
    </w:p>
    <w:p w14:paraId="62B1D492" w14:textId="0E1D71E0" w:rsidR="0079008F" w:rsidRPr="00371B50" w:rsidRDefault="008D27F4" w:rsidP="008D27F4">
      <w:pPr>
        <w:rPr>
          <w:rFonts w:ascii="Arial" w:hAnsi="Arial" w:cs="Arial"/>
          <w:b/>
        </w:rPr>
      </w:pPr>
      <w:r>
        <w:rPr>
          <w:rFonts w:ascii="Arial" w:hAnsi="Arial" w:cs="Arial"/>
          <w:b/>
        </w:rPr>
        <w:t xml:space="preserve">3.2.1 </w:t>
      </w:r>
      <w:r w:rsidR="0079008F" w:rsidRPr="00371B50">
        <w:rPr>
          <w:rFonts w:ascii="Arial" w:hAnsi="Arial" w:cs="Arial"/>
          <w:b/>
        </w:rPr>
        <w:t>Achieve maternal and neonatal tetanus elimination</w:t>
      </w:r>
    </w:p>
    <w:p w14:paraId="14F13769" w14:textId="458EB410" w:rsidR="0000352E" w:rsidRDefault="008D27F4" w:rsidP="008D27F4">
      <w:pPr>
        <w:rPr>
          <w:rFonts w:ascii="Arial" w:hAnsi="Arial" w:cs="Arial"/>
        </w:rPr>
      </w:pPr>
      <w:r>
        <w:rPr>
          <w:rFonts w:ascii="Arial" w:hAnsi="Arial" w:cs="Arial"/>
        </w:rPr>
        <w:t xml:space="preserve">DRC has not yet achieved elimination status of </w:t>
      </w:r>
      <w:r w:rsidR="001A33B2">
        <w:rPr>
          <w:rFonts w:ascii="Arial" w:hAnsi="Arial" w:cs="Arial"/>
        </w:rPr>
        <w:t xml:space="preserve">maternal and </w:t>
      </w:r>
      <w:r>
        <w:rPr>
          <w:rFonts w:ascii="Arial" w:hAnsi="Arial" w:cs="Arial"/>
        </w:rPr>
        <w:t>neonatal tetanus</w:t>
      </w:r>
      <w:r w:rsidR="001A33B2">
        <w:rPr>
          <w:rFonts w:ascii="Arial" w:hAnsi="Arial" w:cs="Arial"/>
        </w:rPr>
        <w:t xml:space="preserve"> (MNT)</w:t>
      </w:r>
      <w:r>
        <w:rPr>
          <w:rFonts w:ascii="Arial" w:hAnsi="Arial" w:cs="Arial"/>
        </w:rPr>
        <w:t xml:space="preserve"> and continues to officially report cases in most years, including more than 1,250 in 2012</w:t>
      </w:r>
      <w:r w:rsidR="009F7B84">
        <w:rPr>
          <w:rFonts w:ascii="Arial" w:hAnsi="Arial" w:cs="Arial"/>
        </w:rPr>
        <w:t>, 201 in 2014 and 330 to 2015</w:t>
      </w:r>
      <w:r>
        <w:rPr>
          <w:rFonts w:ascii="Arial" w:hAnsi="Arial" w:cs="Arial"/>
        </w:rPr>
        <w:t xml:space="preserve">. However, the actual incidence is likely to be much higher, since according to the </w:t>
      </w:r>
      <w:proofErr w:type="spellStart"/>
      <w:r>
        <w:rPr>
          <w:rFonts w:ascii="Arial" w:hAnsi="Arial" w:cs="Arial"/>
        </w:rPr>
        <w:t>cMYP</w:t>
      </w:r>
      <w:proofErr w:type="spellEnd"/>
      <w:r>
        <w:rPr>
          <w:rFonts w:ascii="Arial" w:hAnsi="Arial" w:cs="Arial"/>
        </w:rPr>
        <w:t>, less than 10% of neonatal tetanus cases are reported by the routine surveillance system</w:t>
      </w:r>
      <w:r w:rsidR="001A33B2">
        <w:rPr>
          <w:rFonts w:ascii="Arial" w:hAnsi="Arial" w:cs="Arial"/>
        </w:rPr>
        <w:t xml:space="preserve">. According to a study conducted in 2005, 7% of neonatal deaths </w:t>
      </w:r>
      <w:r w:rsidR="00496569">
        <w:rPr>
          <w:rFonts w:ascii="Arial" w:hAnsi="Arial" w:cs="Arial"/>
        </w:rPr>
        <w:t xml:space="preserve">in DRC </w:t>
      </w:r>
      <w:r w:rsidR="001A33B2">
        <w:rPr>
          <w:rFonts w:ascii="Arial" w:hAnsi="Arial" w:cs="Arial"/>
        </w:rPr>
        <w:t>were due to neonatal tetanus.</w:t>
      </w:r>
      <w:r w:rsidR="002945B9">
        <w:rPr>
          <w:rStyle w:val="FootnoteReference"/>
          <w:rFonts w:ascii="Arial" w:hAnsi="Arial" w:cs="Arial"/>
        </w:rPr>
        <w:footnoteReference w:id="16"/>
      </w:r>
    </w:p>
    <w:p w14:paraId="2DC2B2FD" w14:textId="44BC2B04" w:rsidR="001A33B2" w:rsidRDefault="001A33B2" w:rsidP="008D27F4">
      <w:pPr>
        <w:rPr>
          <w:rFonts w:ascii="Arial" w:hAnsi="Arial" w:cs="Arial"/>
        </w:rPr>
      </w:pPr>
      <w:r>
        <w:rPr>
          <w:rFonts w:ascii="Arial" w:hAnsi="Arial" w:cs="Arial"/>
        </w:rPr>
        <w:t>A key problem affecting DRC’s ability to eliminate MNT is its continual weak surveillance of the disease, including active surveillance. Only 17% of reported NMT cases were investigated between 2012 and 2015, with considerable variation by province.</w:t>
      </w:r>
      <w:r w:rsidR="002945B9">
        <w:rPr>
          <w:rStyle w:val="FootnoteReference"/>
          <w:rFonts w:ascii="Arial" w:hAnsi="Arial" w:cs="Arial"/>
        </w:rPr>
        <w:footnoteReference w:id="17"/>
      </w:r>
      <w:r>
        <w:rPr>
          <w:rFonts w:ascii="Arial" w:hAnsi="Arial" w:cs="Arial"/>
        </w:rPr>
        <w:t xml:space="preserve"> This is in marked contrast to the 91% investigation rate cited above for AFP surveillance, into which donors have poured considerable funding and technical support. In addition, the standard response to confirmed cases by conducting ring vaccination in households surrounding </w:t>
      </w:r>
      <w:proofErr w:type="gramStart"/>
      <w:r>
        <w:rPr>
          <w:rFonts w:ascii="Arial" w:hAnsi="Arial" w:cs="Arial"/>
        </w:rPr>
        <w:t>a confirmed cases</w:t>
      </w:r>
      <w:proofErr w:type="gramEnd"/>
      <w:r>
        <w:rPr>
          <w:rFonts w:ascii="Arial" w:hAnsi="Arial" w:cs="Arial"/>
        </w:rPr>
        <w:t xml:space="preserve"> only occurred on average 32-41% of the time </w:t>
      </w:r>
      <w:r w:rsidR="00496569">
        <w:rPr>
          <w:rFonts w:ascii="Arial" w:hAnsi="Arial" w:cs="Arial"/>
        </w:rPr>
        <w:t>during this period</w:t>
      </w:r>
      <w:r>
        <w:rPr>
          <w:rFonts w:ascii="Arial" w:hAnsi="Arial" w:cs="Arial"/>
        </w:rPr>
        <w:t>.</w:t>
      </w:r>
      <w:r w:rsidR="002945B9">
        <w:rPr>
          <w:rStyle w:val="FootnoteReference"/>
          <w:rFonts w:ascii="Arial" w:hAnsi="Arial" w:cs="Arial"/>
        </w:rPr>
        <w:footnoteReference w:id="18"/>
      </w:r>
    </w:p>
    <w:p w14:paraId="5C12D38E" w14:textId="5D235E26" w:rsidR="001A33B2" w:rsidRPr="00AA7025" w:rsidRDefault="001A33B2" w:rsidP="008D27F4">
      <w:pPr>
        <w:rPr>
          <w:rFonts w:ascii="Arial" w:hAnsi="Arial" w:cs="Arial"/>
        </w:rPr>
      </w:pPr>
      <w:r w:rsidRPr="00AA7025">
        <w:rPr>
          <w:rFonts w:ascii="Arial" w:hAnsi="Arial" w:cs="Arial"/>
        </w:rPr>
        <w:t xml:space="preserve">DRC has made considerable progress in providing TT </w:t>
      </w:r>
      <w:r w:rsidR="00AA7025" w:rsidRPr="00AA7025">
        <w:rPr>
          <w:rFonts w:ascii="Arial" w:hAnsi="Arial" w:cs="Arial"/>
        </w:rPr>
        <w:t xml:space="preserve">vaccine </w:t>
      </w:r>
      <w:r w:rsidRPr="00AA7025">
        <w:rPr>
          <w:rFonts w:ascii="Arial" w:hAnsi="Arial" w:cs="Arial"/>
        </w:rPr>
        <w:t xml:space="preserve">to pregnant women in </w:t>
      </w:r>
      <w:r w:rsidR="009F7B84" w:rsidRPr="00AA7025">
        <w:rPr>
          <w:rFonts w:ascii="Arial" w:hAnsi="Arial" w:cs="Arial"/>
        </w:rPr>
        <w:t>the</w:t>
      </w:r>
      <w:r w:rsidRPr="00AA7025">
        <w:rPr>
          <w:rFonts w:ascii="Arial" w:hAnsi="Arial" w:cs="Arial"/>
        </w:rPr>
        <w:t xml:space="preserve"> past several years – with rates of children protected at birth </w:t>
      </w:r>
      <w:r w:rsidR="00496569" w:rsidRPr="00AA7025">
        <w:rPr>
          <w:rFonts w:ascii="Arial" w:hAnsi="Arial" w:cs="Arial"/>
        </w:rPr>
        <w:t xml:space="preserve">(PAB) </w:t>
      </w:r>
      <w:r w:rsidRPr="00AA7025">
        <w:rPr>
          <w:rFonts w:ascii="Arial" w:hAnsi="Arial" w:cs="Arial"/>
        </w:rPr>
        <w:t>jumping from 45% in 2000 to 82% for the past two years</w:t>
      </w:r>
      <w:r w:rsidR="00AA7025" w:rsidRPr="00AA7025">
        <w:rPr>
          <w:rFonts w:ascii="Arial" w:hAnsi="Arial" w:cs="Arial"/>
        </w:rPr>
        <w:t>, according to the WHO-UNICEF</w:t>
      </w:r>
      <w:r w:rsidRPr="00AA7025">
        <w:rPr>
          <w:rFonts w:ascii="Arial" w:hAnsi="Arial" w:cs="Arial"/>
        </w:rPr>
        <w:t xml:space="preserve"> estimates. This has mainly been due to the marked increase in the use of antenatal care services – from </w:t>
      </w:r>
      <w:r w:rsidR="00AA7025" w:rsidRPr="00AA7025">
        <w:rPr>
          <w:rFonts w:ascii="Arial" w:hAnsi="Arial" w:cs="Arial"/>
        </w:rPr>
        <w:t>68</w:t>
      </w:r>
      <w:r w:rsidRPr="00AA7025">
        <w:rPr>
          <w:rFonts w:ascii="Arial" w:hAnsi="Arial" w:cs="Arial"/>
        </w:rPr>
        <w:t xml:space="preserve">% of pregnant women making at least one ANC visit </w:t>
      </w:r>
      <w:r w:rsidR="00E9485D" w:rsidRPr="00AA7025">
        <w:rPr>
          <w:rFonts w:ascii="Arial" w:hAnsi="Arial" w:cs="Arial"/>
        </w:rPr>
        <w:t>in 200</w:t>
      </w:r>
      <w:r w:rsidR="00AA7025" w:rsidRPr="00AA7025">
        <w:rPr>
          <w:rFonts w:ascii="Arial" w:hAnsi="Arial" w:cs="Arial"/>
        </w:rPr>
        <w:t>1</w:t>
      </w:r>
      <w:r w:rsidR="00E9485D" w:rsidRPr="00AA7025">
        <w:rPr>
          <w:rFonts w:ascii="Arial" w:hAnsi="Arial" w:cs="Arial"/>
        </w:rPr>
        <w:t xml:space="preserve"> to </w:t>
      </w:r>
      <w:r w:rsidR="00AA7025" w:rsidRPr="00AA7025">
        <w:rPr>
          <w:rFonts w:ascii="Arial" w:hAnsi="Arial" w:cs="Arial"/>
        </w:rPr>
        <w:t>88</w:t>
      </w:r>
      <w:r w:rsidRPr="00AA7025">
        <w:rPr>
          <w:rFonts w:ascii="Arial" w:hAnsi="Arial" w:cs="Arial"/>
        </w:rPr>
        <w:t>% by 201</w:t>
      </w:r>
      <w:r w:rsidR="00AA7025" w:rsidRPr="00AA7025">
        <w:rPr>
          <w:rFonts w:ascii="Arial" w:hAnsi="Arial" w:cs="Arial"/>
        </w:rPr>
        <w:t>3/14.</w:t>
      </w:r>
      <w:r w:rsidR="00E9485D" w:rsidRPr="00AA7025">
        <w:rPr>
          <w:rFonts w:ascii="Arial" w:hAnsi="Arial" w:cs="Arial"/>
        </w:rPr>
        <w:t xml:space="preserve"> However, many women remain unprotected due to large variations in TT2+ coverage by province and district. While the national TT2 coverage rate in the 2012 DHS was estimated at 62% in 2012, provincial rates ranged from 28% to 82%.</w:t>
      </w:r>
    </w:p>
    <w:p w14:paraId="4FCEAEA5" w14:textId="0018FF2C" w:rsidR="00623FB4" w:rsidRDefault="00E9485D" w:rsidP="008D27F4">
      <w:pPr>
        <w:rPr>
          <w:rFonts w:ascii="Arial" w:hAnsi="Arial" w:cs="Arial"/>
        </w:rPr>
      </w:pPr>
      <w:r>
        <w:rPr>
          <w:rFonts w:ascii="Arial" w:hAnsi="Arial" w:cs="Arial"/>
        </w:rPr>
        <w:t>The EPI has also organized MNT campaigns for women of reproductive age</w:t>
      </w:r>
      <w:r w:rsidR="00496569">
        <w:rPr>
          <w:rFonts w:ascii="Arial" w:hAnsi="Arial" w:cs="Arial"/>
        </w:rPr>
        <w:t xml:space="preserve"> in high-risk districts</w:t>
      </w:r>
      <w:r>
        <w:rPr>
          <w:rFonts w:ascii="Arial" w:hAnsi="Arial" w:cs="Arial"/>
        </w:rPr>
        <w:t>. These SIAs began in 31 out of 83 identified high-risk districts in 2012, during which a reported 1.8 million women were vaccinated with TT. The campaigns were marked by a hig</w:t>
      </w:r>
      <w:r w:rsidR="00623FB4">
        <w:rPr>
          <w:rFonts w:ascii="Arial" w:hAnsi="Arial" w:cs="Arial"/>
        </w:rPr>
        <w:t>h</w:t>
      </w:r>
      <w:r>
        <w:rPr>
          <w:rFonts w:ascii="Arial" w:hAnsi="Arial" w:cs="Arial"/>
        </w:rPr>
        <w:t xml:space="preserve"> dropout rate between doses, relatively weak social mobilization and inadequate preparation.</w:t>
      </w:r>
      <w:r w:rsidR="00AA7025">
        <w:rPr>
          <w:rStyle w:val="FootnoteReference"/>
          <w:rFonts w:ascii="Arial" w:hAnsi="Arial" w:cs="Arial"/>
        </w:rPr>
        <w:footnoteReference w:id="19"/>
      </w:r>
    </w:p>
    <w:p w14:paraId="24CC36E1" w14:textId="2B2548A7" w:rsidR="00E9485D" w:rsidRPr="00324CCD" w:rsidRDefault="00E9485D" w:rsidP="008D27F4">
      <w:pPr>
        <w:rPr>
          <w:rFonts w:ascii="Arial" w:hAnsi="Arial" w:cs="Arial"/>
        </w:rPr>
      </w:pPr>
      <w:r w:rsidRPr="00324CCD">
        <w:rPr>
          <w:rFonts w:ascii="Arial" w:hAnsi="Arial" w:cs="Arial"/>
        </w:rPr>
        <w:t>DRC developed an MNT elimination plan in 2013, setting the goal of elimination by 2015. Seventy-five high-risk districts were identified in the plan and targeted for SIAs in 2013 and 2014, during which another approximately 1.8 million women received two TT doses. The Government</w:t>
      </w:r>
      <w:r w:rsidR="00623FB4" w:rsidRPr="00324CCD">
        <w:rPr>
          <w:rFonts w:ascii="Arial" w:hAnsi="Arial" w:cs="Arial"/>
        </w:rPr>
        <w:t xml:space="preserve"> reported an overall coverage rate of 82% for the campaigns, though several provinces reported rates of &gt;100%, so the actual coverage rate is uncertain. A new analysis in 2015 identified two additional high-risk districts and targeted them for intensified immunization activities.</w:t>
      </w:r>
      <w:r w:rsidR="00324CCD" w:rsidRPr="00324CCD">
        <w:rPr>
          <w:rStyle w:val="FootnoteReference"/>
          <w:rFonts w:ascii="Arial" w:hAnsi="Arial" w:cs="Arial"/>
        </w:rPr>
        <w:footnoteReference w:id="20"/>
      </w:r>
      <w:r w:rsidR="00623FB4" w:rsidRPr="00324CCD">
        <w:rPr>
          <w:rFonts w:ascii="Arial" w:hAnsi="Arial" w:cs="Arial"/>
        </w:rPr>
        <w:t xml:space="preserve"> The analysis also found 11 districts reporting at least one case per 1,000 live births (the threshold for elimination).</w:t>
      </w:r>
    </w:p>
    <w:p w14:paraId="1DF9045E" w14:textId="65F25920" w:rsidR="00623FB4" w:rsidRPr="008D27F4" w:rsidRDefault="00623FB4" w:rsidP="008D27F4">
      <w:pPr>
        <w:rPr>
          <w:rFonts w:ascii="Arial" w:hAnsi="Arial" w:cs="Arial"/>
        </w:rPr>
      </w:pPr>
      <w:r>
        <w:rPr>
          <w:rFonts w:ascii="Arial" w:hAnsi="Arial" w:cs="Arial"/>
        </w:rPr>
        <w:lastRenderedPageBreak/>
        <w:t>Achieving</w:t>
      </w:r>
      <w:r w:rsidR="00496569">
        <w:rPr>
          <w:rFonts w:ascii="Arial" w:hAnsi="Arial" w:cs="Arial"/>
        </w:rPr>
        <w:t xml:space="preserve"> MNT elimination in the DRC will therefore require substantially improving case-based surveillance and response (e.g., ring vaccination around cases), as well as increasing TT coverage in areas where it continue to be low.</w:t>
      </w:r>
    </w:p>
    <w:p w14:paraId="04E77830" w14:textId="637B3DF2" w:rsidR="0079008F" w:rsidRPr="00496569" w:rsidRDefault="0079008F" w:rsidP="00496569">
      <w:pPr>
        <w:pStyle w:val="ListParagraph"/>
        <w:numPr>
          <w:ilvl w:val="2"/>
          <w:numId w:val="23"/>
        </w:numPr>
        <w:rPr>
          <w:rFonts w:ascii="Arial" w:hAnsi="Arial" w:cs="Arial"/>
          <w:b/>
        </w:rPr>
      </w:pPr>
      <w:r w:rsidRPr="00496569">
        <w:rPr>
          <w:rFonts w:ascii="Arial" w:hAnsi="Arial" w:cs="Arial"/>
          <w:b/>
        </w:rPr>
        <w:t xml:space="preserve">Achieve measles elimination </w:t>
      </w:r>
      <w:r w:rsidR="002258E3" w:rsidRPr="00496569">
        <w:rPr>
          <w:rFonts w:ascii="Arial" w:hAnsi="Arial" w:cs="Arial"/>
          <w:b/>
        </w:rPr>
        <w:t xml:space="preserve">and rubella &amp; CRS elimination </w:t>
      </w:r>
    </w:p>
    <w:p w14:paraId="0A045930" w14:textId="77777777" w:rsidR="00496569" w:rsidRPr="00496569" w:rsidRDefault="00496569" w:rsidP="00696E6A">
      <w:pPr>
        <w:rPr>
          <w:rFonts w:ascii="Arial" w:hAnsi="Arial" w:cs="Arial"/>
          <w:b/>
        </w:rPr>
      </w:pPr>
      <w:r w:rsidRPr="00496569">
        <w:rPr>
          <w:rFonts w:ascii="Arial" w:hAnsi="Arial" w:cs="Arial"/>
          <w:b/>
        </w:rPr>
        <w:t>Measles</w:t>
      </w:r>
    </w:p>
    <w:p w14:paraId="3EE7AD21" w14:textId="645CC247" w:rsidR="00734C9E" w:rsidRDefault="00734C9E" w:rsidP="00696E6A">
      <w:pPr>
        <w:rPr>
          <w:rFonts w:ascii="Arial" w:hAnsi="Arial" w:cs="Arial"/>
        </w:rPr>
      </w:pPr>
      <w:r>
        <w:rPr>
          <w:rFonts w:ascii="Arial" w:hAnsi="Arial" w:cs="Arial"/>
        </w:rPr>
        <w:t>DRC is not currently on track to eliminate measles by 2020. In fact, there has been a resurgence of measles since 2010, with annual outbreaks affecting more than 134,000 reported cases in 2011, more than 87,000 in 2013 and nearly 51,000 cases in 2015, including 565 deaths. The outbreaks jump around to different areas from year to year, but both the 2011 and 2015 epidemics were concentrated in Katanga province (or the DPSs that were formerly in Katanga), where 80% of cases in 2015 took place. Outbreaks have continued into 2016, but at a lower intensity, with around 5,400 reported cases from January to early July in 13 of the country’s 516 health districts (down from 44 affected districts in 2015.</w:t>
      </w:r>
      <w:r w:rsidR="00324CCD">
        <w:rPr>
          <w:rStyle w:val="FootnoteReference"/>
          <w:rFonts w:ascii="Arial" w:hAnsi="Arial" w:cs="Arial"/>
        </w:rPr>
        <w:footnoteReference w:id="21"/>
      </w:r>
    </w:p>
    <w:p w14:paraId="42F36983" w14:textId="04E71F81" w:rsidR="00734C9E" w:rsidRDefault="00734C9E" w:rsidP="00696E6A">
      <w:pPr>
        <w:rPr>
          <w:rFonts w:ascii="Arial" w:hAnsi="Arial" w:cs="Arial"/>
          <w:lang w:val="en-US"/>
        </w:rPr>
      </w:pPr>
      <w:r w:rsidRPr="00734C9E">
        <w:rPr>
          <w:rFonts w:ascii="Arial" w:hAnsi="Arial" w:cs="Arial"/>
          <w:lang w:val="en-US"/>
        </w:rPr>
        <w:t xml:space="preserve">The main reason given in documents and by WHO informants for the continual measles outbreaks is insufficient measles vaccination coverage through the routine program and through measles </w:t>
      </w:r>
      <w:r w:rsidR="001D6E48">
        <w:rPr>
          <w:rFonts w:ascii="Arial" w:hAnsi="Arial" w:cs="Arial"/>
          <w:lang w:val="en-US"/>
        </w:rPr>
        <w:t>SIAs</w:t>
      </w:r>
      <w:r w:rsidRPr="00734C9E">
        <w:rPr>
          <w:rFonts w:ascii="Arial" w:hAnsi="Arial" w:cs="Arial"/>
          <w:lang w:val="en-US"/>
        </w:rPr>
        <w:t xml:space="preserve"> that vary in quality and miss too many children. The 2015 Katanga outbreak, for instance, has been attributed to a large accumulation of children not vaccinated against measles, due to geographic inaccessibility in the worse-affected districts, insecurity caused by the presence of armed groups, an inadequate cold chain system at the local level – resulting in most health centers offering immunization only once a month (see below) – and </w:t>
      </w:r>
      <w:r>
        <w:rPr>
          <w:rFonts w:ascii="Arial" w:hAnsi="Arial" w:cs="Arial"/>
          <w:lang w:val="en-US"/>
        </w:rPr>
        <w:t>resistance</w:t>
      </w:r>
      <w:r w:rsidRPr="00734C9E">
        <w:rPr>
          <w:rFonts w:ascii="Arial" w:hAnsi="Arial" w:cs="Arial"/>
          <w:lang w:val="en-US"/>
        </w:rPr>
        <w:t xml:space="preserve"> to vaccination in </w:t>
      </w:r>
      <w:r>
        <w:rPr>
          <w:rFonts w:ascii="Arial" w:hAnsi="Arial" w:cs="Arial"/>
          <w:lang w:val="en-US"/>
        </w:rPr>
        <w:t>some communities due to religious or cultural reasons</w:t>
      </w:r>
      <w:r w:rsidR="001E10B1">
        <w:rPr>
          <w:rFonts w:ascii="Arial" w:hAnsi="Arial" w:cs="Arial"/>
          <w:lang w:val="en-US"/>
        </w:rPr>
        <w:t>.</w:t>
      </w:r>
      <w:r w:rsidR="001E10B1">
        <w:rPr>
          <w:rStyle w:val="FootnoteReference"/>
          <w:rFonts w:ascii="Arial" w:hAnsi="Arial" w:cs="Arial"/>
          <w:lang w:val="en-US"/>
        </w:rPr>
        <w:footnoteReference w:id="22"/>
      </w:r>
      <w:r w:rsidR="001E10B1">
        <w:rPr>
          <w:rFonts w:ascii="Arial" w:hAnsi="Arial" w:cs="Arial"/>
          <w:lang w:val="en-US"/>
        </w:rPr>
        <w:t xml:space="preserve"> </w:t>
      </w:r>
      <w:r>
        <w:rPr>
          <w:rFonts w:ascii="Arial" w:hAnsi="Arial" w:cs="Arial"/>
          <w:lang w:val="en-US"/>
        </w:rPr>
        <w:t xml:space="preserve"> The WUENIC estimates </w:t>
      </w:r>
      <w:r w:rsidR="001E10B1">
        <w:rPr>
          <w:rFonts w:ascii="Arial" w:hAnsi="Arial" w:cs="Arial"/>
          <w:lang w:val="en-US"/>
        </w:rPr>
        <w:t>for</w:t>
      </w:r>
      <w:r>
        <w:rPr>
          <w:rFonts w:ascii="Arial" w:hAnsi="Arial" w:cs="Arial"/>
          <w:lang w:val="en-US"/>
        </w:rPr>
        <w:t xml:space="preserve"> national measles immunization coverage ranged from 72-77% from 2011 to 2014 and reached 79% in 2015, showing gradual improvement, but still quite a bit below the 90% national GVAP target. Some provinces and districts have much lower coverage rate</w:t>
      </w:r>
      <w:r w:rsidR="001D6E48">
        <w:rPr>
          <w:rFonts w:ascii="Arial" w:hAnsi="Arial" w:cs="Arial"/>
          <w:lang w:val="en-US"/>
        </w:rPr>
        <w:t>s</w:t>
      </w:r>
      <w:r>
        <w:rPr>
          <w:rFonts w:ascii="Arial" w:hAnsi="Arial" w:cs="Arial"/>
          <w:lang w:val="en-US"/>
        </w:rPr>
        <w:t>, notably Katanga (at 53% in the 2013 DHS) and Kasi-Oriental (58%)</w:t>
      </w:r>
      <w:r w:rsidR="001E10B1">
        <w:rPr>
          <w:rFonts w:ascii="Arial" w:hAnsi="Arial" w:cs="Arial"/>
          <w:lang w:val="en-US"/>
        </w:rPr>
        <w:t>.</w:t>
      </w:r>
      <w:r w:rsidR="001E10B1">
        <w:rPr>
          <w:rStyle w:val="FootnoteReference"/>
          <w:rFonts w:ascii="Arial" w:hAnsi="Arial" w:cs="Arial"/>
          <w:lang w:val="en-US"/>
        </w:rPr>
        <w:footnoteReference w:id="23"/>
      </w:r>
      <w:r>
        <w:rPr>
          <w:rFonts w:ascii="Arial" w:hAnsi="Arial" w:cs="Arial"/>
          <w:lang w:val="en-US"/>
        </w:rPr>
        <w:t xml:space="preserve"> </w:t>
      </w:r>
    </w:p>
    <w:p w14:paraId="0D39E1EE" w14:textId="16B82C27" w:rsidR="00824634" w:rsidRPr="00734C9E" w:rsidRDefault="00824634" w:rsidP="00696E6A">
      <w:pPr>
        <w:rPr>
          <w:rFonts w:ascii="Arial" w:hAnsi="Arial" w:cs="Arial"/>
          <w:lang w:val="en-US"/>
        </w:rPr>
      </w:pPr>
      <w:r>
        <w:rPr>
          <w:rFonts w:ascii="Arial" w:hAnsi="Arial" w:cs="Arial"/>
          <w:lang w:val="en-US"/>
        </w:rPr>
        <w:t xml:space="preserve">DRC, with the support of many partners, has conducted </w:t>
      </w:r>
      <w:r w:rsidR="001E10B1">
        <w:rPr>
          <w:rFonts w:ascii="Arial" w:hAnsi="Arial" w:cs="Arial"/>
          <w:lang w:val="en-US"/>
        </w:rPr>
        <w:t>a series</w:t>
      </w:r>
      <w:r>
        <w:rPr>
          <w:rFonts w:ascii="Arial" w:hAnsi="Arial" w:cs="Arial"/>
          <w:lang w:val="en-US"/>
        </w:rPr>
        <w:t xml:space="preserve"> measles campaigns in the past five years to reduce incidence and halt outbreaks. Catch-up campaigns for children under 15 years of age were conducted in 2012 in 31 health districts in eight provinces, followed by follow-up campaigns for children under five conducted nation-wide in three phases in 2013 and 2014, often in combin</w:t>
      </w:r>
      <w:r w:rsidR="001D6E48">
        <w:rPr>
          <w:rFonts w:ascii="Arial" w:hAnsi="Arial" w:cs="Arial"/>
          <w:lang w:val="en-US"/>
        </w:rPr>
        <w:t>ation with</w:t>
      </w:r>
      <w:r>
        <w:rPr>
          <w:rFonts w:ascii="Arial" w:hAnsi="Arial" w:cs="Arial"/>
          <w:lang w:val="en-US"/>
        </w:rPr>
        <w:t xml:space="preserve"> polio</w:t>
      </w:r>
      <w:r w:rsidR="001D6E48">
        <w:rPr>
          <w:rFonts w:ascii="Arial" w:hAnsi="Arial" w:cs="Arial"/>
          <w:lang w:val="en-US"/>
        </w:rPr>
        <w:t xml:space="preserve"> </w:t>
      </w:r>
      <w:r>
        <w:rPr>
          <w:rFonts w:ascii="Arial" w:hAnsi="Arial" w:cs="Arial"/>
          <w:lang w:val="en-US"/>
        </w:rPr>
        <w:t>campaigns. A series of catch-up campaigns took place in 2015 in 40 outbreak districts, targeting varying age groups (&lt;5s, &lt;10 or &lt;14 or 15), depending on the area and supporting par</w:t>
      </w:r>
      <w:r w:rsidR="001E10B1">
        <w:rPr>
          <w:rFonts w:ascii="Arial" w:hAnsi="Arial" w:cs="Arial"/>
          <w:lang w:val="en-US"/>
        </w:rPr>
        <w:t>tner organization. Some of the</w:t>
      </w:r>
      <w:r>
        <w:rPr>
          <w:rFonts w:ascii="Arial" w:hAnsi="Arial" w:cs="Arial"/>
          <w:lang w:val="en-US"/>
        </w:rPr>
        <w:t xml:space="preserve"> 2015 SIAs took place quite late after cases were identified due to problems mobilizing funds for operational costs, they lacked coordination among various partners</w:t>
      </w:r>
      <w:r w:rsidR="001D6E48">
        <w:rPr>
          <w:rFonts w:ascii="Arial" w:hAnsi="Arial" w:cs="Arial"/>
          <w:lang w:val="en-US"/>
        </w:rPr>
        <w:t>,</w:t>
      </w:r>
      <w:r>
        <w:rPr>
          <w:rFonts w:ascii="Arial" w:hAnsi="Arial" w:cs="Arial"/>
          <w:lang w:val="en-US"/>
        </w:rPr>
        <w:t xml:space="preserve"> and independent coverage surveys often didn’t take place.</w:t>
      </w:r>
      <w:r w:rsidR="001E10B1">
        <w:rPr>
          <w:rStyle w:val="FootnoteReference"/>
          <w:rFonts w:ascii="Arial" w:hAnsi="Arial" w:cs="Arial"/>
          <w:lang w:val="en-US"/>
        </w:rPr>
        <w:footnoteReference w:id="24"/>
      </w:r>
      <w:r>
        <w:rPr>
          <w:rFonts w:ascii="Arial" w:hAnsi="Arial" w:cs="Arial"/>
          <w:lang w:val="en-US"/>
        </w:rPr>
        <w:t xml:space="preserve"> The 2015 campaigns have been described as “too little, too late”. One indication of the suboptimal quality and coverage of the SIAs in </w:t>
      </w:r>
      <w:r>
        <w:rPr>
          <w:rFonts w:ascii="Arial" w:hAnsi="Arial" w:cs="Arial"/>
          <w:lang w:val="en-US"/>
        </w:rPr>
        <w:lastRenderedPageBreak/>
        <w:t xml:space="preserve">some areas is the fact that confirmed </w:t>
      </w:r>
      <w:r w:rsidR="001E10B1">
        <w:rPr>
          <w:rFonts w:ascii="Arial" w:hAnsi="Arial" w:cs="Arial"/>
          <w:lang w:val="en-US"/>
        </w:rPr>
        <w:t xml:space="preserve">measles </w:t>
      </w:r>
      <w:r>
        <w:rPr>
          <w:rFonts w:ascii="Arial" w:hAnsi="Arial" w:cs="Arial"/>
          <w:lang w:val="en-US"/>
        </w:rPr>
        <w:t xml:space="preserve">outbreaks in several districts took place within a month or more of SIAs </w:t>
      </w:r>
      <w:r w:rsidR="001D6E48">
        <w:rPr>
          <w:rFonts w:ascii="Arial" w:hAnsi="Arial" w:cs="Arial"/>
          <w:lang w:val="en-US"/>
        </w:rPr>
        <w:t xml:space="preserve">having been </w:t>
      </w:r>
      <w:r>
        <w:rPr>
          <w:rFonts w:ascii="Arial" w:hAnsi="Arial" w:cs="Arial"/>
          <w:lang w:val="en-US"/>
        </w:rPr>
        <w:t>conducted in these same districts.</w:t>
      </w:r>
      <w:r w:rsidR="001E10B1">
        <w:rPr>
          <w:rStyle w:val="FootnoteReference"/>
          <w:rFonts w:ascii="Arial" w:hAnsi="Arial" w:cs="Arial"/>
          <w:lang w:val="en-US"/>
        </w:rPr>
        <w:footnoteReference w:id="25"/>
      </w:r>
      <w:r>
        <w:rPr>
          <w:rFonts w:ascii="Arial" w:hAnsi="Arial" w:cs="Arial"/>
          <w:lang w:val="en-US"/>
        </w:rPr>
        <w:t xml:space="preserve"> Nonetheless, administrative data consistently show coverage rates of more than 100% for nearly all measles campaigns since 2012</w:t>
      </w:r>
      <w:r w:rsidR="001E10B1">
        <w:rPr>
          <w:rFonts w:ascii="Arial" w:hAnsi="Arial" w:cs="Arial"/>
          <w:lang w:val="en-US"/>
        </w:rPr>
        <w:t>.</w:t>
      </w:r>
      <w:r>
        <w:rPr>
          <w:rFonts w:ascii="Arial" w:hAnsi="Arial" w:cs="Arial"/>
          <w:lang w:val="en-US"/>
        </w:rPr>
        <w:t xml:space="preserve"> </w:t>
      </w:r>
    </w:p>
    <w:p w14:paraId="58E99744" w14:textId="2C0478B7" w:rsidR="00734C9E" w:rsidRDefault="00824634" w:rsidP="00696E6A">
      <w:pPr>
        <w:rPr>
          <w:rFonts w:ascii="Arial" w:hAnsi="Arial" w:cs="Arial"/>
        </w:rPr>
      </w:pPr>
      <w:r>
        <w:rPr>
          <w:rFonts w:ascii="Arial" w:hAnsi="Arial" w:cs="Arial"/>
        </w:rPr>
        <w:t xml:space="preserve">While it has improved in recent years, measles surveillance – including case-based surveillance linked to the AFP/polio surveillance system – is </w:t>
      </w:r>
      <w:r w:rsidR="006A4CB9">
        <w:rPr>
          <w:rFonts w:ascii="Arial" w:hAnsi="Arial" w:cs="Arial"/>
        </w:rPr>
        <w:t>considered inadequate and another key factor for DRC’s difficulty in reducing measles incidence. The country as a whole meets the target non-measles febrile infection rate of ≥2/100,000 children, with a national rate of 2.16/100,000 in 2015.</w:t>
      </w:r>
      <w:r w:rsidR="001E10B1">
        <w:rPr>
          <w:rStyle w:val="FootnoteReference"/>
          <w:rFonts w:ascii="Arial" w:hAnsi="Arial" w:cs="Arial"/>
        </w:rPr>
        <w:footnoteReference w:id="26"/>
      </w:r>
      <w:r w:rsidR="006A4CB9">
        <w:rPr>
          <w:rFonts w:ascii="Arial" w:hAnsi="Arial" w:cs="Arial"/>
        </w:rPr>
        <w:t xml:space="preserve"> However, more than half of the provinces (six out of 11) had rates below this threshold and three had rates of &lt;1/100,000. In addition, the percent of districts reporting at least one measles case</w:t>
      </w:r>
      <w:r w:rsidR="001E10B1">
        <w:rPr>
          <w:rFonts w:ascii="Arial" w:hAnsi="Arial" w:cs="Arial"/>
        </w:rPr>
        <w:t xml:space="preserve"> with a specimen obtained</w:t>
      </w:r>
      <w:r w:rsidR="006A4CB9" w:rsidRPr="006A4CB9">
        <w:rPr>
          <w:rFonts w:ascii="Arial" w:hAnsi="Arial" w:cs="Arial"/>
          <w:color w:val="FF0000"/>
        </w:rPr>
        <w:t xml:space="preserve"> </w:t>
      </w:r>
      <w:r w:rsidR="006A4CB9">
        <w:rPr>
          <w:rFonts w:ascii="Arial" w:hAnsi="Arial" w:cs="Arial"/>
        </w:rPr>
        <w:t>was 61% in 2015 (compared to the target of 80%) and only three provinces met th</w:t>
      </w:r>
      <w:r w:rsidR="001E10B1">
        <w:rPr>
          <w:rFonts w:ascii="Arial" w:hAnsi="Arial" w:cs="Arial"/>
        </w:rPr>
        <w:t>is</w:t>
      </w:r>
      <w:r w:rsidR="006A4CB9">
        <w:rPr>
          <w:rFonts w:ascii="Arial" w:hAnsi="Arial" w:cs="Arial"/>
        </w:rPr>
        <w:t xml:space="preserve"> target.</w:t>
      </w:r>
    </w:p>
    <w:p w14:paraId="5DFFFAE7" w14:textId="77777777" w:rsidR="006A4CB9" w:rsidRPr="006A4CB9" w:rsidRDefault="006A4CB9" w:rsidP="00696E6A">
      <w:pPr>
        <w:rPr>
          <w:rFonts w:ascii="Arial" w:hAnsi="Arial" w:cs="Arial"/>
          <w:b/>
        </w:rPr>
      </w:pPr>
      <w:r w:rsidRPr="006A4CB9">
        <w:rPr>
          <w:rFonts w:ascii="Arial" w:hAnsi="Arial" w:cs="Arial"/>
          <w:b/>
        </w:rPr>
        <w:t>Rubella</w:t>
      </w:r>
    </w:p>
    <w:p w14:paraId="58403665" w14:textId="57BCFB83" w:rsidR="006A4CB9" w:rsidRDefault="006A4CB9" w:rsidP="00696E6A">
      <w:pPr>
        <w:rPr>
          <w:rFonts w:ascii="Arial" w:hAnsi="Arial" w:cs="Arial"/>
        </w:rPr>
      </w:pPr>
      <w:r>
        <w:rPr>
          <w:rFonts w:ascii="Arial" w:hAnsi="Arial" w:cs="Arial"/>
        </w:rPr>
        <w:t>Rubella has also not been eliminated in DRC and rubella vaccine is not yet used in the public sector. Sentinel site surveillance for rubella – in the same three sites where rotavirus and bacterial meningitis surveillance is taking place – has just begun. However, for several years, blood samples of suspected measles cases that test negative for measles are tested for rubella and the number of positive rubella cases found each year through this testing has more than doubled in five years – from 320 in 2011</w:t>
      </w:r>
      <w:r w:rsidR="00112FEE">
        <w:rPr>
          <w:rFonts w:ascii="Arial" w:hAnsi="Arial" w:cs="Arial"/>
        </w:rPr>
        <w:t xml:space="preserve"> to more than 760 in both 2013 and 2014. Few cases of CRS have been detected, however. The sentinel site surveillance should provide better estimates of rubella and CRS incidence.</w:t>
      </w:r>
    </w:p>
    <w:p w14:paraId="20435272" w14:textId="07783066" w:rsidR="00112FEE" w:rsidRDefault="00112FEE" w:rsidP="00696E6A">
      <w:pPr>
        <w:rPr>
          <w:rFonts w:ascii="Arial" w:hAnsi="Arial" w:cs="Arial"/>
        </w:rPr>
      </w:pPr>
      <w:r>
        <w:rPr>
          <w:rFonts w:ascii="Arial" w:hAnsi="Arial" w:cs="Arial"/>
        </w:rPr>
        <w:t xml:space="preserve">The 2015-2019 </w:t>
      </w:r>
      <w:proofErr w:type="spellStart"/>
      <w:r>
        <w:rPr>
          <w:rFonts w:ascii="Arial" w:hAnsi="Arial" w:cs="Arial"/>
        </w:rPr>
        <w:t>cMYP</w:t>
      </w:r>
      <w:proofErr w:type="spellEnd"/>
      <w:r>
        <w:rPr>
          <w:rFonts w:ascii="Arial" w:hAnsi="Arial" w:cs="Arial"/>
        </w:rPr>
        <w:t xml:space="preserve"> calls for the immunization program to conduct measles-rubella vaccination campaigns in 2017, followed by the introduction of two MR doses in the routine schedule in 2018. Activities have yet to take place (as of mid-July 2016) to apply for GAVI funding for the SIAs.</w:t>
      </w:r>
    </w:p>
    <w:p w14:paraId="11B1C91C" w14:textId="404A216A" w:rsidR="008D27F4" w:rsidRPr="00373BA5" w:rsidRDefault="008D27F4" w:rsidP="008D27F4">
      <w:pPr>
        <w:rPr>
          <w:rFonts w:ascii="Arial" w:hAnsi="Arial" w:cs="Arial"/>
          <w:b/>
        </w:rPr>
      </w:pPr>
      <w:proofErr w:type="gramStart"/>
      <w:r>
        <w:rPr>
          <w:rFonts w:ascii="Arial" w:hAnsi="Arial" w:cs="Arial"/>
          <w:b/>
        </w:rPr>
        <w:t>3</w:t>
      </w:r>
      <w:r w:rsidR="001D6E48">
        <w:rPr>
          <w:rFonts w:ascii="Arial" w:hAnsi="Arial" w:cs="Arial"/>
          <w:b/>
        </w:rPr>
        <w:t xml:space="preserve">.3 </w:t>
      </w:r>
      <w:r>
        <w:rPr>
          <w:rFonts w:ascii="Arial" w:hAnsi="Arial" w:cs="Arial"/>
          <w:b/>
        </w:rPr>
        <w:t xml:space="preserve"> </w:t>
      </w:r>
      <w:r w:rsidR="00112FEE">
        <w:rPr>
          <w:rFonts w:ascii="Arial" w:hAnsi="Arial" w:cs="Arial"/>
          <w:b/>
        </w:rPr>
        <w:t>Goal</w:t>
      </w:r>
      <w:proofErr w:type="gramEnd"/>
      <w:r w:rsidR="00112FEE">
        <w:rPr>
          <w:rFonts w:ascii="Arial" w:hAnsi="Arial" w:cs="Arial"/>
          <w:b/>
        </w:rPr>
        <w:t xml:space="preserve"> 3: </w:t>
      </w:r>
      <w:r>
        <w:rPr>
          <w:rFonts w:ascii="Arial" w:hAnsi="Arial" w:cs="Arial"/>
          <w:b/>
        </w:rPr>
        <w:t>M</w:t>
      </w:r>
      <w:r w:rsidRPr="00373BA5">
        <w:rPr>
          <w:rFonts w:ascii="Arial" w:hAnsi="Arial" w:cs="Arial"/>
          <w:b/>
        </w:rPr>
        <w:t>eet vaccination coverage targets</w:t>
      </w:r>
    </w:p>
    <w:p w14:paraId="6C7CFFB3" w14:textId="4DD583A6" w:rsidR="008D27F4" w:rsidRDefault="00112FEE" w:rsidP="008D27F4">
      <w:pPr>
        <w:pStyle w:val="ListParagraph"/>
        <w:numPr>
          <w:ilvl w:val="1"/>
          <w:numId w:val="1"/>
        </w:numPr>
        <w:ind w:left="360"/>
        <w:contextualSpacing w:val="0"/>
        <w:rPr>
          <w:rFonts w:ascii="Arial" w:hAnsi="Arial" w:cs="Arial"/>
          <w:b/>
        </w:rPr>
      </w:pPr>
      <w:r>
        <w:rPr>
          <w:rFonts w:ascii="Arial" w:hAnsi="Arial" w:cs="Arial"/>
          <w:b/>
        </w:rPr>
        <w:t>Achieve 90% n</w:t>
      </w:r>
      <w:r w:rsidR="008D27F4" w:rsidRPr="00825812">
        <w:rPr>
          <w:rFonts w:ascii="Arial" w:hAnsi="Arial" w:cs="Arial"/>
          <w:b/>
        </w:rPr>
        <w:t xml:space="preserve">ational coverage and 80% in every district with </w:t>
      </w:r>
      <w:r>
        <w:rPr>
          <w:rFonts w:ascii="Arial" w:hAnsi="Arial" w:cs="Arial"/>
          <w:b/>
        </w:rPr>
        <w:t>three</w:t>
      </w:r>
      <w:r w:rsidR="008D27F4" w:rsidRPr="00825812">
        <w:rPr>
          <w:rFonts w:ascii="Arial" w:hAnsi="Arial" w:cs="Arial"/>
          <w:b/>
        </w:rPr>
        <w:t xml:space="preserve"> doses of </w:t>
      </w:r>
      <w:r w:rsidRPr="00825812">
        <w:rPr>
          <w:rFonts w:ascii="Arial" w:hAnsi="Arial" w:cs="Arial"/>
          <w:b/>
        </w:rPr>
        <w:t>diphtheria</w:t>
      </w:r>
      <w:r w:rsidR="008D27F4" w:rsidRPr="00825812">
        <w:rPr>
          <w:rFonts w:ascii="Arial" w:hAnsi="Arial" w:cs="Arial"/>
          <w:b/>
        </w:rPr>
        <w:t>-tetanus-pertussis containing vaccines</w:t>
      </w:r>
    </w:p>
    <w:p w14:paraId="126A6FA4" w14:textId="52738CA5" w:rsidR="008D27F4" w:rsidRPr="00825812" w:rsidRDefault="00112FEE" w:rsidP="008D27F4">
      <w:pPr>
        <w:pStyle w:val="ListParagraph"/>
        <w:numPr>
          <w:ilvl w:val="1"/>
          <w:numId w:val="1"/>
        </w:numPr>
        <w:ind w:left="360"/>
        <w:contextualSpacing w:val="0"/>
        <w:rPr>
          <w:rFonts w:ascii="Arial" w:hAnsi="Arial" w:cs="Arial"/>
          <w:b/>
        </w:rPr>
      </w:pPr>
      <w:r>
        <w:rPr>
          <w:rFonts w:ascii="Arial" w:hAnsi="Arial" w:cs="Arial"/>
          <w:b/>
        </w:rPr>
        <w:t>Achieve 90% n</w:t>
      </w:r>
      <w:r w:rsidR="008D27F4" w:rsidRPr="00825812">
        <w:rPr>
          <w:rFonts w:ascii="Arial" w:hAnsi="Arial" w:cs="Arial"/>
          <w:b/>
        </w:rPr>
        <w:t>ational coverage and 80% in every district with all vaccines included in the national schedule</w:t>
      </w:r>
    </w:p>
    <w:p w14:paraId="6C2F8F64" w14:textId="13FA9E62" w:rsidR="003C49D6" w:rsidRDefault="00D53F27" w:rsidP="008D27F4">
      <w:pPr>
        <w:rPr>
          <w:rFonts w:ascii="Arial" w:hAnsi="Arial" w:cs="Arial"/>
        </w:rPr>
      </w:pPr>
      <w:r>
        <w:rPr>
          <w:rFonts w:ascii="Arial" w:hAnsi="Arial" w:cs="Arial"/>
        </w:rPr>
        <w:t>While DRC has not yet reached the goal of 90% national coverage for three doses of DPT-containing vaccine (pentavalent), according to the WHO-UNICEF estimates, it achieved an overall coverage of 81% in 2015 – up from 74-75% from 2011 to 2013. The WUENIC dropout rate from the first to the third dose of pentavalent vaccine was reportedly 1%. However, the 2013 DHS found a pentavalent coverage rate of only 61% national in 2012 (while the WUENIC rate was 75% for that same year) and a dropout rate of 25%.</w:t>
      </w:r>
      <w:r w:rsidR="00A83A9B">
        <w:rPr>
          <w:rStyle w:val="FootnoteReference"/>
          <w:rFonts w:ascii="Arial" w:hAnsi="Arial" w:cs="Arial"/>
        </w:rPr>
        <w:footnoteReference w:id="27"/>
      </w:r>
      <w:r>
        <w:rPr>
          <w:rFonts w:ascii="Arial" w:hAnsi="Arial" w:cs="Arial"/>
        </w:rPr>
        <w:t xml:space="preserve"> Administrative data show a marked improvement in district-specific coverage rates in the past five years (see map in the Annex). </w:t>
      </w:r>
      <w:r w:rsidR="00DB6570">
        <w:rPr>
          <w:rFonts w:ascii="Arial" w:hAnsi="Arial" w:cs="Arial"/>
        </w:rPr>
        <w:t xml:space="preserve">However, there are no WUENIC estimates for district </w:t>
      </w:r>
      <w:r w:rsidR="00DB6570">
        <w:rPr>
          <w:rFonts w:ascii="Arial" w:hAnsi="Arial" w:cs="Arial"/>
        </w:rPr>
        <w:lastRenderedPageBreak/>
        <w:t xml:space="preserve">coverage and given the fact that there is a 13-point difference between administrative and WHO-UNICEF DPT3 coverage estimates for 2015 (94% vs. 81%), the actual degree to which the country has met the goal of 80% coverage in each district is unknown. </w:t>
      </w:r>
    </w:p>
    <w:p w14:paraId="2F333BB4" w14:textId="1EC1A330" w:rsidR="00DB6570" w:rsidRDefault="00DB6570" w:rsidP="008D27F4">
      <w:pPr>
        <w:rPr>
          <w:rFonts w:ascii="Arial" w:hAnsi="Arial" w:cs="Arial"/>
        </w:rPr>
      </w:pPr>
      <w:r>
        <w:rPr>
          <w:rFonts w:ascii="Arial" w:hAnsi="Arial" w:cs="Arial"/>
        </w:rPr>
        <w:t xml:space="preserve">Concerning other vaccines in the immunization schedule, the WUENIC national estimates for 2015 were in the upper 70s for measles and three doses of polio vaccine, the mid-70s for PCV3 and BCG, and 65% for yellow fever vaccine. The increase in WUENIC coverage rates for these vaccines in the past five years was less than for pentavalent vaccine; for example, polio coverage was 77% in 2011 and 78% in 2015. </w:t>
      </w:r>
      <w:proofErr w:type="gramStart"/>
      <w:r>
        <w:rPr>
          <w:rFonts w:ascii="Arial" w:hAnsi="Arial" w:cs="Arial"/>
        </w:rPr>
        <w:t xml:space="preserve">The fact that administrative coverage data show national coverage rates of 90% or greater for most vaccines, except measles and PCV3 (at 89% and 86%) highlights issues with </w:t>
      </w:r>
      <w:r w:rsidR="00A83A9B">
        <w:rPr>
          <w:rFonts w:ascii="Arial" w:hAnsi="Arial" w:cs="Arial"/>
        </w:rPr>
        <w:t xml:space="preserve">the quality of </w:t>
      </w:r>
      <w:r>
        <w:rPr>
          <w:rFonts w:ascii="Arial" w:hAnsi="Arial" w:cs="Arial"/>
        </w:rPr>
        <w:t>immunization data in DRC.</w:t>
      </w:r>
      <w:proofErr w:type="gramEnd"/>
    </w:p>
    <w:p w14:paraId="1E8748B1" w14:textId="4BBAC689" w:rsidR="008D27F4" w:rsidRDefault="00DB6570" w:rsidP="00DB6570">
      <w:pPr>
        <w:rPr>
          <w:rFonts w:ascii="Arial" w:hAnsi="Arial" w:cs="Arial"/>
        </w:rPr>
      </w:pPr>
      <w:r>
        <w:rPr>
          <w:rFonts w:ascii="Arial" w:hAnsi="Arial" w:cs="Arial"/>
        </w:rPr>
        <w:t xml:space="preserve">There are large income and geographic inequities in immunization coverage. The difference in coverage of three pentavalent doses between the lowest and highest income quintile in the 2013 DHS was 35 percentage points (48% vs. 83%), while the </w:t>
      </w:r>
      <w:r w:rsidR="001D6E48">
        <w:rPr>
          <w:rFonts w:ascii="Arial" w:hAnsi="Arial" w:cs="Arial"/>
        </w:rPr>
        <w:t xml:space="preserve">coverage </w:t>
      </w:r>
      <w:r>
        <w:rPr>
          <w:rFonts w:ascii="Arial" w:hAnsi="Arial" w:cs="Arial"/>
        </w:rPr>
        <w:t>rate for all vaccines jumped from 36% in the lowest quint</w:t>
      </w:r>
      <w:r w:rsidR="00A83A9B">
        <w:rPr>
          <w:rFonts w:ascii="Arial" w:hAnsi="Arial" w:cs="Arial"/>
        </w:rPr>
        <w:t>ile to 65% in the highest (see f</w:t>
      </w:r>
      <w:r>
        <w:rPr>
          <w:rFonts w:ascii="Arial" w:hAnsi="Arial" w:cs="Arial"/>
        </w:rPr>
        <w:t xml:space="preserve">igure in </w:t>
      </w:r>
      <w:r w:rsidR="00A83A9B">
        <w:rPr>
          <w:rFonts w:ascii="Arial" w:hAnsi="Arial" w:cs="Arial"/>
        </w:rPr>
        <w:t xml:space="preserve">the </w:t>
      </w:r>
      <w:r>
        <w:rPr>
          <w:rFonts w:ascii="Arial" w:hAnsi="Arial" w:cs="Arial"/>
        </w:rPr>
        <w:t xml:space="preserve">Annex). Those in the middle quintile had rates much closer to the lowest </w:t>
      </w:r>
      <w:r w:rsidR="00A83A9B">
        <w:rPr>
          <w:rFonts w:ascii="Arial" w:hAnsi="Arial" w:cs="Arial"/>
        </w:rPr>
        <w:t>than</w:t>
      </w:r>
      <w:r>
        <w:rPr>
          <w:rFonts w:ascii="Arial" w:hAnsi="Arial" w:cs="Arial"/>
        </w:rPr>
        <w:t xml:space="preserve"> the highest quintile – indicating great inequality by income. The largest </w:t>
      </w:r>
      <w:proofErr w:type="gramStart"/>
      <w:r>
        <w:rPr>
          <w:rFonts w:ascii="Arial" w:hAnsi="Arial" w:cs="Arial"/>
        </w:rPr>
        <w:t>number of non- or under-immunization children are</w:t>
      </w:r>
      <w:proofErr w:type="gramEnd"/>
      <w:r>
        <w:rPr>
          <w:rFonts w:ascii="Arial" w:hAnsi="Arial" w:cs="Arial"/>
        </w:rPr>
        <w:t xml:space="preserve"> in the country’s nine poorest DPSs.</w:t>
      </w:r>
      <w:r w:rsidR="00A83A9B">
        <w:rPr>
          <w:rStyle w:val="FootnoteReference"/>
          <w:rFonts w:ascii="Arial" w:hAnsi="Arial" w:cs="Arial"/>
        </w:rPr>
        <w:footnoteReference w:id="28"/>
      </w:r>
    </w:p>
    <w:p w14:paraId="6DDCB23F" w14:textId="0C6AD85A" w:rsidR="00DB6570" w:rsidRDefault="00DB6570" w:rsidP="00DB6570">
      <w:pPr>
        <w:rPr>
          <w:rFonts w:ascii="Arial" w:hAnsi="Arial" w:cs="Arial"/>
        </w:rPr>
      </w:pPr>
      <w:r>
        <w:rPr>
          <w:rFonts w:ascii="Arial" w:hAnsi="Arial" w:cs="Arial"/>
        </w:rPr>
        <w:t xml:space="preserve">The performance of DRC’s </w:t>
      </w:r>
      <w:r w:rsidR="001D6E48">
        <w:rPr>
          <w:rFonts w:ascii="Arial" w:hAnsi="Arial" w:cs="Arial"/>
        </w:rPr>
        <w:t xml:space="preserve">routine </w:t>
      </w:r>
      <w:r>
        <w:rPr>
          <w:rFonts w:ascii="Arial" w:hAnsi="Arial" w:cs="Arial"/>
        </w:rPr>
        <w:t>immunization program is affected by serious health system challenges. These include:</w:t>
      </w:r>
    </w:p>
    <w:p w14:paraId="15D26B4D" w14:textId="230DB433" w:rsidR="00EE46A2" w:rsidRPr="00A83A9B" w:rsidRDefault="00EE46A2" w:rsidP="00EB5A7D">
      <w:pPr>
        <w:pStyle w:val="ListParagraph"/>
        <w:numPr>
          <w:ilvl w:val="0"/>
          <w:numId w:val="24"/>
        </w:numPr>
        <w:contextualSpacing w:val="0"/>
        <w:rPr>
          <w:rFonts w:ascii="Arial" w:hAnsi="Arial" w:cs="Arial"/>
          <w:b/>
        </w:rPr>
      </w:pPr>
      <w:r w:rsidRPr="00EE46A2">
        <w:rPr>
          <w:rFonts w:ascii="Arial" w:hAnsi="Arial" w:cs="Arial"/>
          <w:b/>
        </w:rPr>
        <w:t xml:space="preserve">A lack of investment in human resources for health and consequent high </w:t>
      </w:r>
      <w:r w:rsidRPr="00A83A9B">
        <w:rPr>
          <w:rFonts w:ascii="Arial" w:hAnsi="Arial" w:cs="Arial"/>
          <w:b/>
        </w:rPr>
        <w:t xml:space="preserve">attrition rates and low motivation among health workers. </w:t>
      </w:r>
      <w:r w:rsidRPr="00A83A9B">
        <w:rPr>
          <w:rFonts w:ascii="Arial" w:hAnsi="Arial" w:cs="Arial"/>
          <w:lang w:val="en-US"/>
        </w:rPr>
        <w:t xml:space="preserve">As mentioned above, most health workers receive no government salary and many </w:t>
      </w:r>
      <w:r w:rsidR="00A83A9B" w:rsidRPr="00A83A9B">
        <w:rPr>
          <w:rFonts w:ascii="Arial" w:hAnsi="Arial" w:cs="Arial"/>
          <w:lang w:val="en-US"/>
        </w:rPr>
        <w:t xml:space="preserve">do </w:t>
      </w:r>
      <w:r w:rsidRPr="00A83A9B">
        <w:rPr>
          <w:rFonts w:ascii="Arial" w:hAnsi="Arial" w:cs="Arial"/>
          <w:lang w:val="en-US"/>
        </w:rPr>
        <w:t>not even</w:t>
      </w:r>
      <w:r w:rsidR="00A83A9B" w:rsidRPr="00A83A9B">
        <w:rPr>
          <w:rFonts w:ascii="Arial" w:hAnsi="Arial" w:cs="Arial"/>
          <w:lang w:val="en-US"/>
        </w:rPr>
        <w:t xml:space="preserve"> receive</w:t>
      </w:r>
      <w:r w:rsidRPr="00A83A9B">
        <w:rPr>
          <w:rFonts w:ascii="Arial" w:hAnsi="Arial" w:cs="Arial"/>
          <w:lang w:val="en-US"/>
        </w:rPr>
        <w:t xml:space="preserve"> the inadequate risk bonus. Consequently, they rely on a share of revenues generated by user fees for curative care services. This creates a disincentive for health workers to provide non-remunerative services, such immunization, especially outreach activities and other extra efforts to improve vaccination coverage that require time away from the health center. </w:t>
      </w:r>
      <w:r w:rsidR="00A83A9B" w:rsidRPr="00A83A9B">
        <w:rPr>
          <w:rFonts w:ascii="Arial" w:hAnsi="Arial" w:cs="Arial"/>
          <w:lang w:val="en-US"/>
        </w:rPr>
        <w:t>M</w:t>
      </w:r>
      <w:r w:rsidRPr="00A83A9B">
        <w:rPr>
          <w:rFonts w:ascii="Arial" w:hAnsi="Arial" w:cs="Arial"/>
          <w:lang w:val="en-US"/>
        </w:rPr>
        <w:t>any health facilities in the poorest provinces, where user free generation is low, reportedly charge patients for vaccinations, further suppressing coverage.</w:t>
      </w:r>
      <w:r w:rsidR="00A83A9B" w:rsidRPr="00A83A9B">
        <w:rPr>
          <w:rStyle w:val="FootnoteReference"/>
          <w:rFonts w:ascii="Arial" w:hAnsi="Arial" w:cs="Arial"/>
          <w:lang w:val="en-US"/>
        </w:rPr>
        <w:footnoteReference w:id="29"/>
      </w:r>
    </w:p>
    <w:p w14:paraId="7F18703E" w14:textId="228FCDD4" w:rsidR="00EE46A2" w:rsidRDefault="00EE46A2" w:rsidP="00EB5A7D">
      <w:pPr>
        <w:pStyle w:val="ListParagraph"/>
        <w:numPr>
          <w:ilvl w:val="0"/>
          <w:numId w:val="24"/>
        </w:numPr>
        <w:contextualSpacing w:val="0"/>
        <w:rPr>
          <w:rFonts w:ascii="Arial" w:hAnsi="Arial" w:cs="Arial"/>
        </w:rPr>
      </w:pPr>
      <w:r w:rsidRPr="00AD379D">
        <w:rPr>
          <w:rFonts w:ascii="Arial" w:hAnsi="Arial" w:cs="Arial"/>
          <w:b/>
        </w:rPr>
        <w:t>Insufficient availability of immunization services</w:t>
      </w:r>
      <w:r>
        <w:rPr>
          <w:rFonts w:ascii="Arial" w:hAnsi="Arial" w:cs="Arial"/>
        </w:rPr>
        <w:t>. According to a Service Availability and Readiness Assessment (SARA) conducted in 201</w:t>
      </w:r>
      <w:r w:rsidR="00AD379D">
        <w:rPr>
          <w:rFonts w:ascii="Arial" w:hAnsi="Arial" w:cs="Arial"/>
        </w:rPr>
        <w:t>4</w:t>
      </w:r>
      <w:r>
        <w:rPr>
          <w:rFonts w:ascii="Arial" w:hAnsi="Arial" w:cs="Arial"/>
        </w:rPr>
        <w:t xml:space="preserve">, the number of health facilities in DRC – both public and private – is sufficient, with </w:t>
      </w:r>
      <w:r w:rsidR="00AD379D">
        <w:rPr>
          <w:rFonts w:ascii="Arial" w:hAnsi="Arial" w:cs="Arial"/>
        </w:rPr>
        <w:t xml:space="preserve">more than 600 hospitals, 10,000 health </w:t>
      </w:r>
      <w:proofErr w:type="spellStart"/>
      <w:r w:rsidR="00AD379D">
        <w:rPr>
          <w:rFonts w:ascii="Arial" w:hAnsi="Arial" w:cs="Arial"/>
        </w:rPr>
        <w:t>centers</w:t>
      </w:r>
      <w:proofErr w:type="spellEnd"/>
      <w:r w:rsidR="00AD379D">
        <w:rPr>
          <w:rFonts w:ascii="Arial" w:hAnsi="Arial" w:cs="Arial"/>
        </w:rPr>
        <w:t xml:space="preserve"> (of different levels) and more than 5,500 health posts.</w:t>
      </w:r>
      <w:r w:rsidR="00A83A9B">
        <w:rPr>
          <w:rStyle w:val="FootnoteReference"/>
          <w:rFonts w:ascii="Arial" w:hAnsi="Arial" w:cs="Arial"/>
        </w:rPr>
        <w:footnoteReference w:id="30"/>
      </w:r>
      <w:r w:rsidR="00AD379D">
        <w:rPr>
          <w:rFonts w:ascii="Arial" w:hAnsi="Arial" w:cs="Arial"/>
        </w:rPr>
        <w:t xml:space="preserve"> This yields a ratio of 2.2 health facilities per 10,000 people, meeting the WHO recommended benchmark of 2/10,000. Seventy-five percent of the facilities in the </w:t>
      </w:r>
      <w:r w:rsidR="00A83A9B">
        <w:rPr>
          <w:rFonts w:ascii="Arial" w:hAnsi="Arial" w:cs="Arial"/>
        </w:rPr>
        <w:t>assessment</w:t>
      </w:r>
      <w:r w:rsidR="00AD379D">
        <w:rPr>
          <w:rFonts w:ascii="Arial" w:hAnsi="Arial" w:cs="Arial"/>
        </w:rPr>
        <w:t xml:space="preserve"> were found to provide immunization services. However, most (59%) held immunization sessions only once a month, 37% held them once a week, and only 2% had </w:t>
      </w:r>
      <w:r w:rsidR="004E24A2">
        <w:rPr>
          <w:rFonts w:ascii="Arial" w:hAnsi="Arial" w:cs="Arial"/>
        </w:rPr>
        <w:t>immunization services</w:t>
      </w:r>
      <w:r w:rsidR="00AD379D">
        <w:rPr>
          <w:rFonts w:ascii="Arial" w:hAnsi="Arial" w:cs="Arial"/>
        </w:rPr>
        <w:t xml:space="preserve"> available </w:t>
      </w:r>
      <w:r w:rsidR="004E24A2">
        <w:rPr>
          <w:rFonts w:ascii="Arial" w:hAnsi="Arial" w:cs="Arial"/>
        </w:rPr>
        <w:t xml:space="preserve">on a </w:t>
      </w:r>
      <w:r w:rsidR="00AD379D">
        <w:rPr>
          <w:rFonts w:ascii="Arial" w:hAnsi="Arial" w:cs="Arial"/>
        </w:rPr>
        <w:t>daily</w:t>
      </w:r>
      <w:r w:rsidR="004E24A2">
        <w:rPr>
          <w:rFonts w:ascii="Arial" w:hAnsi="Arial" w:cs="Arial"/>
        </w:rPr>
        <w:t xml:space="preserve"> basis</w:t>
      </w:r>
      <w:r w:rsidR="00AD379D">
        <w:rPr>
          <w:rFonts w:ascii="Arial" w:hAnsi="Arial" w:cs="Arial"/>
        </w:rPr>
        <w:t xml:space="preserve">. A key reason – in addition to the health worker issues described above – is the fact that only 16% of the 1,012 health facilities in the SARA study had refrigerators, </w:t>
      </w:r>
      <w:r w:rsidR="00A83A9B">
        <w:rPr>
          <w:rFonts w:ascii="Arial" w:hAnsi="Arial" w:cs="Arial"/>
        </w:rPr>
        <w:t>and</w:t>
      </w:r>
      <w:r w:rsidR="00AD379D">
        <w:rPr>
          <w:rFonts w:ascii="Arial" w:hAnsi="Arial" w:cs="Arial"/>
        </w:rPr>
        <w:t xml:space="preserve"> only 2% of health posts. Thus, health facilities must collect vaccine from the district medical stores </w:t>
      </w:r>
      <w:r w:rsidR="00AD379D">
        <w:rPr>
          <w:rFonts w:ascii="Arial" w:hAnsi="Arial" w:cs="Arial"/>
        </w:rPr>
        <w:lastRenderedPageBreak/>
        <w:t>themselves on the day of an immunization session. This situation may have improved recently with the purchase of addition cold chain equipment through the GAVI HSS grant.</w:t>
      </w:r>
    </w:p>
    <w:p w14:paraId="3AEA8761" w14:textId="39DFBEC8" w:rsidR="00530B48" w:rsidRDefault="00EE46A2" w:rsidP="00EB5A7D">
      <w:pPr>
        <w:pStyle w:val="ListParagraph"/>
        <w:numPr>
          <w:ilvl w:val="0"/>
          <w:numId w:val="24"/>
        </w:numPr>
        <w:contextualSpacing w:val="0"/>
        <w:rPr>
          <w:rFonts w:ascii="Arial" w:hAnsi="Arial" w:cs="Arial"/>
        </w:rPr>
      </w:pPr>
      <w:r w:rsidRPr="00AD379D">
        <w:rPr>
          <w:rFonts w:ascii="Arial" w:hAnsi="Arial" w:cs="Arial"/>
          <w:b/>
        </w:rPr>
        <w:t xml:space="preserve">Frequent vaccine shortages and </w:t>
      </w:r>
      <w:proofErr w:type="spellStart"/>
      <w:r w:rsidRPr="00AD379D">
        <w:rPr>
          <w:rFonts w:ascii="Arial" w:hAnsi="Arial" w:cs="Arial"/>
          <w:b/>
        </w:rPr>
        <w:t>stockouts</w:t>
      </w:r>
      <w:proofErr w:type="spellEnd"/>
      <w:r w:rsidR="00AD379D">
        <w:rPr>
          <w:rFonts w:ascii="Arial" w:hAnsi="Arial" w:cs="Arial"/>
        </w:rPr>
        <w:t xml:space="preserve">. Vaccine </w:t>
      </w:r>
      <w:proofErr w:type="spellStart"/>
      <w:r w:rsidR="00AD379D">
        <w:rPr>
          <w:rFonts w:ascii="Arial" w:hAnsi="Arial" w:cs="Arial"/>
        </w:rPr>
        <w:t>stockouts</w:t>
      </w:r>
      <w:proofErr w:type="spellEnd"/>
      <w:r w:rsidR="00AD379D">
        <w:rPr>
          <w:rFonts w:ascii="Arial" w:hAnsi="Arial" w:cs="Arial"/>
        </w:rPr>
        <w:t xml:space="preserve"> are common at all levels of the health system in DRC. At the central level, there were </w:t>
      </w:r>
      <w:proofErr w:type="spellStart"/>
      <w:r w:rsidR="00AD379D">
        <w:rPr>
          <w:rFonts w:ascii="Arial" w:hAnsi="Arial" w:cs="Arial"/>
        </w:rPr>
        <w:t>stockouts</w:t>
      </w:r>
      <w:proofErr w:type="spellEnd"/>
      <w:r w:rsidR="00AD379D">
        <w:rPr>
          <w:rFonts w:ascii="Arial" w:hAnsi="Arial" w:cs="Arial"/>
        </w:rPr>
        <w:t xml:space="preserve"> of BCG, yellow fever, and PCV vaccines in 2015</w:t>
      </w:r>
      <w:r w:rsidR="00A83A9B">
        <w:rPr>
          <w:rFonts w:ascii="Arial" w:hAnsi="Arial" w:cs="Arial"/>
        </w:rPr>
        <w:t xml:space="preserve"> </w:t>
      </w:r>
      <w:r w:rsidR="00AD379D">
        <w:rPr>
          <w:rFonts w:ascii="Arial" w:hAnsi="Arial" w:cs="Arial"/>
        </w:rPr>
        <w:t>and of measles and BCG in 2014.</w:t>
      </w:r>
      <w:r w:rsidR="00A83A9B" w:rsidRPr="00A83A9B">
        <w:rPr>
          <w:rStyle w:val="FootnoteReference"/>
          <w:rFonts w:ascii="Arial" w:hAnsi="Arial" w:cs="Arial"/>
        </w:rPr>
        <w:t xml:space="preserve"> </w:t>
      </w:r>
      <w:r w:rsidR="00A83A9B">
        <w:rPr>
          <w:rStyle w:val="FootnoteReference"/>
          <w:rFonts w:ascii="Arial" w:hAnsi="Arial" w:cs="Arial"/>
        </w:rPr>
        <w:footnoteReference w:id="31"/>
      </w:r>
      <w:r w:rsidR="00A83A9B">
        <w:rPr>
          <w:rFonts w:ascii="Arial" w:hAnsi="Arial" w:cs="Arial"/>
        </w:rPr>
        <w:t xml:space="preserve"> </w:t>
      </w:r>
      <w:r w:rsidR="00AD379D">
        <w:rPr>
          <w:rFonts w:ascii="Arial" w:hAnsi="Arial" w:cs="Arial"/>
        </w:rPr>
        <w:t xml:space="preserve">As of early July 2016, there was no supply in the central stores of bivalent OPV and IPV and only one month’s supply of TT vaccine. Some of these </w:t>
      </w:r>
      <w:proofErr w:type="spellStart"/>
      <w:r w:rsidR="00AD379D">
        <w:rPr>
          <w:rFonts w:ascii="Arial" w:hAnsi="Arial" w:cs="Arial"/>
        </w:rPr>
        <w:t>stockouts</w:t>
      </w:r>
      <w:proofErr w:type="spellEnd"/>
      <w:r w:rsidR="00AD379D">
        <w:rPr>
          <w:rFonts w:ascii="Arial" w:hAnsi="Arial" w:cs="Arial"/>
        </w:rPr>
        <w:t xml:space="preserve"> are due to a global supply shortage, notably BCG, which was </w:t>
      </w:r>
      <w:r w:rsidR="00530B48">
        <w:rPr>
          <w:rFonts w:ascii="Arial" w:hAnsi="Arial" w:cs="Arial"/>
        </w:rPr>
        <w:t>absent from the central store for 73 days in 2015.</w:t>
      </w:r>
      <w:r w:rsidR="00CA1D86">
        <w:rPr>
          <w:rStyle w:val="FootnoteReference"/>
          <w:rFonts w:ascii="Arial" w:hAnsi="Arial" w:cs="Arial"/>
        </w:rPr>
        <w:footnoteReference w:id="32"/>
      </w:r>
      <w:r w:rsidR="00530B48">
        <w:rPr>
          <w:rFonts w:ascii="Arial" w:hAnsi="Arial" w:cs="Arial"/>
        </w:rPr>
        <w:t xml:space="preserve"> Delays in the Government releasing funds for vaccine purchases also contribute to the </w:t>
      </w:r>
      <w:proofErr w:type="spellStart"/>
      <w:r w:rsidR="00530B48">
        <w:rPr>
          <w:rFonts w:ascii="Arial" w:hAnsi="Arial" w:cs="Arial"/>
        </w:rPr>
        <w:t>stockouts</w:t>
      </w:r>
      <w:proofErr w:type="spellEnd"/>
      <w:r w:rsidR="00530B48">
        <w:rPr>
          <w:rFonts w:ascii="Arial" w:hAnsi="Arial" w:cs="Arial"/>
        </w:rPr>
        <w:t xml:space="preserve"> at this level. </w:t>
      </w:r>
    </w:p>
    <w:p w14:paraId="26797F2E" w14:textId="1E6A231D" w:rsidR="00EE46A2" w:rsidRDefault="00530B48" w:rsidP="00EB5A7D">
      <w:pPr>
        <w:pStyle w:val="ListParagraph"/>
        <w:contextualSpacing w:val="0"/>
        <w:rPr>
          <w:rFonts w:ascii="Arial" w:hAnsi="Arial" w:cs="Arial"/>
        </w:rPr>
      </w:pPr>
      <w:r>
        <w:rPr>
          <w:rFonts w:ascii="Arial" w:hAnsi="Arial" w:cs="Arial"/>
        </w:rPr>
        <w:t xml:space="preserve">At the sub-national level, 92% of districts surveyed in the PCV post-introduction evaluation (PIE) in 2014 had experienced a </w:t>
      </w:r>
      <w:proofErr w:type="spellStart"/>
      <w:r>
        <w:rPr>
          <w:rFonts w:ascii="Arial" w:hAnsi="Arial" w:cs="Arial"/>
        </w:rPr>
        <w:t>stockout</w:t>
      </w:r>
      <w:proofErr w:type="spellEnd"/>
      <w:r>
        <w:rPr>
          <w:rFonts w:ascii="Arial" w:hAnsi="Arial" w:cs="Arial"/>
        </w:rPr>
        <w:t xml:space="preserve"> of at least one vaccine</w:t>
      </w:r>
      <w:r w:rsidR="00CA1D86">
        <w:rPr>
          <w:rFonts w:ascii="Arial" w:hAnsi="Arial" w:cs="Arial"/>
        </w:rPr>
        <w:t xml:space="preserve"> in the previous six months</w:t>
      </w:r>
      <w:r>
        <w:rPr>
          <w:rFonts w:ascii="Arial" w:hAnsi="Arial" w:cs="Arial"/>
        </w:rPr>
        <w:t>, including PCV, even though it was available at the central level during at the time.</w:t>
      </w:r>
      <w:r w:rsidR="00CA1D86">
        <w:rPr>
          <w:rStyle w:val="FootnoteReference"/>
          <w:rFonts w:ascii="Arial" w:hAnsi="Arial" w:cs="Arial"/>
        </w:rPr>
        <w:footnoteReference w:id="33"/>
      </w:r>
      <w:r>
        <w:rPr>
          <w:rFonts w:ascii="Arial" w:hAnsi="Arial" w:cs="Arial"/>
        </w:rPr>
        <w:t xml:space="preserve"> </w:t>
      </w:r>
      <w:proofErr w:type="gramStart"/>
      <w:r>
        <w:rPr>
          <w:rFonts w:ascii="Arial" w:hAnsi="Arial" w:cs="Arial"/>
        </w:rPr>
        <w:t>This points</w:t>
      </w:r>
      <w:proofErr w:type="gramEnd"/>
      <w:r>
        <w:rPr>
          <w:rFonts w:ascii="Arial" w:hAnsi="Arial" w:cs="Arial"/>
        </w:rPr>
        <w:t xml:space="preserve"> to severe distribution problems from the national to the lower levels. Only two provinces (Bas-Congo and Bandundu) and the city of Kinshasa have vaccines delivered by road; all other provinces are at the mercy of a few air-freight companies for their vaccine deliveries. These companies have routes and itineraries that do not necessarily meet the needs of the provinces, and they charge more than $2 million a year to airship vaccines to the interior. In addition, many </w:t>
      </w:r>
      <w:r w:rsidR="00364456">
        <w:rPr>
          <w:rFonts w:ascii="Arial" w:hAnsi="Arial" w:cs="Arial"/>
        </w:rPr>
        <w:t>health provinces (</w:t>
      </w:r>
      <w:r>
        <w:rPr>
          <w:rFonts w:ascii="Arial" w:hAnsi="Arial" w:cs="Arial"/>
        </w:rPr>
        <w:t>DPSs</w:t>
      </w:r>
      <w:r w:rsidR="00364456">
        <w:rPr>
          <w:rFonts w:ascii="Arial" w:hAnsi="Arial" w:cs="Arial"/>
        </w:rPr>
        <w:t>)</w:t>
      </w:r>
      <w:r>
        <w:rPr>
          <w:rFonts w:ascii="Arial" w:hAnsi="Arial" w:cs="Arial"/>
        </w:rPr>
        <w:t xml:space="preserve"> do not have appropriate, functioning means of transporting vaccines to the districts, although more are now obtaining vehicles with HSS support.</w:t>
      </w:r>
    </w:p>
    <w:p w14:paraId="62CBAE4C" w14:textId="63A7C2DB" w:rsidR="00530B48" w:rsidRPr="00530B48" w:rsidRDefault="00530B48" w:rsidP="00EB5A7D">
      <w:pPr>
        <w:pStyle w:val="ListParagraph"/>
        <w:contextualSpacing w:val="0"/>
        <w:rPr>
          <w:rFonts w:ascii="Arial" w:hAnsi="Arial" w:cs="Arial"/>
        </w:rPr>
      </w:pPr>
      <w:r>
        <w:rPr>
          <w:rFonts w:ascii="Arial" w:hAnsi="Arial" w:cs="Arial"/>
        </w:rPr>
        <w:t xml:space="preserve">The unavailability of vaccines at the health facility level was the top reason </w:t>
      </w:r>
      <w:r w:rsidR="009462E5">
        <w:rPr>
          <w:rFonts w:ascii="Arial" w:hAnsi="Arial" w:cs="Arial"/>
        </w:rPr>
        <w:t xml:space="preserve">found in the 2013 DHS that </w:t>
      </w:r>
      <w:r>
        <w:rPr>
          <w:rFonts w:ascii="Arial" w:hAnsi="Arial" w:cs="Arial"/>
        </w:rPr>
        <w:t>children did not get vaccinated</w:t>
      </w:r>
      <w:r w:rsidR="009462E5">
        <w:rPr>
          <w:rFonts w:ascii="Arial" w:hAnsi="Arial" w:cs="Arial"/>
        </w:rPr>
        <w:t xml:space="preserve"> </w:t>
      </w:r>
      <w:r>
        <w:rPr>
          <w:rFonts w:ascii="Arial" w:hAnsi="Arial" w:cs="Arial"/>
        </w:rPr>
        <w:t>– cited by 26% of parents whose children</w:t>
      </w:r>
      <w:r w:rsidR="009462E5">
        <w:rPr>
          <w:rFonts w:ascii="Arial" w:hAnsi="Arial" w:cs="Arial"/>
        </w:rPr>
        <w:t xml:space="preserve"> did n</w:t>
      </w:r>
      <w:r w:rsidR="001C28AB">
        <w:rPr>
          <w:rFonts w:ascii="Arial" w:hAnsi="Arial" w:cs="Arial"/>
        </w:rPr>
        <w:t>ot receive vaccines on schedule</w:t>
      </w:r>
      <w:r w:rsidR="009462E5">
        <w:rPr>
          <w:rFonts w:ascii="Arial" w:hAnsi="Arial" w:cs="Arial"/>
        </w:rPr>
        <w:t>.</w:t>
      </w:r>
      <w:r w:rsidR="001C28AB">
        <w:rPr>
          <w:rStyle w:val="FootnoteReference"/>
          <w:rFonts w:ascii="Arial" w:hAnsi="Arial" w:cs="Arial"/>
        </w:rPr>
        <w:footnoteReference w:id="34"/>
      </w:r>
      <w:r w:rsidR="009462E5">
        <w:rPr>
          <w:rFonts w:ascii="Arial" w:hAnsi="Arial" w:cs="Arial"/>
        </w:rPr>
        <w:t xml:space="preserve"> Vaccine </w:t>
      </w:r>
      <w:proofErr w:type="spellStart"/>
      <w:r w:rsidR="009462E5">
        <w:rPr>
          <w:rFonts w:ascii="Arial" w:hAnsi="Arial" w:cs="Arial"/>
        </w:rPr>
        <w:t>stockouts</w:t>
      </w:r>
      <w:proofErr w:type="spellEnd"/>
      <w:r w:rsidR="009462E5">
        <w:rPr>
          <w:rFonts w:ascii="Arial" w:hAnsi="Arial" w:cs="Arial"/>
        </w:rPr>
        <w:t xml:space="preserve"> were also found in the 2012 EPI review to be the cause in 27% of the cases where planned outreach activities did not take place.</w:t>
      </w:r>
      <w:r w:rsidR="001C28AB">
        <w:rPr>
          <w:rStyle w:val="FootnoteReference"/>
          <w:rFonts w:ascii="Arial" w:hAnsi="Arial" w:cs="Arial"/>
        </w:rPr>
        <w:footnoteReference w:id="35"/>
      </w:r>
      <w:r w:rsidR="009462E5">
        <w:rPr>
          <w:rFonts w:ascii="Arial" w:hAnsi="Arial" w:cs="Arial"/>
        </w:rPr>
        <w:t xml:space="preserve"> While health facilities without refrigerators are not expected to store vaccine, the SARA study found that vaccine </w:t>
      </w:r>
      <w:proofErr w:type="spellStart"/>
      <w:r w:rsidR="009462E5">
        <w:rPr>
          <w:rFonts w:ascii="Arial" w:hAnsi="Arial" w:cs="Arial"/>
        </w:rPr>
        <w:t>stockouts</w:t>
      </w:r>
      <w:proofErr w:type="spellEnd"/>
      <w:r w:rsidR="009462E5">
        <w:rPr>
          <w:rFonts w:ascii="Arial" w:hAnsi="Arial" w:cs="Arial"/>
        </w:rPr>
        <w:t xml:space="preserve"> in facilities with refrigerators were also common. At the time of the assessment team’s visit, 44% of these facilities had no PCV vaccine and 19-24% had </w:t>
      </w:r>
      <w:proofErr w:type="spellStart"/>
      <w:r w:rsidR="009462E5">
        <w:rPr>
          <w:rFonts w:ascii="Arial" w:hAnsi="Arial" w:cs="Arial"/>
        </w:rPr>
        <w:t>stockouts</w:t>
      </w:r>
      <w:proofErr w:type="spellEnd"/>
      <w:r w:rsidR="009462E5">
        <w:rPr>
          <w:rFonts w:ascii="Arial" w:hAnsi="Arial" w:cs="Arial"/>
        </w:rPr>
        <w:t xml:space="preserve"> of measles, pentavalent or polio vaccines.</w:t>
      </w:r>
      <w:r w:rsidR="001C28AB">
        <w:rPr>
          <w:rStyle w:val="FootnoteReference"/>
          <w:rFonts w:ascii="Arial" w:hAnsi="Arial" w:cs="Arial"/>
        </w:rPr>
        <w:footnoteReference w:id="36"/>
      </w:r>
      <w:r w:rsidR="009462E5">
        <w:rPr>
          <w:rFonts w:ascii="Arial" w:hAnsi="Arial" w:cs="Arial"/>
        </w:rPr>
        <w:t xml:space="preserve"> These </w:t>
      </w:r>
      <w:proofErr w:type="spellStart"/>
      <w:r w:rsidR="009462E5">
        <w:rPr>
          <w:rFonts w:ascii="Arial" w:hAnsi="Arial" w:cs="Arial"/>
        </w:rPr>
        <w:t>stockouts</w:t>
      </w:r>
      <w:proofErr w:type="spellEnd"/>
      <w:r w:rsidR="009462E5">
        <w:rPr>
          <w:rFonts w:ascii="Arial" w:hAnsi="Arial" w:cs="Arial"/>
        </w:rPr>
        <w:t xml:space="preserve"> are due to the vaccine shortages at high levels, as well as to a lack of transport at health facilities to collect v</w:t>
      </w:r>
      <w:r w:rsidR="001C28AB">
        <w:rPr>
          <w:rFonts w:ascii="Arial" w:hAnsi="Arial" w:cs="Arial"/>
        </w:rPr>
        <w:t>accine from the district stores</w:t>
      </w:r>
      <w:r w:rsidR="009462E5">
        <w:rPr>
          <w:rFonts w:ascii="Arial" w:hAnsi="Arial" w:cs="Arial"/>
        </w:rPr>
        <w:t>.</w:t>
      </w:r>
    </w:p>
    <w:p w14:paraId="071FE19E" w14:textId="7D296176" w:rsidR="00EE46A2" w:rsidRDefault="00EE46A2" w:rsidP="00EB5A7D">
      <w:pPr>
        <w:pStyle w:val="ListParagraph"/>
        <w:numPr>
          <w:ilvl w:val="0"/>
          <w:numId w:val="24"/>
        </w:numPr>
        <w:contextualSpacing w:val="0"/>
        <w:rPr>
          <w:rFonts w:ascii="Arial" w:hAnsi="Arial" w:cs="Arial"/>
        </w:rPr>
      </w:pPr>
      <w:r w:rsidRPr="009462E5">
        <w:rPr>
          <w:rFonts w:ascii="Arial" w:hAnsi="Arial" w:cs="Arial"/>
          <w:b/>
        </w:rPr>
        <w:t>Inadequate outreach activities</w:t>
      </w:r>
      <w:r w:rsidR="009462E5">
        <w:rPr>
          <w:rFonts w:ascii="Arial" w:hAnsi="Arial" w:cs="Arial"/>
        </w:rPr>
        <w:t xml:space="preserve">. According to the SARA study, 80% of health facilities offering immunization provide services only at the facility. The 2013 DHS found that, while 27% of children lived far enough away from a health facility to be eligible for outreach services, only 7% of vaccinated children were reached through </w:t>
      </w:r>
      <w:r w:rsidR="009462E5">
        <w:rPr>
          <w:rFonts w:ascii="Arial" w:hAnsi="Arial" w:cs="Arial"/>
        </w:rPr>
        <w:lastRenderedPageBreak/>
        <w:t>this strategy, increasing the likelihood of the</w:t>
      </w:r>
      <w:r w:rsidR="001C28AB">
        <w:rPr>
          <w:rFonts w:ascii="Arial" w:hAnsi="Arial" w:cs="Arial"/>
        </w:rPr>
        <w:t>ir</w:t>
      </w:r>
      <w:r w:rsidR="009462E5">
        <w:rPr>
          <w:rFonts w:ascii="Arial" w:hAnsi="Arial" w:cs="Arial"/>
        </w:rPr>
        <w:t xml:space="preserve"> being missed or not completing these immunizations. A lack of transportation was given as the reason outreach activities did not take place in 41% of cases in the 2012 EPI review.</w:t>
      </w:r>
      <w:r w:rsidR="001C28AB">
        <w:rPr>
          <w:rStyle w:val="FootnoteReference"/>
          <w:rFonts w:ascii="Arial" w:hAnsi="Arial" w:cs="Arial"/>
        </w:rPr>
        <w:footnoteReference w:id="37"/>
      </w:r>
      <w:r w:rsidR="009462E5">
        <w:rPr>
          <w:rFonts w:ascii="Arial" w:hAnsi="Arial" w:cs="Arial"/>
        </w:rPr>
        <w:t xml:space="preserve"> Other likely factors are the shortage of health workers and lack of financial incentive to conduct outreach activities.</w:t>
      </w:r>
    </w:p>
    <w:p w14:paraId="5C17DF93" w14:textId="6BF85746" w:rsidR="00EE46A2" w:rsidRPr="004E24A2" w:rsidRDefault="00EE46A2" w:rsidP="00EB5A7D">
      <w:pPr>
        <w:pStyle w:val="ListParagraph"/>
        <w:numPr>
          <w:ilvl w:val="0"/>
          <w:numId w:val="24"/>
        </w:numPr>
        <w:contextualSpacing w:val="0"/>
        <w:rPr>
          <w:rFonts w:ascii="Arial" w:hAnsi="Arial" w:cs="Arial"/>
          <w:lang w:val="en-US"/>
        </w:rPr>
      </w:pPr>
      <w:r w:rsidRPr="004E24A2">
        <w:rPr>
          <w:rFonts w:ascii="Arial" w:hAnsi="Arial" w:cs="Arial"/>
          <w:b/>
          <w:lang w:val="en-US"/>
        </w:rPr>
        <w:t>Insufficient community-based communications and community involvement in health and immunization promotion</w:t>
      </w:r>
      <w:r w:rsidR="009462E5" w:rsidRPr="004E24A2">
        <w:rPr>
          <w:rFonts w:ascii="Arial" w:hAnsi="Arial" w:cs="Arial"/>
          <w:lang w:val="en-US"/>
        </w:rPr>
        <w:t xml:space="preserve">. </w:t>
      </w:r>
      <w:r w:rsidR="00364456" w:rsidRPr="004E24A2">
        <w:rPr>
          <w:rFonts w:ascii="Arial" w:hAnsi="Arial" w:cs="Arial"/>
          <w:lang w:val="en-US"/>
        </w:rPr>
        <w:t>DRC has established a system to link health facilities to each community and involve community members in health promotion, inc</w:t>
      </w:r>
      <w:r w:rsidR="004E24A2" w:rsidRPr="004E24A2">
        <w:rPr>
          <w:rFonts w:ascii="Arial" w:hAnsi="Arial" w:cs="Arial"/>
          <w:lang w:val="en-US"/>
        </w:rPr>
        <w:t>l</w:t>
      </w:r>
      <w:r w:rsidR="00364456" w:rsidRPr="004E24A2">
        <w:rPr>
          <w:rFonts w:ascii="Arial" w:hAnsi="Arial" w:cs="Arial"/>
          <w:lang w:val="en-US"/>
        </w:rPr>
        <w:t>uding immunization. In principal, one community volunteer (</w:t>
      </w:r>
      <w:proofErr w:type="spellStart"/>
      <w:r w:rsidR="00364456" w:rsidRPr="004E24A2">
        <w:rPr>
          <w:rFonts w:ascii="Arial" w:hAnsi="Arial" w:cs="Arial"/>
          <w:i/>
          <w:lang w:val="en-US"/>
        </w:rPr>
        <w:t>relais</w:t>
      </w:r>
      <w:proofErr w:type="spellEnd"/>
      <w:r w:rsidR="00364456" w:rsidRPr="004E24A2">
        <w:rPr>
          <w:rFonts w:ascii="Arial" w:hAnsi="Arial" w:cs="Arial"/>
          <w:i/>
          <w:lang w:val="en-US"/>
        </w:rPr>
        <w:t xml:space="preserve"> </w:t>
      </w:r>
      <w:proofErr w:type="spellStart"/>
      <w:r w:rsidR="00364456" w:rsidRPr="004E24A2">
        <w:rPr>
          <w:rFonts w:ascii="Arial" w:hAnsi="Arial" w:cs="Arial"/>
          <w:i/>
          <w:lang w:val="en-US"/>
        </w:rPr>
        <w:t>communautaire</w:t>
      </w:r>
      <w:proofErr w:type="spellEnd"/>
      <w:r w:rsidR="00364456" w:rsidRPr="004E24A2">
        <w:rPr>
          <w:rFonts w:ascii="Arial" w:hAnsi="Arial" w:cs="Arial"/>
          <w:lang w:val="en-US"/>
        </w:rPr>
        <w:t>) exists for every 25-30 households, and one volunteer per village is a member of the Development Committee (CODESA) for the catchment area (</w:t>
      </w:r>
      <w:proofErr w:type="spellStart"/>
      <w:r w:rsidR="00364456" w:rsidRPr="004E24A2">
        <w:rPr>
          <w:rFonts w:ascii="Arial" w:hAnsi="Arial" w:cs="Arial"/>
          <w:i/>
          <w:lang w:val="en-US"/>
        </w:rPr>
        <w:t>aire</w:t>
      </w:r>
      <w:proofErr w:type="spellEnd"/>
      <w:r w:rsidR="00364456" w:rsidRPr="004E24A2">
        <w:rPr>
          <w:rFonts w:ascii="Arial" w:hAnsi="Arial" w:cs="Arial"/>
          <w:i/>
          <w:lang w:val="en-US"/>
        </w:rPr>
        <w:t xml:space="preserve"> de santé</w:t>
      </w:r>
      <w:r w:rsidR="00364456" w:rsidRPr="004E24A2">
        <w:rPr>
          <w:rFonts w:ascii="Arial" w:hAnsi="Arial" w:cs="Arial"/>
          <w:lang w:val="en-US"/>
        </w:rPr>
        <w:t xml:space="preserve">) of the health center. In the area of immunization, these volunteers inform community members about vaccines and immunization services, help plan and implement disease surveillance and vaccination activities, track </w:t>
      </w:r>
      <w:r w:rsidR="001C28AB">
        <w:rPr>
          <w:rFonts w:ascii="Arial" w:hAnsi="Arial" w:cs="Arial"/>
          <w:lang w:val="en-US"/>
        </w:rPr>
        <w:t xml:space="preserve">immunization </w:t>
      </w:r>
      <w:r w:rsidR="00364456" w:rsidRPr="004E24A2">
        <w:rPr>
          <w:rFonts w:ascii="Arial" w:hAnsi="Arial" w:cs="Arial"/>
          <w:lang w:val="en-US"/>
        </w:rPr>
        <w:t xml:space="preserve">defaulters, and participate in health district council meetings. Each DPS has a communications focal point and most districts have community </w:t>
      </w:r>
      <w:r w:rsidR="001C28AB">
        <w:rPr>
          <w:rFonts w:ascii="Arial" w:hAnsi="Arial" w:cs="Arial"/>
          <w:lang w:val="en-US"/>
        </w:rPr>
        <w:t>workers</w:t>
      </w:r>
      <w:r w:rsidR="00364456" w:rsidRPr="004E24A2">
        <w:rPr>
          <w:rFonts w:ascii="Arial" w:hAnsi="Arial" w:cs="Arial"/>
          <w:lang w:val="en-US"/>
        </w:rPr>
        <w:t xml:space="preserve"> (</w:t>
      </w:r>
      <w:proofErr w:type="spellStart"/>
      <w:r w:rsidR="00364456" w:rsidRPr="004E24A2">
        <w:rPr>
          <w:rFonts w:ascii="Arial" w:hAnsi="Arial" w:cs="Arial"/>
          <w:i/>
          <w:lang w:val="en-US"/>
        </w:rPr>
        <w:t>animateurs</w:t>
      </w:r>
      <w:proofErr w:type="spellEnd"/>
      <w:r w:rsidR="00364456" w:rsidRPr="004E24A2">
        <w:rPr>
          <w:rFonts w:ascii="Arial" w:hAnsi="Arial" w:cs="Arial"/>
          <w:i/>
          <w:lang w:val="en-US"/>
        </w:rPr>
        <w:t xml:space="preserve"> </w:t>
      </w:r>
      <w:proofErr w:type="spellStart"/>
      <w:r w:rsidR="00364456" w:rsidRPr="004E24A2">
        <w:rPr>
          <w:rFonts w:ascii="Arial" w:hAnsi="Arial" w:cs="Arial"/>
          <w:i/>
          <w:lang w:val="en-US"/>
        </w:rPr>
        <w:t>communautaires</w:t>
      </w:r>
      <w:proofErr w:type="spellEnd"/>
      <w:r w:rsidR="00364456" w:rsidRPr="004E24A2">
        <w:rPr>
          <w:rFonts w:ascii="Arial" w:hAnsi="Arial" w:cs="Arial"/>
          <w:lang w:val="en-US"/>
        </w:rPr>
        <w:t xml:space="preserve">) who support the health centers and community volunteers with communication and social mobilization activities. The PCV </w:t>
      </w:r>
      <w:r w:rsidR="000178D5">
        <w:rPr>
          <w:rFonts w:ascii="Arial" w:hAnsi="Arial" w:cs="Arial"/>
        </w:rPr>
        <w:t>post-introduction evaluation (</w:t>
      </w:r>
      <w:r w:rsidR="00364456" w:rsidRPr="004E24A2">
        <w:rPr>
          <w:rFonts w:ascii="Arial" w:hAnsi="Arial" w:cs="Arial"/>
          <w:lang w:val="en-US"/>
        </w:rPr>
        <w:t>PIE</w:t>
      </w:r>
      <w:r w:rsidR="000178D5">
        <w:rPr>
          <w:rFonts w:ascii="Arial" w:hAnsi="Arial" w:cs="Arial"/>
          <w:lang w:val="en-US"/>
        </w:rPr>
        <w:t>)</w:t>
      </w:r>
      <w:r w:rsidR="00364456" w:rsidRPr="004E24A2">
        <w:rPr>
          <w:rFonts w:ascii="Arial" w:hAnsi="Arial" w:cs="Arial"/>
          <w:lang w:val="en-US"/>
        </w:rPr>
        <w:t xml:space="preserve"> found that 34% of mothers knowledgeable about the new vaccine had learned about it from a community volunteer and they were the #2 source of information after health personnel.</w:t>
      </w:r>
      <w:r w:rsidR="001C28AB">
        <w:rPr>
          <w:rStyle w:val="FootnoteReference"/>
          <w:rFonts w:ascii="Arial" w:hAnsi="Arial" w:cs="Arial"/>
          <w:lang w:val="en-US"/>
        </w:rPr>
        <w:footnoteReference w:id="38"/>
      </w:r>
      <w:r w:rsidR="00364456" w:rsidRPr="004E24A2">
        <w:rPr>
          <w:rFonts w:ascii="Arial" w:hAnsi="Arial" w:cs="Arial"/>
          <w:lang w:val="en-US"/>
        </w:rPr>
        <w:t xml:space="preserve"> </w:t>
      </w:r>
    </w:p>
    <w:p w14:paraId="0207F267" w14:textId="5CEC73D1" w:rsidR="001E7D06" w:rsidRDefault="001E7D06" w:rsidP="00EB5A7D">
      <w:pPr>
        <w:pStyle w:val="ListParagraph"/>
        <w:contextualSpacing w:val="0"/>
        <w:rPr>
          <w:rFonts w:ascii="Arial" w:hAnsi="Arial" w:cs="Arial"/>
        </w:rPr>
      </w:pPr>
      <w:r w:rsidRPr="001E7D06">
        <w:rPr>
          <w:rFonts w:ascii="Arial" w:hAnsi="Arial" w:cs="Arial"/>
        </w:rPr>
        <w:t>However, although the number of community</w:t>
      </w:r>
      <w:r>
        <w:rPr>
          <w:rFonts w:ascii="Arial" w:hAnsi="Arial" w:cs="Arial"/>
        </w:rPr>
        <w:t xml:space="preserve"> volunteers has reportedly increased, the reality on the ground is different. According to the 2012 EPI review, these volunteers often lack motivation and are increasingly disengaged in some districts.</w:t>
      </w:r>
    </w:p>
    <w:p w14:paraId="60536BF0" w14:textId="073EDA4F" w:rsidR="001E7D06" w:rsidRDefault="001E7D06" w:rsidP="00EB5A7D">
      <w:pPr>
        <w:pStyle w:val="ListParagraph"/>
        <w:contextualSpacing w:val="0"/>
        <w:rPr>
          <w:rFonts w:ascii="Arial" w:hAnsi="Arial" w:cs="Arial"/>
        </w:rPr>
      </w:pPr>
      <w:r>
        <w:rPr>
          <w:rFonts w:ascii="Arial" w:hAnsi="Arial" w:cs="Arial"/>
        </w:rPr>
        <w:t xml:space="preserve">Inadequate knowledge and demand from the population were found to be a major reason for children not </w:t>
      </w:r>
      <w:r w:rsidR="00F453F4">
        <w:rPr>
          <w:rFonts w:ascii="Arial" w:hAnsi="Arial" w:cs="Arial"/>
        </w:rPr>
        <w:t>being</w:t>
      </w:r>
      <w:r>
        <w:rPr>
          <w:rFonts w:ascii="Arial" w:hAnsi="Arial" w:cs="Arial"/>
        </w:rPr>
        <w:t xml:space="preserve"> vaccinated. In the 2012 DHS, coverage for pentavalent vaccine fell from 81% for the first dose to 61% for the third (a dropout rate of 25%), while the dropout rate for polio vaccine from the first to the third dose was 28%. A lack of knowledge about the importance of vaccination, about the need for more than one dose</w:t>
      </w:r>
      <w:r w:rsidR="00F453F4">
        <w:rPr>
          <w:rFonts w:ascii="Arial" w:hAnsi="Arial" w:cs="Arial"/>
        </w:rPr>
        <w:t xml:space="preserve"> for several vaccines</w:t>
      </w:r>
      <w:r>
        <w:rPr>
          <w:rFonts w:ascii="Arial" w:hAnsi="Arial" w:cs="Arial"/>
        </w:rPr>
        <w:t>, and about the time and place of vaccination were commonly cited by mothers who</w:t>
      </w:r>
      <w:r w:rsidR="004E24A2">
        <w:rPr>
          <w:rFonts w:ascii="Arial" w:hAnsi="Arial" w:cs="Arial"/>
        </w:rPr>
        <w:t>se</w:t>
      </w:r>
      <w:r>
        <w:rPr>
          <w:rFonts w:ascii="Arial" w:hAnsi="Arial" w:cs="Arial"/>
        </w:rPr>
        <w:t xml:space="preserve"> 1-11 month olds did not complete their vaccinations.</w:t>
      </w:r>
      <w:r w:rsidR="00F453F4">
        <w:rPr>
          <w:rStyle w:val="FootnoteReference"/>
          <w:rFonts w:ascii="Arial" w:hAnsi="Arial" w:cs="Arial"/>
        </w:rPr>
        <w:footnoteReference w:id="39"/>
      </w:r>
      <w:r>
        <w:rPr>
          <w:rFonts w:ascii="Arial" w:hAnsi="Arial" w:cs="Arial"/>
        </w:rPr>
        <w:t xml:space="preserve"> Religious objections were also a reason for children not being vaccinated, accounting for 7% of responses about all factors contributing to the non-vaccination of children.</w:t>
      </w:r>
    </w:p>
    <w:p w14:paraId="255F87E0" w14:textId="135FEEDE" w:rsidR="001E7D06" w:rsidRPr="00F453F4" w:rsidRDefault="001E7D06" w:rsidP="001E7D06">
      <w:pPr>
        <w:rPr>
          <w:rFonts w:ascii="Arial" w:hAnsi="Arial" w:cs="Arial"/>
          <w:lang w:val="en-US"/>
        </w:rPr>
      </w:pPr>
      <w:r w:rsidRPr="00F453F4">
        <w:rPr>
          <w:rFonts w:ascii="Arial" w:hAnsi="Arial" w:cs="Arial"/>
          <w:lang w:val="en-US"/>
        </w:rPr>
        <w:t xml:space="preserve">The </w:t>
      </w:r>
      <w:proofErr w:type="gramStart"/>
      <w:r w:rsidRPr="00F453F4">
        <w:rPr>
          <w:rFonts w:ascii="Arial" w:hAnsi="Arial" w:cs="Arial"/>
          <w:lang w:val="en-US"/>
        </w:rPr>
        <w:t>results of these factors – along with inadequate supervision – is</w:t>
      </w:r>
      <w:proofErr w:type="gramEnd"/>
      <w:r w:rsidRPr="00F453F4">
        <w:rPr>
          <w:rFonts w:ascii="Arial" w:hAnsi="Arial" w:cs="Arial"/>
          <w:lang w:val="en-US"/>
        </w:rPr>
        <w:t xml:space="preserve"> many missed opportunities. A child may come to the health center, but it’s not the</w:t>
      </w:r>
      <w:r w:rsidR="00AA42DB" w:rsidRPr="00F453F4">
        <w:rPr>
          <w:rFonts w:ascii="Arial" w:hAnsi="Arial" w:cs="Arial"/>
          <w:lang w:val="en-US"/>
        </w:rPr>
        <w:t xml:space="preserve"> one day of the month when an im</w:t>
      </w:r>
      <w:r w:rsidRPr="00F453F4">
        <w:rPr>
          <w:rFonts w:ascii="Arial" w:hAnsi="Arial" w:cs="Arial"/>
          <w:lang w:val="en-US"/>
        </w:rPr>
        <w:t xml:space="preserve">munization session is held, or if it is, certain vaccines are not available, discouraging parents from coming back. Health workers may </w:t>
      </w:r>
      <w:r w:rsidR="00AA42DB" w:rsidRPr="00F453F4">
        <w:rPr>
          <w:rFonts w:ascii="Arial" w:hAnsi="Arial" w:cs="Arial"/>
          <w:lang w:val="en-US"/>
        </w:rPr>
        <w:t xml:space="preserve">also </w:t>
      </w:r>
      <w:r w:rsidRPr="00F453F4">
        <w:rPr>
          <w:rFonts w:ascii="Arial" w:hAnsi="Arial" w:cs="Arial"/>
          <w:lang w:val="en-US"/>
        </w:rPr>
        <w:t xml:space="preserve">miss </w:t>
      </w:r>
      <w:r w:rsidR="00AA42DB" w:rsidRPr="00F453F4">
        <w:rPr>
          <w:rFonts w:ascii="Arial" w:hAnsi="Arial" w:cs="Arial"/>
          <w:lang w:val="en-US"/>
        </w:rPr>
        <w:t xml:space="preserve">the </w:t>
      </w:r>
      <w:r w:rsidRPr="00F453F4">
        <w:rPr>
          <w:rFonts w:ascii="Arial" w:hAnsi="Arial" w:cs="Arial"/>
          <w:lang w:val="en-US"/>
        </w:rPr>
        <w:t>opportunit</w:t>
      </w:r>
      <w:r w:rsidR="00AA42DB" w:rsidRPr="00F453F4">
        <w:rPr>
          <w:rFonts w:ascii="Arial" w:hAnsi="Arial" w:cs="Arial"/>
          <w:lang w:val="en-US"/>
        </w:rPr>
        <w:t>y to inform mothers of the needs to bring their child</w:t>
      </w:r>
      <w:r w:rsidR="000178D5" w:rsidRPr="00F453F4">
        <w:rPr>
          <w:rFonts w:ascii="Arial" w:hAnsi="Arial" w:cs="Arial"/>
          <w:lang w:val="en-US"/>
        </w:rPr>
        <w:t xml:space="preserve"> back for subsequent doses and w</w:t>
      </w:r>
      <w:r w:rsidR="00AA42DB" w:rsidRPr="00F453F4">
        <w:rPr>
          <w:rFonts w:ascii="Arial" w:hAnsi="Arial" w:cs="Arial"/>
          <w:lang w:val="en-US"/>
        </w:rPr>
        <w:t>hen to do this.</w:t>
      </w:r>
      <w:r w:rsidRPr="00F453F4">
        <w:rPr>
          <w:rFonts w:ascii="Arial" w:hAnsi="Arial" w:cs="Arial"/>
          <w:lang w:val="en-US"/>
        </w:rPr>
        <w:t xml:space="preserve"> </w:t>
      </w:r>
    </w:p>
    <w:p w14:paraId="218109F8" w14:textId="1149AD6B" w:rsidR="00AA42DB" w:rsidRDefault="00AA42DB" w:rsidP="001E7D06">
      <w:pPr>
        <w:rPr>
          <w:rFonts w:ascii="Arial" w:hAnsi="Arial" w:cs="Arial"/>
        </w:rPr>
      </w:pPr>
      <w:r>
        <w:rPr>
          <w:rFonts w:ascii="Arial" w:hAnsi="Arial" w:cs="Arial"/>
        </w:rPr>
        <w:lastRenderedPageBreak/>
        <w:t xml:space="preserve">Given the severity of these problems – the lack of salaries for most health workers, the infrequency of immunization services and frequent vaccine </w:t>
      </w:r>
      <w:proofErr w:type="spellStart"/>
      <w:r>
        <w:rPr>
          <w:rFonts w:ascii="Arial" w:hAnsi="Arial" w:cs="Arial"/>
        </w:rPr>
        <w:t>stockouts</w:t>
      </w:r>
      <w:proofErr w:type="spellEnd"/>
      <w:r>
        <w:rPr>
          <w:rFonts w:ascii="Arial" w:hAnsi="Arial" w:cs="Arial"/>
        </w:rPr>
        <w:t xml:space="preserve"> – not to mention the low disbursement rate and delays in the release of government funds for immunization and the presence of armed groups in some areas – it seems quite remarkable that the WHO-UNICEF national coverage estimate for DPT3 is 81%, a figure that surpasses that of several other countries in the region (e.g., Nigeria, Uganda, Chad)</w:t>
      </w:r>
      <w:r w:rsidR="00F453F4">
        <w:rPr>
          <w:rFonts w:ascii="Arial" w:hAnsi="Arial" w:cs="Arial"/>
        </w:rPr>
        <w:t xml:space="preserve"> and matches that of Indonesia</w:t>
      </w:r>
      <w:r>
        <w:rPr>
          <w:rFonts w:ascii="Arial" w:hAnsi="Arial" w:cs="Arial"/>
        </w:rPr>
        <w:t xml:space="preserve">. It may be that the WUENIC estimate is high, given </w:t>
      </w:r>
      <w:r w:rsidR="000178D5">
        <w:rPr>
          <w:rFonts w:ascii="Arial" w:hAnsi="Arial" w:cs="Arial"/>
        </w:rPr>
        <w:t xml:space="preserve">the </w:t>
      </w:r>
      <w:r>
        <w:rPr>
          <w:rFonts w:ascii="Arial" w:hAnsi="Arial" w:cs="Arial"/>
        </w:rPr>
        <w:t>14 percentage point</w:t>
      </w:r>
      <w:r w:rsidR="000178D5">
        <w:rPr>
          <w:rFonts w:ascii="Arial" w:hAnsi="Arial" w:cs="Arial"/>
        </w:rPr>
        <w:t xml:space="preserve"> difference</w:t>
      </w:r>
      <w:r>
        <w:rPr>
          <w:rFonts w:ascii="Arial" w:hAnsi="Arial" w:cs="Arial"/>
        </w:rPr>
        <w:t xml:space="preserve"> between the WUENIC and DHS DPT3 coverage estimates for 2012. Other possible explanations for this relatively high coverage include:</w:t>
      </w:r>
      <w:r w:rsidR="000178D5">
        <w:rPr>
          <w:rFonts w:ascii="Arial" w:hAnsi="Arial" w:cs="Arial"/>
        </w:rPr>
        <w:t xml:space="preserve"> </w:t>
      </w:r>
    </w:p>
    <w:p w14:paraId="45D8E018" w14:textId="528E957F" w:rsidR="00AA42DB" w:rsidRDefault="00DE3314" w:rsidP="00EB5A7D">
      <w:pPr>
        <w:pStyle w:val="ListParagraph"/>
        <w:numPr>
          <w:ilvl w:val="0"/>
          <w:numId w:val="25"/>
        </w:numPr>
        <w:contextualSpacing w:val="0"/>
        <w:rPr>
          <w:rFonts w:ascii="Arial" w:hAnsi="Arial" w:cs="Arial"/>
        </w:rPr>
      </w:pPr>
      <w:r w:rsidRPr="00EB5A7D">
        <w:rPr>
          <w:rFonts w:ascii="Arial" w:hAnsi="Arial" w:cs="Arial"/>
          <w:b/>
        </w:rPr>
        <w:t>Implementation of vaccination campaigns and special events</w:t>
      </w:r>
      <w:r>
        <w:rPr>
          <w:rFonts w:ascii="Arial" w:hAnsi="Arial" w:cs="Arial"/>
        </w:rPr>
        <w:t xml:space="preserve"> that raise awareness of and/or increase access to immunization. These include periodic intensified routine immunization campaigns (PIRIs) that have taken place in some provinces in recent years, and African Vaccination Weeks. In addition, the numerous polio campaigns that go door-to-door have increased the population’s knowledge about and demand for vaccination in general. </w:t>
      </w:r>
    </w:p>
    <w:p w14:paraId="047034A8" w14:textId="7116A5FD" w:rsidR="00DE3314" w:rsidRDefault="00DE3314" w:rsidP="00EB5A7D">
      <w:pPr>
        <w:pStyle w:val="ListParagraph"/>
        <w:numPr>
          <w:ilvl w:val="0"/>
          <w:numId w:val="25"/>
        </w:numPr>
        <w:contextualSpacing w:val="0"/>
        <w:rPr>
          <w:rFonts w:ascii="Arial" w:hAnsi="Arial" w:cs="Arial"/>
        </w:rPr>
      </w:pPr>
      <w:r w:rsidRPr="00EB5A7D">
        <w:rPr>
          <w:rFonts w:ascii="Arial" w:hAnsi="Arial" w:cs="Arial"/>
          <w:b/>
        </w:rPr>
        <w:t>Implementation of the Reach Every Zone (REZ) strategy</w:t>
      </w:r>
      <w:r>
        <w:rPr>
          <w:rFonts w:ascii="Arial" w:hAnsi="Arial" w:cs="Arial"/>
        </w:rPr>
        <w:t xml:space="preserve"> in 65 of the worse-performing districts (13% of all districts) through the GAVI HSS </w:t>
      </w:r>
      <w:r w:rsidR="00EB5A7D">
        <w:rPr>
          <w:rFonts w:ascii="Arial" w:hAnsi="Arial" w:cs="Arial"/>
        </w:rPr>
        <w:t xml:space="preserve">I </w:t>
      </w:r>
      <w:r>
        <w:rPr>
          <w:rFonts w:ascii="Arial" w:hAnsi="Arial" w:cs="Arial"/>
        </w:rPr>
        <w:t>grant, supplemented by support from the Gates Foundation, WHO and other partners. Immunization coverage in these districts has increased markedly from 2010 to 2014 (see Section B below)</w:t>
      </w:r>
      <w:r w:rsidR="00EB5A7D">
        <w:rPr>
          <w:rFonts w:ascii="Arial" w:hAnsi="Arial" w:cs="Arial"/>
        </w:rPr>
        <w:t xml:space="preserve">. Through the HSS II grant, the number of target districts for REZ support has increased to 112. </w:t>
      </w:r>
    </w:p>
    <w:p w14:paraId="02CEA7AB" w14:textId="77777777" w:rsidR="009318B8" w:rsidRPr="00371B50" w:rsidRDefault="00371B50" w:rsidP="00371B50">
      <w:pPr>
        <w:rPr>
          <w:rFonts w:ascii="Arial" w:hAnsi="Arial" w:cs="Arial"/>
          <w:b/>
        </w:rPr>
      </w:pPr>
      <w:r w:rsidRPr="00371B50">
        <w:rPr>
          <w:rFonts w:ascii="Arial" w:hAnsi="Arial" w:cs="Arial"/>
          <w:b/>
        </w:rPr>
        <w:t>3.4</w:t>
      </w:r>
      <w:r w:rsidRPr="00371B50">
        <w:rPr>
          <w:rFonts w:ascii="Arial" w:hAnsi="Arial" w:cs="Arial"/>
          <w:b/>
        </w:rPr>
        <w:tab/>
        <w:t>Introduce new and improved vaccines and technologies</w:t>
      </w:r>
    </w:p>
    <w:p w14:paraId="4D02EA11" w14:textId="6364BA9F" w:rsidR="00824C6B" w:rsidRDefault="006262C9" w:rsidP="00EB5A7D">
      <w:pPr>
        <w:rPr>
          <w:rFonts w:ascii="Arial" w:hAnsi="Arial" w:cs="Arial"/>
        </w:rPr>
      </w:pPr>
      <w:r>
        <w:rPr>
          <w:rFonts w:ascii="Arial" w:hAnsi="Arial" w:cs="Arial"/>
        </w:rPr>
        <w:t>DRC introduce</w:t>
      </w:r>
      <w:r w:rsidR="000178D5">
        <w:rPr>
          <w:rFonts w:ascii="Arial" w:hAnsi="Arial" w:cs="Arial"/>
        </w:rPr>
        <w:t>d</w:t>
      </w:r>
      <w:r>
        <w:rPr>
          <w:rFonts w:ascii="Arial" w:hAnsi="Arial" w:cs="Arial"/>
        </w:rPr>
        <w:t xml:space="preserve"> PCV-13 vaccine over a 2.5 year period from 2011 to 2013. The introduction was phased in and delayed due to the Government defaulting on its GAVI co-financing obligations and to delays in procuring and installing cold chain equipment needed to accommodate the new vaccine throughout the country. Post-introduction evaluations (PIEs) were conducted for the first four provinces, the fifth province and the country as a whole. The introduction was plague</w:t>
      </w:r>
      <w:r w:rsidR="00321B47">
        <w:rPr>
          <w:rFonts w:ascii="Arial" w:hAnsi="Arial" w:cs="Arial"/>
        </w:rPr>
        <w:t>d</w:t>
      </w:r>
      <w:r>
        <w:rPr>
          <w:rFonts w:ascii="Arial" w:hAnsi="Arial" w:cs="Arial"/>
        </w:rPr>
        <w:t xml:space="preserve"> by </w:t>
      </w:r>
      <w:proofErr w:type="spellStart"/>
      <w:r>
        <w:rPr>
          <w:rFonts w:ascii="Arial" w:hAnsi="Arial" w:cs="Arial"/>
        </w:rPr>
        <w:t>s</w:t>
      </w:r>
      <w:r w:rsidR="00321B47">
        <w:rPr>
          <w:rFonts w:ascii="Arial" w:hAnsi="Arial" w:cs="Arial"/>
        </w:rPr>
        <w:t>t</w:t>
      </w:r>
      <w:r>
        <w:rPr>
          <w:rFonts w:ascii="Arial" w:hAnsi="Arial" w:cs="Arial"/>
        </w:rPr>
        <w:t>ockouts</w:t>
      </w:r>
      <w:proofErr w:type="spellEnd"/>
      <w:r>
        <w:rPr>
          <w:rFonts w:ascii="Arial" w:hAnsi="Arial" w:cs="Arial"/>
        </w:rPr>
        <w:t xml:space="preserve"> of the vaccine at all levels, high wastage rates (11% in the facilities included in the national PIE), and high dropout rates between doses one and three (19% according to administrative data from 2013). However, the situation has improved</w:t>
      </w:r>
      <w:r w:rsidR="00321B47">
        <w:rPr>
          <w:rFonts w:ascii="Arial" w:hAnsi="Arial" w:cs="Arial"/>
        </w:rPr>
        <w:t xml:space="preserve"> since</w:t>
      </w:r>
      <w:r>
        <w:rPr>
          <w:rFonts w:ascii="Arial" w:hAnsi="Arial" w:cs="Arial"/>
        </w:rPr>
        <w:t xml:space="preserve">, with </w:t>
      </w:r>
      <w:r w:rsidR="00321B47">
        <w:rPr>
          <w:rFonts w:ascii="Arial" w:hAnsi="Arial" w:cs="Arial"/>
        </w:rPr>
        <w:t xml:space="preserve">the WHO-UNICEF estimates of PCV3 coverage </w:t>
      </w:r>
      <w:r w:rsidR="00F453F4">
        <w:rPr>
          <w:rFonts w:ascii="Arial" w:hAnsi="Arial" w:cs="Arial"/>
        </w:rPr>
        <w:t xml:space="preserve">reaching </w:t>
      </w:r>
      <w:r w:rsidR="00321B47">
        <w:rPr>
          <w:rFonts w:ascii="Arial" w:hAnsi="Arial" w:cs="Arial"/>
        </w:rPr>
        <w:t>73% by 2015. The PIE also described good planning and social mobilization for the PCV introduction, as well as good population acceptance of the vaccine.</w:t>
      </w:r>
    </w:p>
    <w:p w14:paraId="49F926C6" w14:textId="23FE5FD1" w:rsidR="00321B47" w:rsidRDefault="00321B47" w:rsidP="00EB5A7D">
      <w:pPr>
        <w:rPr>
          <w:rFonts w:ascii="Arial" w:hAnsi="Arial" w:cs="Arial"/>
        </w:rPr>
      </w:pPr>
      <w:r>
        <w:rPr>
          <w:rFonts w:ascii="Arial" w:hAnsi="Arial" w:cs="Arial"/>
        </w:rPr>
        <w:t xml:space="preserve">IPV was introduced over a four-month period in 2015, with few reported problems. Meningitis </w:t>
      </w:r>
      <w:proofErr w:type="gramStart"/>
      <w:r>
        <w:rPr>
          <w:rFonts w:ascii="Arial" w:hAnsi="Arial" w:cs="Arial"/>
        </w:rPr>
        <w:t>A</w:t>
      </w:r>
      <w:proofErr w:type="gramEnd"/>
      <w:r>
        <w:rPr>
          <w:rFonts w:ascii="Arial" w:hAnsi="Arial" w:cs="Arial"/>
        </w:rPr>
        <w:t xml:space="preserve"> vaccine campa</w:t>
      </w:r>
      <w:r w:rsidR="000A6F7C">
        <w:rPr>
          <w:rFonts w:ascii="Arial" w:hAnsi="Arial" w:cs="Arial"/>
        </w:rPr>
        <w:t>i</w:t>
      </w:r>
      <w:r>
        <w:rPr>
          <w:rFonts w:ascii="Arial" w:hAnsi="Arial" w:cs="Arial"/>
        </w:rPr>
        <w:t xml:space="preserve">gns were conducted </w:t>
      </w:r>
      <w:r w:rsidR="00F453F4">
        <w:rPr>
          <w:rFonts w:ascii="Arial" w:hAnsi="Arial" w:cs="Arial"/>
        </w:rPr>
        <w:t>in 2015/16</w:t>
      </w:r>
      <w:r w:rsidRPr="00321B47">
        <w:rPr>
          <w:rFonts w:ascii="Arial" w:hAnsi="Arial" w:cs="Arial"/>
          <w:color w:val="FF0000"/>
        </w:rPr>
        <w:t xml:space="preserve"> </w:t>
      </w:r>
      <w:r>
        <w:rPr>
          <w:rFonts w:ascii="Arial" w:hAnsi="Arial" w:cs="Arial"/>
        </w:rPr>
        <w:t>for 1-29 year olds in the country’s three provinces where the disease is endemic. No decision has yet been made concerning its introduction into the routine immunization schedule in these three provinces.</w:t>
      </w:r>
    </w:p>
    <w:p w14:paraId="7ADC1C59" w14:textId="3E6B614E" w:rsidR="00321B47" w:rsidRPr="006262C9" w:rsidRDefault="00321B47" w:rsidP="00EB5A7D">
      <w:pPr>
        <w:rPr>
          <w:rFonts w:ascii="Arial" w:hAnsi="Arial" w:cs="Arial"/>
        </w:rPr>
      </w:pPr>
      <w:r>
        <w:rPr>
          <w:rFonts w:ascii="Arial" w:hAnsi="Arial" w:cs="Arial"/>
        </w:rPr>
        <w:t xml:space="preserve">Rotavirus vaccine introduction was originally planned for 2014, but was postponed as a result of the country’s problems meeting its co-financing obligations and the prolonged roll-out of the PCV introduction. According to the </w:t>
      </w:r>
      <w:proofErr w:type="spellStart"/>
      <w:r>
        <w:rPr>
          <w:rFonts w:ascii="Arial" w:hAnsi="Arial" w:cs="Arial"/>
        </w:rPr>
        <w:t>cMYP</w:t>
      </w:r>
      <w:proofErr w:type="spellEnd"/>
      <w:r>
        <w:rPr>
          <w:rFonts w:ascii="Arial" w:hAnsi="Arial" w:cs="Arial"/>
        </w:rPr>
        <w:t xml:space="preserve">, the country is supposed to introduce the vaccine by 2019. DRC also plans to apply to GAVI in early 2017 for a pilot HPV project in two districts. As mentioned above, the </w:t>
      </w:r>
      <w:proofErr w:type="spellStart"/>
      <w:r>
        <w:rPr>
          <w:rFonts w:ascii="Arial" w:hAnsi="Arial" w:cs="Arial"/>
        </w:rPr>
        <w:t>cMYP</w:t>
      </w:r>
      <w:proofErr w:type="spellEnd"/>
      <w:r>
        <w:rPr>
          <w:rFonts w:ascii="Arial" w:hAnsi="Arial" w:cs="Arial"/>
        </w:rPr>
        <w:t xml:space="preserve"> also calls for measles-rubella campaigns to </w:t>
      </w:r>
      <w:r>
        <w:rPr>
          <w:rFonts w:ascii="Arial" w:hAnsi="Arial" w:cs="Arial"/>
        </w:rPr>
        <w:lastRenderedPageBreak/>
        <w:t>take place in 2017, to be followed by introduction of two MR doses into the routine program in 2018. Preparation of the application to GAVI for the SIAs has not yet begun.</w:t>
      </w:r>
    </w:p>
    <w:p w14:paraId="03DA68B2" w14:textId="693BCCF2" w:rsidR="00457E0A" w:rsidRDefault="00436537" w:rsidP="00457E0A">
      <w:pPr>
        <w:pStyle w:val="ListParagraph"/>
        <w:numPr>
          <w:ilvl w:val="0"/>
          <w:numId w:val="3"/>
        </w:numPr>
        <w:rPr>
          <w:rFonts w:ascii="Arial" w:hAnsi="Arial" w:cs="Arial"/>
          <w:b/>
          <w:sz w:val="24"/>
        </w:rPr>
      </w:pPr>
      <w:r>
        <w:rPr>
          <w:rFonts w:ascii="Arial" w:hAnsi="Arial" w:cs="Arial"/>
          <w:b/>
          <w:sz w:val="24"/>
        </w:rPr>
        <w:t>P</w:t>
      </w:r>
      <w:r w:rsidR="00457E0A" w:rsidRPr="00457E0A">
        <w:rPr>
          <w:rFonts w:ascii="Arial" w:hAnsi="Arial" w:cs="Arial"/>
          <w:b/>
          <w:sz w:val="24"/>
        </w:rPr>
        <w:t xml:space="preserve">artner support </w:t>
      </w:r>
      <w:r>
        <w:rPr>
          <w:rFonts w:ascii="Arial" w:hAnsi="Arial" w:cs="Arial"/>
          <w:b/>
          <w:sz w:val="24"/>
        </w:rPr>
        <w:t>to</w:t>
      </w:r>
      <w:r w:rsidR="00457E0A" w:rsidRPr="00457E0A">
        <w:rPr>
          <w:rFonts w:ascii="Arial" w:hAnsi="Arial" w:cs="Arial"/>
          <w:b/>
          <w:sz w:val="24"/>
        </w:rPr>
        <w:t xml:space="preserve"> </w:t>
      </w:r>
      <w:r>
        <w:rPr>
          <w:rFonts w:ascii="Arial" w:hAnsi="Arial" w:cs="Arial"/>
          <w:b/>
          <w:sz w:val="24"/>
        </w:rPr>
        <w:t>address remaining challenges to meet the GVAP goals and targets</w:t>
      </w:r>
    </w:p>
    <w:p w14:paraId="58326110" w14:textId="33C46F22" w:rsidR="009E262A" w:rsidRDefault="009E262A" w:rsidP="00EC5704">
      <w:pPr>
        <w:rPr>
          <w:rFonts w:ascii="Arial" w:hAnsi="Arial" w:cs="Arial"/>
        </w:rPr>
      </w:pPr>
      <w:r>
        <w:rPr>
          <w:rFonts w:ascii="Arial" w:hAnsi="Arial" w:cs="Arial"/>
        </w:rPr>
        <w:t xml:space="preserve">Partners, including GAVI, WHO, UNICEF, USAID and others, have been </w:t>
      </w:r>
      <w:r w:rsidR="00A40512">
        <w:rPr>
          <w:rFonts w:ascii="Arial" w:hAnsi="Arial" w:cs="Arial"/>
        </w:rPr>
        <w:t>instrumental</w:t>
      </w:r>
      <w:r>
        <w:rPr>
          <w:rFonts w:ascii="Arial" w:hAnsi="Arial" w:cs="Arial"/>
        </w:rPr>
        <w:t xml:space="preserve"> to the functioning and improvements of DRC’s immunization program, providing financing, manpower, technical assistance and training. A</w:t>
      </w:r>
      <w:r w:rsidR="00F453F4">
        <w:rPr>
          <w:rFonts w:ascii="Arial" w:hAnsi="Arial" w:cs="Arial"/>
        </w:rPr>
        <w:t xml:space="preserve">s mentioned above, they have covered the vast majority </w:t>
      </w:r>
      <w:r>
        <w:rPr>
          <w:rFonts w:ascii="Arial" w:hAnsi="Arial" w:cs="Arial"/>
        </w:rPr>
        <w:t xml:space="preserve">of the costs of the program </w:t>
      </w:r>
      <w:r w:rsidR="00F453F4">
        <w:rPr>
          <w:rFonts w:ascii="Arial" w:hAnsi="Arial" w:cs="Arial"/>
        </w:rPr>
        <w:t>for many year</w:t>
      </w:r>
      <w:r>
        <w:rPr>
          <w:rFonts w:ascii="Arial" w:hAnsi="Arial" w:cs="Arial"/>
        </w:rPr>
        <w:t>s. Much of the financial and technical support has gone into:</w:t>
      </w:r>
    </w:p>
    <w:p w14:paraId="458BED93" w14:textId="17C54770" w:rsidR="009E262A" w:rsidRDefault="009E262A" w:rsidP="009E262A">
      <w:pPr>
        <w:pStyle w:val="ListParagraph"/>
        <w:numPr>
          <w:ilvl w:val="0"/>
          <w:numId w:val="27"/>
        </w:numPr>
        <w:contextualSpacing w:val="0"/>
        <w:rPr>
          <w:rFonts w:ascii="Arial" w:hAnsi="Arial" w:cs="Arial"/>
        </w:rPr>
      </w:pPr>
      <w:r w:rsidRPr="009E262A">
        <w:rPr>
          <w:rFonts w:ascii="Arial" w:hAnsi="Arial" w:cs="Arial"/>
          <w:b/>
        </w:rPr>
        <w:t>Immunization campaigns</w:t>
      </w:r>
      <w:r>
        <w:rPr>
          <w:rFonts w:ascii="Arial" w:hAnsi="Arial" w:cs="Arial"/>
        </w:rPr>
        <w:t xml:space="preserve"> (polio, measles, meningitis A), with WHO, UNICEF and GAVI covering most of the operational costs of the campaigns and providing technical assistance, along with other partners, in communications, planning and other activities. SIAs accounted for 13% of the EPI expenditures in 2015, most of that for polio campaigns;</w:t>
      </w:r>
      <w:r w:rsidR="00F453F4">
        <w:rPr>
          <w:rStyle w:val="FootnoteReference"/>
          <w:rFonts w:ascii="Arial" w:hAnsi="Arial" w:cs="Arial"/>
        </w:rPr>
        <w:footnoteReference w:id="40"/>
      </w:r>
    </w:p>
    <w:p w14:paraId="6BC46F61" w14:textId="46DE7241" w:rsidR="009E262A" w:rsidRDefault="009E262A" w:rsidP="009E262A">
      <w:pPr>
        <w:pStyle w:val="ListParagraph"/>
        <w:numPr>
          <w:ilvl w:val="0"/>
          <w:numId w:val="27"/>
        </w:numPr>
        <w:contextualSpacing w:val="0"/>
        <w:rPr>
          <w:rFonts w:ascii="Arial" w:hAnsi="Arial" w:cs="Arial"/>
        </w:rPr>
      </w:pPr>
      <w:r w:rsidRPr="009E262A">
        <w:rPr>
          <w:rFonts w:ascii="Arial" w:hAnsi="Arial" w:cs="Arial"/>
          <w:b/>
        </w:rPr>
        <w:t>Disease surveillance</w:t>
      </w:r>
      <w:r>
        <w:rPr>
          <w:rFonts w:ascii="Arial" w:hAnsi="Arial" w:cs="Arial"/>
        </w:rPr>
        <w:t xml:space="preserve">: WHO heavily supports the country’s </w:t>
      </w:r>
      <w:r w:rsidR="000178D5">
        <w:rPr>
          <w:rFonts w:ascii="Arial" w:hAnsi="Arial" w:cs="Arial"/>
        </w:rPr>
        <w:t xml:space="preserve">surveillance system for </w:t>
      </w:r>
      <w:r>
        <w:rPr>
          <w:rFonts w:ascii="Arial" w:hAnsi="Arial" w:cs="Arial"/>
        </w:rPr>
        <w:t>polio and other vaccine-preventable disease</w:t>
      </w:r>
      <w:r w:rsidR="000178D5">
        <w:rPr>
          <w:rFonts w:ascii="Arial" w:hAnsi="Arial" w:cs="Arial"/>
        </w:rPr>
        <w:t>s (VPDs)</w:t>
      </w:r>
      <w:r>
        <w:rPr>
          <w:rFonts w:ascii="Arial" w:hAnsi="Arial" w:cs="Arial"/>
        </w:rPr>
        <w:t xml:space="preserve">, financing a team of around 100 people working in the provinces, including surveillance medical officers, logisticians, administrative assistants and drivers. While the team is supported by polio funding, they also work to improve case-based surveillance of measles and other VPDs. Periodic international STOP teams, described above, provide additional support to the country in </w:t>
      </w:r>
      <w:r w:rsidR="000178D5">
        <w:rPr>
          <w:rFonts w:ascii="Arial" w:hAnsi="Arial" w:cs="Arial"/>
        </w:rPr>
        <w:t xml:space="preserve">conducting </w:t>
      </w:r>
      <w:r>
        <w:rPr>
          <w:rFonts w:ascii="Arial" w:hAnsi="Arial" w:cs="Arial"/>
        </w:rPr>
        <w:t>disease surveillance and organizing SIAs.</w:t>
      </w:r>
    </w:p>
    <w:p w14:paraId="5477D14C" w14:textId="0CD98DA6" w:rsidR="009E262A" w:rsidRDefault="009E262A" w:rsidP="009E262A">
      <w:pPr>
        <w:pStyle w:val="ListParagraph"/>
        <w:numPr>
          <w:ilvl w:val="0"/>
          <w:numId w:val="27"/>
        </w:numPr>
        <w:contextualSpacing w:val="0"/>
        <w:rPr>
          <w:rFonts w:ascii="Arial" w:hAnsi="Arial" w:cs="Arial"/>
        </w:rPr>
      </w:pPr>
      <w:r>
        <w:rPr>
          <w:rFonts w:ascii="Arial" w:hAnsi="Arial" w:cs="Arial"/>
          <w:b/>
        </w:rPr>
        <w:t>New vaccine introductions</w:t>
      </w:r>
      <w:r w:rsidRPr="009E262A">
        <w:rPr>
          <w:rFonts w:ascii="Arial" w:hAnsi="Arial" w:cs="Arial"/>
        </w:rPr>
        <w:t>:</w:t>
      </w:r>
      <w:r>
        <w:rPr>
          <w:rFonts w:ascii="Arial" w:hAnsi="Arial" w:cs="Arial"/>
        </w:rPr>
        <w:t xml:space="preserve"> </w:t>
      </w:r>
      <w:r w:rsidR="00A40512">
        <w:rPr>
          <w:rFonts w:ascii="Arial" w:hAnsi="Arial" w:cs="Arial"/>
        </w:rPr>
        <w:t>Partners have been critical to the introduction of PCV and IPV, providing assistance in planning, training, communications/social mobilization and other areas. GAVI financial support for pentavalent, PCV and yellow fever vaccines accounted for 45% of the total EPI expenditures in 2014 ($51 million out of $114 million).</w:t>
      </w:r>
      <w:r w:rsidR="00C737EA">
        <w:rPr>
          <w:rStyle w:val="FootnoteReference"/>
          <w:rFonts w:ascii="Arial" w:hAnsi="Arial" w:cs="Arial"/>
        </w:rPr>
        <w:footnoteReference w:id="41"/>
      </w:r>
    </w:p>
    <w:p w14:paraId="2D81829B" w14:textId="5ED1F084" w:rsidR="00A40512" w:rsidRDefault="00A40512" w:rsidP="00A40512">
      <w:pPr>
        <w:rPr>
          <w:rFonts w:ascii="Arial" w:hAnsi="Arial" w:cs="Arial"/>
        </w:rPr>
      </w:pPr>
      <w:r>
        <w:rPr>
          <w:rFonts w:ascii="Arial" w:hAnsi="Arial" w:cs="Arial"/>
        </w:rPr>
        <w:t>Three projects or activities w</w:t>
      </w:r>
      <w:r w:rsidR="000178D5">
        <w:rPr>
          <w:rFonts w:ascii="Arial" w:hAnsi="Arial" w:cs="Arial"/>
        </w:rPr>
        <w:t>h</w:t>
      </w:r>
      <w:r>
        <w:rPr>
          <w:rFonts w:ascii="Arial" w:hAnsi="Arial" w:cs="Arial"/>
        </w:rPr>
        <w:t>ere partner support has especially made a difference to the immunization program are highlighted below:</w:t>
      </w:r>
    </w:p>
    <w:p w14:paraId="2A6F3F36" w14:textId="521D8E65" w:rsidR="005765C7" w:rsidRDefault="00A40512" w:rsidP="00044F3E">
      <w:pPr>
        <w:pStyle w:val="ListParagraph"/>
        <w:numPr>
          <w:ilvl w:val="0"/>
          <w:numId w:val="28"/>
        </w:numPr>
        <w:contextualSpacing w:val="0"/>
        <w:rPr>
          <w:rFonts w:ascii="Arial" w:hAnsi="Arial" w:cs="Arial"/>
        </w:rPr>
      </w:pPr>
      <w:r w:rsidRPr="00A40512">
        <w:rPr>
          <w:rFonts w:ascii="Arial" w:hAnsi="Arial" w:cs="Arial"/>
          <w:b/>
        </w:rPr>
        <w:t>Support for implementation of the Reach Every Zone (REZ) approach</w:t>
      </w:r>
      <w:r>
        <w:rPr>
          <w:rFonts w:ascii="Arial" w:hAnsi="Arial" w:cs="Arial"/>
        </w:rPr>
        <w:t xml:space="preserve">. </w:t>
      </w:r>
      <w:r w:rsidR="005765C7">
        <w:rPr>
          <w:rFonts w:ascii="Arial" w:hAnsi="Arial" w:cs="Arial"/>
        </w:rPr>
        <w:t>GAVI, through the HSS grant, along with the Gates Foundation and other partners, ha</w:t>
      </w:r>
      <w:r w:rsidR="000178D5">
        <w:rPr>
          <w:rFonts w:ascii="Arial" w:hAnsi="Arial" w:cs="Arial"/>
        </w:rPr>
        <w:t>s</w:t>
      </w:r>
      <w:r w:rsidR="005765C7">
        <w:rPr>
          <w:rFonts w:ascii="Arial" w:hAnsi="Arial" w:cs="Arial"/>
        </w:rPr>
        <w:t xml:space="preserve"> provided financial and technical assistance to implement the REZ approach in 65 of the country’s 516 health districts (zones de </w:t>
      </w:r>
      <w:proofErr w:type="spellStart"/>
      <w:r w:rsidR="005765C7">
        <w:rPr>
          <w:rFonts w:ascii="Arial" w:hAnsi="Arial" w:cs="Arial"/>
        </w:rPr>
        <w:t>santés</w:t>
      </w:r>
      <w:proofErr w:type="spellEnd"/>
      <w:r w:rsidR="005765C7">
        <w:rPr>
          <w:rFonts w:ascii="Arial" w:hAnsi="Arial" w:cs="Arial"/>
        </w:rPr>
        <w:t>). Cataly</w:t>
      </w:r>
      <w:r w:rsidR="00C737EA">
        <w:rPr>
          <w:rFonts w:ascii="Arial" w:hAnsi="Arial" w:cs="Arial"/>
        </w:rPr>
        <w:t>tic</w:t>
      </w:r>
      <w:r w:rsidR="005765C7">
        <w:rPr>
          <w:rFonts w:ascii="Arial" w:hAnsi="Arial" w:cs="Arial"/>
        </w:rPr>
        <w:t xml:space="preserve"> funding, along with technical assistance</w:t>
      </w:r>
      <w:r w:rsidR="000178D5">
        <w:rPr>
          <w:rFonts w:ascii="Arial" w:hAnsi="Arial" w:cs="Arial"/>
        </w:rPr>
        <w:t>,</w:t>
      </w:r>
      <w:r w:rsidR="005765C7">
        <w:rPr>
          <w:rFonts w:ascii="Arial" w:hAnsi="Arial" w:cs="Arial"/>
        </w:rPr>
        <w:t xml:space="preserve"> has enabled these districts to conduct MLM training, pay for vaccine transport and cold chain maintenance, purchase cold chain equipment, conduct many more outreach activities (based on micro-planning</w:t>
      </w:r>
      <w:r w:rsidR="000178D5">
        <w:rPr>
          <w:rFonts w:ascii="Arial" w:hAnsi="Arial" w:cs="Arial"/>
        </w:rPr>
        <w:t>)</w:t>
      </w:r>
      <w:r w:rsidR="005765C7">
        <w:rPr>
          <w:rFonts w:ascii="Arial" w:hAnsi="Arial" w:cs="Arial"/>
        </w:rPr>
        <w:t xml:space="preserve">, and increase supportive supervision and monitoring, including monthly meetings to review immunization coverage and activities. </w:t>
      </w:r>
      <w:r w:rsidR="00C737EA">
        <w:rPr>
          <w:rFonts w:ascii="Arial" w:hAnsi="Arial" w:cs="Arial"/>
        </w:rPr>
        <w:t>This support</w:t>
      </w:r>
      <w:r w:rsidR="005765C7">
        <w:rPr>
          <w:rFonts w:ascii="Arial" w:hAnsi="Arial" w:cs="Arial"/>
        </w:rPr>
        <w:t xml:space="preserve"> has also helped activate community participation in default tracking and in promoting health and immunization services. An external evaluation showed an increase </w:t>
      </w:r>
      <w:proofErr w:type="gramStart"/>
      <w:r w:rsidR="005765C7">
        <w:rPr>
          <w:rFonts w:ascii="Arial" w:hAnsi="Arial" w:cs="Arial"/>
        </w:rPr>
        <w:t xml:space="preserve">in pentavalent 3 coverage in these 65 districts from 57% in 2010 to 80% in 2014, and a doubling of districts </w:t>
      </w:r>
      <w:r w:rsidR="005765C7">
        <w:rPr>
          <w:rFonts w:ascii="Arial" w:hAnsi="Arial" w:cs="Arial"/>
        </w:rPr>
        <w:lastRenderedPageBreak/>
        <w:t>reaching 80% coverage in three years (Figure 2)</w:t>
      </w:r>
      <w:proofErr w:type="gramEnd"/>
      <w:r w:rsidR="005765C7">
        <w:rPr>
          <w:rFonts w:ascii="Arial" w:hAnsi="Arial" w:cs="Arial"/>
        </w:rPr>
        <w:t>.</w:t>
      </w:r>
      <w:r w:rsidR="00C737EA">
        <w:rPr>
          <w:rStyle w:val="FootnoteReference"/>
          <w:rFonts w:ascii="Arial" w:hAnsi="Arial" w:cs="Arial"/>
        </w:rPr>
        <w:footnoteReference w:id="42"/>
      </w:r>
      <w:r w:rsidR="005765C7">
        <w:rPr>
          <w:rFonts w:ascii="Arial" w:hAnsi="Arial" w:cs="Arial"/>
        </w:rPr>
        <w:t xml:space="preserve"> Support for REZ implementation is being expanded to 112 districts in all through the HSS II grant. Sustainability of this effort, once partner support ends, is a major question.</w:t>
      </w:r>
    </w:p>
    <w:p w14:paraId="04E0A141" w14:textId="18F76FA3" w:rsidR="00044F3E" w:rsidRDefault="00044F3E" w:rsidP="00044F3E">
      <w:pPr>
        <w:pStyle w:val="ListParagraph"/>
        <w:numPr>
          <w:ilvl w:val="0"/>
          <w:numId w:val="28"/>
        </w:numPr>
        <w:contextualSpacing w:val="0"/>
        <w:rPr>
          <w:rFonts w:ascii="Arial" w:hAnsi="Arial" w:cs="Arial"/>
        </w:rPr>
      </w:pPr>
      <w:r w:rsidRPr="000B0082">
        <w:rPr>
          <w:rFonts w:ascii="Arial" w:hAnsi="Arial" w:cs="Arial"/>
          <w:b/>
        </w:rPr>
        <w:t xml:space="preserve">An </w:t>
      </w:r>
      <w:r w:rsidR="000B0082">
        <w:rPr>
          <w:rFonts w:ascii="Arial" w:hAnsi="Arial" w:cs="Arial"/>
          <w:b/>
        </w:rPr>
        <w:t>upgrading</w:t>
      </w:r>
      <w:r w:rsidRPr="000B0082">
        <w:rPr>
          <w:rFonts w:ascii="Arial" w:hAnsi="Arial" w:cs="Arial"/>
          <w:b/>
        </w:rPr>
        <w:t xml:space="preserve"> of the vaccine supply chain and cold chain system</w:t>
      </w:r>
      <w:r>
        <w:rPr>
          <w:rFonts w:ascii="Arial" w:hAnsi="Arial" w:cs="Arial"/>
        </w:rPr>
        <w:t xml:space="preserve">. With support from the GAVI HSS grant, UNICEF and WHO, DRC is substantially expanding and modernizing its cold chain system to accommodate new vaccines and greatly improve its distribution and storage of vaccines. In addition to constructing new cold rooms in Kinshasa, the project involves establishing </w:t>
      </w:r>
      <w:r w:rsidR="00C737EA">
        <w:rPr>
          <w:rFonts w:ascii="Arial" w:hAnsi="Arial" w:cs="Arial"/>
        </w:rPr>
        <w:t>three</w:t>
      </w:r>
      <w:r>
        <w:rPr>
          <w:rFonts w:ascii="Arial" w:hAnsi="Arial" w:cs="Arial"/>
        </w:rPr>
        <w:t xml:space="preserve"> sub-national distribution hubs to which vaccines will be flown directly from the central stores. This should lessen </w:t>
      </w:r>
      <w:r w:rsidR="000178D5">
        <w:rPr>
          <w:rFonts w:ascii="Arial" w:hAnsi="Arial" w:cs="Arial"/>
        </w:rPr>
        <w:t>t</w:t>
      </w:r>
      <w:r>
        <w:rPr>
          <w:rFonts w:ascii="Arial" w:hAnsi="Arial" w:cs="Arial"/>
        </w:rPr>
        <w:t>he storage capacity needs of the cent</w:t>
      </w:r>
      <w:r w:rsidR="000178D5">
        <w:rPr>
          <w:rFonts w:ascii="Arial" w:hAnsi="Arial" w:cs="Arial"/>
        </w:rPr>
        <w:t>ral level</w:t>
      </w:r>
      <w:r>
        <w:rPr>
          <w:rFonts w:ascii="Arial" w:hAnsi="Arial" w:cs="Arial"/>
        </w:rPr>
        <w:t xml:space="preserve"> and improve efficiency in vaccine distribution to the DPSs and districts. To reduce the system’s dependence on a few airlines as well as airfreight costs, GAVI funds are being used to acquire </w:t>
      </w:r>
      <w:r w:rsidR="00C737EA">
        <w:rPr>
          <w:rFonts w:ascii="Arial" w:hAnsi="Arial" w:cs="Arial"/>
        </w:rPr>
        <w:t>a</w:t>
      </w:r>
      <w:r>
        <w:rPr>
          <w:rFonts w:ascii="Arial" w:hAnsi="Arial" w:cs="Arial"/>
        </w:rPr>
        <w:t xml:space="preserve"> boat equipped with cold chain equipment that will travel up the Congo River to deliver vaccines and other medical supplies to the new hubs. </w:t>
      </w:r>
      <w:proofErr w:type="spellStart"/>
      <w:r>
        <w:rPr>
          <w:rFonts w:ascii="Arial" w:hAnsi="Arial" w:cs="Arial"/>
        </w:rPr>
        <w:t>Solarization</w:t>
      </w:r>
      <w:proofErr w:type="spellEnd"/>
      <w:r>
        <w:rPr>
          <w:rFonts w:ascii="Arial" w:hAnsi="Arial" w:cs="Arial"/>
        </w:rPr>
        <w:t xml:space="preserve"> of the cold chain system to reduce the costs of procuring and distributing fuel, is another major component, with the procurement of solar refrigerators at the central, hub and DPS levels, as well as solar generators in all DPSs currently off the grid or that experience frequent power outages. These stores are also being equipped with remote temperature monitoring systems.</w:t>
      </w:r>
    </w:p>
    <w:p w14:paraId="0FBD4B1A" w14:textId="0C0E0614" w:rsidR="00044F3E" w:rsidRPr="00651C67" w:rsidRDefault="00651C67" w:rsidP="00651C67">
      <w:pPr>
        <w:pStyle w:val="Caption"/>
        <w:rPr>
          <w:rFonts w:ascii="Arial" w:hAnsi="Arial" w:cs="Arial"/>
          <w:b w:val="0"/>
          <w:color w:val="auto"/>
          <w:sz w:val="22"/>
        </w:rPr>
      </w:pPr>
      <w:r w:rsidRPr="00651C67">
        <w:rPr>
          <w:rFonts w:ascii="Arial" w:hAnsi="Arial" w:cs="Arial"/>
          <w:color w:val="auto"/>
          <w:sz w:val="22"/>
        </w:rPr>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3</w:t>
      </w:r>
      <w:r w:rsidRPr="00651C67">
        <w:rPr>
          <w:rFonts w:ascii="Arial" w:hAnsi="Arial" w:cs="Arial"/>
          <w:color w:val="auto"/>
          <w:sz w:val="22"/>
        </w:rPr>
        <w:fldChar w:fldCharType="end"/>
      </w:r>
      <w:r w:rsidRPr="00651C67">
        <w:rPr>
          <w:rFonts w:ascii="Arial" w:hAnsi="Arial" w:cs="Arial"/>
          <w:color w:val="auto"/>
          <w:sz w:val="22"/>
        </w:rPr>
        <w:t xml:space="preserve">: </w:t>
      </w:r>
      <w:r w:rsidR="000B0082" w:rsidRPr="00651C67">
        <w:rPr>
          <w:rFonts w:ascii="Arial" w:hAnsi="Arial" w:cs="Arial"/>
          <w:color w:val="auto"/>
          <w:sz w:val="22"/>
        </w:rPr>
        <w:t>Change in DTP3 coverage in the 65 districts receiving support for Reach Every Zone (REZ) implementation</w:t>
      </w:r>
    </w:p>
    <w:p w14:paraId="2D02436B" w14:textId="05C2B1E9" w:rsidR="000B0082" w:rsidRPr="00044F3E" w:rsidRDefault="000B0082" w:rsidP="000B0082">
      <w:pPr>
        <w:spacing w:after="0"/>
        <w:ind w:left="360"/>
        <w:jc w:val="center"/>
        <w:rPr>
          <w:rFonts w:ascii="Arial" w:hAnsi="Arial" w:cs="Arial"/>
        </w:rPr>
      </w:pPr>
      <w:r w:rsidRPr="000B0082">
        <w:rPr>
          <w:rFonts w:ascii="Arial" w:hAnsi="Arial" w:cs="Arial"/>
          <w:noProof/>
          <w:lang w:eastAsia="zh-CN"/>
        </w:rPr>
        <w:drawing>
          <wp:inline distT="0" distB="0" distL="0" distR="0" wp14:anchorId="192FEB0C" wp14:editId="5E58F610">
            <wp:extent cx="18192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9275" cy="276225"/>
                    </a:xfrm>
                    <a:prstGeom prst="rect">
                      <a:avLst/>
                    </a:prstGeom>
                    <a:noFill/>
                    <a:ln>
                      <a:noFill/>
                    </a:ln>
                  </pic:spPr>
                </pic:pic>
              </a:graphicData>
            </a:graphic>
          </wp:inline>
        </w:drawing>
      </w:r>
      <w:r w:rsidRPr="000B0082">
        <w:rPr>
          <w:rFonts w:ascii="Arial" w:hAnsi="Arial" w:cs="Arial"/>
          <w:noProof/>
          <w:lang w:eastAsia="zh-CN"/>
        </w:rPr>
        <w:drawing>
          <wp:inline distT="0" distB="0" distL="0" distR="0" wp14:anchorId="73C38A7F" wp14:editId="21E39850">
            <wp:extent cx="4828928" cy="3124200"/>
            <wp:effectExtent l="19050" t="19050" r="1016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0148" cy="3137929"/>
                    </a:xfrm>
                    <a:prstGeom prst="rect">
                      <a:avLst/>
                    </a:prstGeom>
                    <a:noFill/>
                    <a:ln>
                      <a:solidFill>
                        <a:schemeClr val="tx1"/>
                      </a:solidFill>
                    </a:ln>
                  </pic:spPr>
                </pic:pic>
              </a:graphicData>
            </a:graphic>
          </wp:inline>
        </w:drawing>
      </w:r>
    </w:p>
    <w:p w14:paraId="09894600" w14:textId="25B249B6" w:rsidR="00A40512" w:rsidRPr="000B0082" w:rsidRDefault="000B0082" w:rsidP="000B0082">
      <w:pPr>
        <w:rPr>
          <w:rFonts w:ascii="Arial" w:hAnsi="Arial" w:cs="Arial"/>
          <w:sz w:val="18"/>
          <w:szCs w:val="18"/>
        </w:rPr>
      </w:pPr>
      <w:r w:rsidRPr="000B0082">
        <w:rPr>
          <w:rFonts w:ascii="Arial" w:hAnsi="Arial" w:cs="Arial"/>
          <w:sz w:val="18"/>
          <w:szCs w:val="18"/>
        </w:rPr>
        <w:tab/>
        <w:t>Source: 2015 Joint Appraisal report</w:t>
      </w:r>
      <w:r w:rsidR="005765C7" w:rsidRPr="000B0082">
        <w:rPr>
          <w:rFonts w:ascii="Arial" w:hAnsi="Arial" w:cs="Arial"/>
          <w:sz w:val="18"/>
          <w:szCs w:val="18"/>
        </w:rPr>
        <w:t xml:space="preserve"> </w:t>
      </w:r>
    </w:p>
    <w:p w14:paraId="66D9B74B" w14:textId="77777777" w:rsidR="00BA768D" w:rsidRDefault="000B0082" w:rsidP="00B96660">
      <w:pPr>
        <w:pStyle w:val="ListParagraph"/>
        <w:numPr>
          <w:ilvl w:val="0"/>
          <w:numId w:val="29"/>
        </w:numPr>
        <w:rPr>
          <w:rFonts w:ascii="Arial" w:hAnsi="Arial" w:cs="Arial"/>
        </w:rPr>
      </w:pPr>
      <w:r>
        <w:rPr>
          <w:rFonts w:ascii="Arial" w:hAnsi="Arial" w:cs="Arial"/>
        </w:rPr>
        <w:t xml:space="preserve">A </w:t>
      </w:r>
      <w:r w:rsidRPr="00B96660">
        <w:rPr>
          <w:rFonts w:ascii="Arial" w:hAnsi="Arial" w:cs="Arial"/>
          <w:b/>
        </w:rPr>
        <w:t>civil society organization (CSO) project</w:t>
      </w:r>
      <w:r>
        <w:rPr>
          <w:rFonts w:ascii="Arial" w:hAnsi="Arial" w:cs="Arial"/>
        </w:rPr>
        <w:t xml:space="preserve"> funded by GAVI, with support from UNICEF, USAID and other partners. Four local CSOs operating in 33 districts in five provinces work with communities to strengthen communi</w:t>
      </w:r>
      <w:r w:rsidR="00B96660">
        <w:rPr>
          <w:rFonts w:ascii="Arial" w:hAnsi="Arial" w:cs="Arial"/>
        </w:rPr>
        <w:t>ty</w:t>
      </w:r>
      <w:r>
        <w:rPr>
          <w:rFonts w:ascii="Arial" w:hAnsi="Arial" w:cs="Arial"/>
        </w:rPr>
        <w:t xml:space="preserve"> participation in health </w:t>
      </w:r>
      <w:r>
        <w:rPr>
          <w:rFonts w:ascii="Arial" w:hAnsi="Arial" w:cs="Arial"/>
        </w:rPr>
        <w:lastRenderedPageBreak/>
        <w:t xml:space="preserve">promotion, tracking defaulters, and strengthen links between the communities and health </w:t>
      </w:r>
      <w:proofErr w:type="spellStart"/>
      <w:r>
        <w:rPr>
          <w:rFonts w:ascii="Arial" w:hAnsi="Arial" w:cs="Arial"/>
        </w:rPr>
        <w:t>centers</w:t>
      </w:r>
      <w:proofErr w:type="spellEnd"/>
      <w:r>
        <w:rPr>
          <w:rFonts w:ascii="Arial" w:hAnsi="Arial" w:cs="Arial"/>
        </w:rPr>
        <w:t>. These efforts led to a substantial increase in demand for immunization, resulting in an increase in coverage of three pentavalent vaccine doses from less than 60% to more than 80% in these districts</w:t>
      </w:r>
      <w:r w:rsidR="00C737EA">
        <w:rPr>
          <w:rFonts w:ascii="Arial" w:hAnsi="Arial" w:cs="Arial"/>
        </w:rPr>
        <w:t>.</w:t>
      </w:r>
    </w:p>
    <w:p w14:paraId="76C5C91F" w14:textId="77777777" w:rsidR="00BA768D" w:rsidRDefault="00BA768D" w:rsidP="00BA768D">
      <w:pPr>
        <w:rPr>
          <w:rFonts w:ascii="Arial" w:hAnsi="Arial" w:cs="Arial"/>
        </w:rPr>
      </w:pPr>
    </w:p>
    <w:p w14:paraId="5DA999D2" w14:textId="77777777" w:rsidR="00BA768D" w:rsidRPr="004C322B" w:rsidRDefault="00BA768D" w:rsidP="00BA768D">
      <w:pPr>
        <w:rPr>
          <w:rFonts w:ascii="Arial" w:hAnsi="Arial" w:cs="Arial"/>
          <w:b/>
          <w:lang w:val="en-US"/>
        </w:rPr>
      </w:pPr>
      <w:r w:rsidRPr="004C322B">
        <w:rPr>
          <w:rFonts w:ascii="Arial" w:hAnsi="Arial" w:cs="Arial"/>
          <w:b/>
          <w:lang w:val="en-US"/>
        </w:rPr>
        <w:t>Acknowledgments</w:t>
      </w:r>
    </w:p>
    <w:p w14:paraId="4E7F02C7" w14:textId="77777777" w:rsidR="00BA768D" w:rsidRDefault="00BA768D" w:rsidP="00BA768D">
      <w:pPr>
        <w:rPr>
          <w:rFonts w:ascii="Arial" w:hAnsi="Arial" w:cs="Arial"/>
          <w:lang w:val="en-US"/>
        </w:rPr>
      </w:pPr>
      <w:r>
        <w:rPr>
          <w:rFonts w:ascii="Arial" w:hAnsi="Arial" w:cs="Arial"/>
          <w:lang w:val="en-US"/>
        </w:rPr>
        <w:t>We would like to thank the following people who were interviewed for this report:</w:t>
      </w:r>
    </w:p>
    <w:p w14:paraId="2B4D8338" w14:textId="77777777" w:rsidR="00BA768D" w:rsidRDefault="00BA768D" w:rsidP="00BA768D">
      <w:pPr>
        <w:numPr>
          <w:ilvl w:val="0"/>
          <w:numId w:val="31"/>
        </w:numPr>
        <w:spacing w:before="100" w:beforeAutospacing="1" w:after="100" w:afterAutospacing="1" w:line="240" w:lineRule="auto"/>
      </w:pPr>
      <w:r>
        <w:t xml:space="preserve">Patrick </w:t>
      </w:r>
      <w:proofErr w:type="spellStart"/>
      <w:r>
        <w:t>Lydon</w:t>
      </w:r>
      <w:proofErr w:type="spellEnd"/>
      <w:r>
        <w:t xml:space="preserve"> (WHO HQ)</w:t>
      </w:r>
    </w:p>
    <w:p w14:paraId="0AD81432" w14:textId="2D109619" w:rsidR="00BA768D" w:rsidRDefault="00BA768D" w:rsidP="00BA768D">
      <w:pPr>
        <w:numPr>
          <w:ilvl w:val="0"/>
          <w:numId w:val="31"/>
        </w:numPr>
        <w:spacing w:before="100" w:beforeAutospacing="1" w:after="100" w:afterAutospacing="1" w:line="240" w:lineRule="auto"/>
      </w:pPr>
      <w:proofErr w:type="spellStart"/>
      <w:r>
        <w:t>Yolande</w:t>
      </w:r>
      <w:proofErr w:type="spellEnd"/>
      <w:r>
        <w:t xml:space="preserve"> </w:t>
      </w:r>
      <w:proofErr w:type="spellStart"/>
      <w:r>
        <w:t>Masambe</w:t>
      </w:r>
      <w:proofErr w:type="spellEnd"/>
      <w:r>
        <w:t xml:space="preserve"> </w:t>
      </w:r>
      <w:proofErr w:type="spellStart"/>
      <w:r>
        <w:t>Vuo</w:t>
      </w:r>
      <w:proofErr w:type="spellEnd"/>
      <w:r>
        <w:t xml:space="preserve"> (WHO CO)</w:t>
      </w:r>
    </w:p>
    <w:p w14:paraId="26CF8916" w14:textId="7BDECAA2" w:rsidR="00BA768D" w:rsidRDefault="00BA768D" w:rsidP="00BA768D">
      <w:pPr>
        <w:numPr>
          <w:ilvl w:val="0"/>
          <w:numId w:val="31"/>
        </w:numPr>
        <w:spacing w:before="100" w:beforeAutospacing="1" w:after="100" w:afterAutospacing="1" w:line="240" w:lineRule="auto"/>
      </w:pPr>
      <w:r>
        <w:t xml:space="preserve">Renee </w:t>
      </w:r>
      <w:proofErr w:type="spellStart"/>
      <w:r>
        <w:t>Nsamba</w:t>
      </w:r>
      <w:proofErr w:type="spellEnd"/>
      <w:r>
        <w:t xml:space="preserve"> (WHO CO)</w:t>
      </w:r>
    </w:p>
    <w:p w14:paraId="5D68CBF0" w14:textId="4959A006" w:rsidR="009E262A" w:rsidRPr="00BA768D" w:rsidRDefault="000B0082" w:rsidP="00BA768D">
      <w:pPr>
        <w:rPr>
          <w:rFonts w:ascii="Arial" w:hAnsi="Arial" w:cs="Arial"/>
        </w:rPr>
      </w:pPr>
      <w:r w:rsidRPr="00BA768D">
        <w:rPr>
          <w:rFonts w:ascii="Arial" w:hAnsi="Arial" w:cs="Arial"/>
        </w:rPr>
        <w:t xml:space="preserve"> </w:t>
      </w:r>
      <w:r w:rsidR="009E262A" w:rsidRPr="00BA768D">
        <w:rPr>
          <w:rFonts w:ascii="Arial" w:hAnsi="Arial" w:cs="Arial"/>
          <w:b/>
          <w:sz w:val="24"/>
        </w:rPr>
        <w:br w:type="page"/>
      </w:r>
    </w:p>
    <w:p w14:paraId="30AA08B3" w14:textId="0A5D50A6" w:rsidR="00D00DC6" w:rsidRDefault="003573EF" w:rsidP="00D00DC6">
      <w:pPr>
        <w:rPr>
          <w:rFonts w:ascii="Arial" w:hAnsi="Arial" w:cs="Arial"/>
          <w:b/>
          <w:sz w:val="24"/>
        </w:rPr>
      </w:pPr>
      <w:r>
        <w:rPr>
          <w:rFonts w:ascii="Arial" w:hAnsi="Arial" w:cs="Arial"/>
          <w:b/>
          <w:sz w:val="24"/>
        </w:rPr>
        <w:lastRenderedPageBreak/>
        <w:t xml:space="preserve">ANNEX: </w:t>
      </w:r>
      <w:r w:rsidR="00D00DC6">
        <w:rPr>
          <w:rFonts w:ascii="Arial" w:hAnsi="Arial" w:cs="Arial"/>
          <w:b/>
          <w:sz w:val="24"/>
        </w:rPr>
        <w:t>Country immunization profile</w:t>
      </w:r>
    </w:p>
    <w:p w14:paraId="11821A95" w14:textId="77777777" w:rsidR="006C334B" w:rsidRPr="006C334B" w:rsidRDefault="006C334B" w:rsidP="006C334B">
      <w:pPr>
        <w:pStyle w:val="ListParagraph"/>
        <w:numPr>
          <w:ilvl w:val="0"/>
          <w:numId w:val="5"/>
        </w:numPr>
        <w:rPr>
          <w:b/>
          <w:bCs/>
          <w:sz w:val="24"/>
          <w:szCs w:val="24"/>
        </w:rPr>
      </w:pPr>
      <w:r w:rsidRPr="006C334B">
        <w:rPr>
          <w:b/>
          <w:bCs/>
          <w:sz w:val="24"/>
          <w:szCs w:val="24"/>
        </w:rPr>
        <w:t>General indicators</w:t>
      </w:r>
    </w:p>
    <w:p w14:paraId="47428166" w14:textId="77777777" w:rsidR="001C1E4D" w:rsidRDefault="00513BF2" w:rsidP="001C1E4D">
      <w:pPr>
        <w:pStyle w:val="ListParagraph"/>
        <w:numPr>
          <w:ilvl w:val="0"/>
          <w:numId w:val="6"/>
        </w:numPr>
        <w:rPr>
          <w:bCs/>
          <w:sz w:val="24"/>
          <w:szCs w:val="24"/>
        </w:rPr>
      </w:pPr>
      <w:r w:rsidRPr="001C1E4D">
        <w:rPr>
          <w:bCs/>
          <w:sz w:val="24"/>
          <w:szCs w:val="24"/>
        </w:rPr>
        <w:t>GNI (USD):</w:t>
      </w:r>
      <w:r w:rsidR="001C1E4D">
        <w:rPr>
          <w:bCs/>
          <w:sz w:val="24"/>
          <w:szCs w:val="24"/>
        </w:rPr>
        <w:t xml:space="preserve"> </w:t>
      </w:r>
      <w:r w:rsidRPr="001C1E4D">
        <w:rPr>
          <w:bCs/>
          <w:sz w:val="24"/>
          <w:szCs w:val="24"/>
        </w:rPr>
        <w:t>410</w:t>
      </w:r>
    </w:p>
    <w:p w14:paraId="5D6AF387" w14:textId="77777777" w:rsidR="001C1E4D" w:rsidRDefault="00513BF2" w:rsidP="001C1E4D">
      <w:pPr>
        <w:pStyle w:val="ListParagraph"/>
        <w:numPr>
          <w:ilvl w:val="0"/>
          <w:numId w:val="6"/>
        </w:numPr>
        <w:rPr>
          <w:bCs/>
          <w:sz w:val="24"/>
          <w:szCs w:val="24"/>
        </w:rPr>
      </w:pPr>
      <w:r w:rsidRPr="001C1E4D">
        <w:rPr>
          <w:bCs/>
          <w:sz w:val="24"/>
          <w:szCs w:val="24"/>
        </w:rPr>
        <w:t xml:space="preserve">WB </w:t>
      </w:r>
      <w:r w:rsidR="001C1E4D">
        <w:rPr>
          <w:bCs/>
          <w:sz w:val="24"/>
          <w:szCs w:val="24"/>
        </w:rPr>
        <w:t>Status: Low income</w:t>
      </w:r>
    </w:p>
    <w:p w14:paraId="6B0D7B33" w14:textId="77777777" w:rsidR="00513BF2" w:rsidRPr="001C1E4D" w:rsidRDefault="00513BF2" w:rsidP="001C1E4D">
      <w:pPr>
        <w:pStyle w:val="ListParagraph"/>
        <w:numPr>
          <w:ilvl w:val="0"/>
          <w:numId w:val="6"/>
        </w:numPr>
        <w:rPr>
          <w:bCs/>
          <w:sz w:val="24"/>
          <w:szCs w:val="24"/>
        </w:rPr>
      </w:pPr>
      <w:r w:rsidRPr="001C1E4D">
        <w:rPr>
          <w:bCs/>
          <w:sz w:val="24"/>
          <w:szCs w:val="24"/>
        </w:rPr>
        <w:t>Infant mortality (&lt;12 M) rate: 75</w:t>
      </w:r>
    </w:p>
    <w:p w14:paraId="7F3C48B6" w14:textId="77777777" w:rsidR="001C1E4D" w:rsidRDefault="00513BF2" w:rsidP="001C1E4D">
      <w:pPr>
        <w:pStyle w:val="ListParagraph"/>
        <w:numPr>
          <w:ilvl w:val="0"/>
          <w:numId w:val="6"/>
        </w:numPr>
        <w:rPr>
          <w:bCs/>
          <w:sz w:val="24"/>
          <w:szCs w:val="24"/>
        </w:rPr>
      </w:pPr>
      <w:r w:rsidRPr="001C1E4D">
        <w:rPr>
          <w:bCs/>
          <w:sz w:val="24"/>
          <w:szCs w:val="24"/>
        </w:rPr>
        <w:t>GAVI Status:</w:t>
      </w:r>
      <w:r w:rsidR="001C1E4D">
        <w:rPr>
          <w:bCs/>
          <w:sz w:val="24"/>
          <w:szCs w:val="24"/>
        </w:rPr>
        <w:t xml:space="preserve"> </w:t>
      </w:r>
      <w:r w:rsidR="007B053A">
        <w:rPr>
          <w:bCs/>
          <w:sz w:val="24"/>
          <w:szCs w:val="24"/>
        </w:rPr>
        <w:t>Eligible</w:t>
      </w:r>
    </w:p>
    <w:p w14:paraId="46BE719E" w14:textId="6B67E4EA" w:rsidR="00513BF2" w:rsidRPr="002970A7" w:rsidRDefault="00513BF2" w:rsidP="001C1E4D">
      <w:pPr>
        <w:pStyle w:val="ListParagraph"/>
        <w:numPr>
          <w:ilvl w:val="0"/>
          <w:numId w:val="6"/>
        </w:numPr>
        <w:contextualSpacing w:val="0"/>
        <w:rPr>
          <w:bCs/>
          <w:sz w:val="24"/>
          <w:szCs w:val="24"/>
        </w:rPr>
      </w:pPr>
      <w:r w:rsidRPr="001C1E4D">
        <w:rPr>
          <w:bCs/>
          <w:sz w:val="24"/>
          <w:szCs w:val="24"/>
        </w:rPr>
        <w:t>Total Population</w:t>
      </w:r>
      <w:r w:rsidRPr="002970A7">
        <w:rPr>
          <w:bCs/>
          <w:sz w:val="24"/>
          <w:szCs w:val="24"/>
        </w:rPr>
        <w:t>: 77,267,000</w:t>
      </w:r>
    </w:p>
    <w:p w14:paraId="4A60B215" w14:textId="77777777" w:rsidR="006C334B" w:rsidRDefault="006C334B" w:rsidP="006C334B">
      <w:pPr>
        <w:pStyle w:val="ListParagraph"/>
        <w:numPr>
          <w:ilvl w:val="0"/>
          <w:numId w:val="5"/>
        </w:numPr>
        <w:rPr>
          <w:b/>
          <w:bCs/>
          <w:sz w:val="24"/>
          <w:szCs w:val="24"/>
        </w:rPr>
      </w:pPr>
      <w:r>
        <w:rPr>
          <w:b/>
          <w:bCs/>
          <w:sz w:val="24"/>
          <w:szCs w:val="24"/>
        </w:rPr>
        <w:t>Polio</w:t>
      </w:r>
    </w:p>
    <w:p w14:paraId="7A9CA62B" w14:textId="4A87C3C0" w:rsidR="00BF4CFA" w:rsidRPr="00BF4CFA" w:rsidRDefault="00BF4CFA" w:rsidP="00BF4CFA">
      <w:pPr>
        <w:pStyle w:val="ListParagraph"/>
        <w:numPr>
          <w:ilvl w:val="0"/>
          <w:numId w:val="7"/>
        </w:numPr>
        <w:rPr>
          <w:b/>
          <w:bCs/>
          <w:sz w:val="24"/>
          <w:szCs w:val="24"/>
        </w:rPr>
      </w:pPr>
      <w:r w:rsidRPr="00BF4CFA">
        <w:rPr>
          <w:b/>
          <w:bCs/>
          <w:sz w:val="24"/>
          <w:szCs w:val="24"/>
        </w:rPr>
        <w:t>Transmission stopped in</w:t>
      </w:r>
      <w:r w:rsidR="00834A2D">
        <w:rPr>
          <w:b/>
          <w:bCs/>
          <w:sz w:val="24"/>
          <w:szCs w:val="24"/>
        </w:rPr>
        <w:t xml:space="preserve"> 2011.</w:t>
      </w:r>
    </w:p>
    <w:p w14:paraId="669FB7F4" w14:textId="37F826ED" w:rsidR="00BF4CFA" w:rsidRDefault="00C737EA" w:rsidP="00BF4CFA">
      <w:pPr>
        <w:pStyle w:val="ListParagraph"/>
        <w:numPr>
          <w:ilvl w:val="0"/>
          <w:numId w:val="7"/>
        </w:numPr>
        <w:rPr>
          <w:b/>
          <w:bCs/>
          <w:sz w:val="24"/>
          <w:szCs w:val="24"/>
        </w:rPr>
      </w:pPr>
      <w:r>
        <w:rPr>
          <w:b/>
          <w:bCs/>
          <w:sz w:val="24"/>
          <w:szCs w:val="24"/>
        </w:rPr>
        <w:t>Eradication certified: not yet.</w:t>
      </w:r>
    </w:p>
    <w:p w14:paraId="1861010E" w14:textId="77777777" w:rsidR="00BF4CFA" w:rsidRPr="00BF4CFA" w:rsidRDefault="00BF4CFA" w:rsidP="00BF4CFA">
      <w:pPr>
        <w:pStyle w:val="ListParagraph"/>
        <w:ind w:left="1080"/>
        <w:rPr>
          <w:b/>
          <w:bCs/>
          <w:sz w:val="24"/>
          <w:szCs w:val="24"/>
        </w:rPr>
      </w:pPr>
    </w:p>
    <w:p w14:paraId="5C7241C3" w14:textId="77777777" w:rsidR="006C334B" w:rsidRDefault="006C334B" w:rsidP="006C334B">
      <w:pPr>
        <w:pStyle w:val="ListParagraph"/>
        <w:numPr>
          <w:ilvl w:val="0"/>
          <w:numId w:val="5"/>
        </w:numPr>
        <w:rPr>
          <w:b/>
          <w:bCs/>
          <w:sz w:val="24"/>
          <w:szCs w:val="24"/>
        </w:rPr>
      </w:pPr>
      <w:r w:rsidRPr="006C334B">
        <w:rPr>
          <w:b/>
          <w:bCs/>
          <w:sz w:val="24"/>
          <w:szCs w:val="24"/>
        </w:rPr>
        <w:t>Measles and rubella</w:t>
      </w:r>
    </w:p>
    <w:p w14:paraId="046F8BD2" w14:textId="534076A9" w:rsidR="00651C67" w:rsidRPr="00651C67" w:rsidRDefault="00651C67" w:rsidP="00651C67">
      <w:pPr>
        <w:pStyle w:val="Caption"/>
        <w:rPr>
          <w:rFonts w:ascii="Arial" w:hAnsi="Arial" w:cs="Arial"/>
          <w:color w:val="auto"/>
          <w:sz w:val="32"/>
          <w:szCs w:val="24"/>
        </w:rPr>
      </w:pPr>
      <w:r w:rsidRPr="00651C67">
        <w:rPr>
          <w:rFonts w:ascii="Arial" w:hAnsi="Arial" w:cs="Arial"/>
          <w:color w:val="auto"/>
          <w:sz w:val="22"/>
        </w:rPr>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4</w:t>
      </w:r>
      <w:r w:rsidRPr="00651C67">
        <w:rPr>
          <w:rFonts w:ascii="Arial" w:hAnsi="Arial" w:cs="Arial"/>
          <w:color w:val="auto"/>
          <w:sz w:val="22"/>
        </w:rPr>
        <w:fldChar w:fldCharType="end"/>
      </w:r>
      <w:r w:rsidRPr="00651C67">
        <w:rPr>
          <w:rFonts w:ascii="Arial" w:hAnsi="Arial" w:cs="Arial"/>
          <w:color w:val="auto"/>
          <w:sz w:val="22"/>
        </w:rPr>
        <w:t>: Reported Measles cases and MCV coverage, DRC, 1990-2015</w:t>
      </w:r>
    </w:p>
    <w:p w14:paraId="2651C137" w14:textId="77777777" w:rsidR="006C334B" w:rsidRDefault="00E91097" w:rsidP="006C334B">
      <w:pPr>
        <w:rPr>
          <w:b/>
          <w:bCs/>
          <w:sz w:val="32"/>
          <w:szCs w:val="32"/>
        </w:rPr>
      </w:pPr>
      <w:r>
        <w:rPr>
          <w:noProof/>
          <w:lang w:eastAsia="zh-CN"/>
        </w:rPr>
        <w:drawing>
          <wp:inline distT="0" distB="0" distL="0" distR="0" wp14:anchorId="124D9B39" wp14:editId="0E5465DE">
            <wp:extent cx="5758398" cy="3238500"/>
            <wp:effectExtent l="19050" t="19050" r="13970" b="19050"/>
            <wp:docPr id="2" name="Picture 2" descr="Y:\GVAP\Priority_countries\CODMCV1_MCV2_MEAS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GVAP\Priority_countries\CODMCV1_MCV2_MEASLE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461" cy="3239660"/>
                    </a:xfrm>
                    <a:prstGeom prst="rect">
                      <a:avLst/>
                    </a:prstGeom>
                    <a:noFill/>
                    <a:ln>
                      <a:solidFill>
                        <a:schemeClr val="tx1"/>
                      </a:solidFill>
                    </a:ln>
                  </pic:spPr>
                </pic:pic>
              </a:graphicData>
            </a:graphic>
          </wp:inline>
        </w:drawing>
      </w:r>
    </w:p>
    <w:p w14:paraId="79F6952F" w14:textId="77777777" w:rsidR="00C737EA" w:rsidRDefault="00C737EA">
      <w:pPr>
        <w:rPr>
          <w:b/>
          <w:highlight w:val="yellow"/>
        </w:rPr>
      </w:pPr>
      <w:r>
        <w:rPr>
          <w:b/>
          <w:highlight w:val="yellow"/>
        </w:rPr>
        <w:br w:type="page"/>
      </w:r>
    </w:p>
    <w:p w14:paraId="296E199F" w14:textId="4DB071D2" w:rsidR="00E91097" w:rsidRDefault="00651C67" w:rsidP="00651C67">
      <w:pPr>
        <w:pStyle w:val="Caption"/>
        <w:rPr>
          <w:b w:val="0"/>
        </w:rPr>
      </w:pPr>
      <w:r>
        <w:lastRenderedPageBreak/>
        <w:t xml:space="preserve">Table </w:t>
      </w:r>
      <w:r w:rsidR="0000345F">
        <w:fldChar w:fldCharType="begin"/>
      </w:r>
      <w:r w:rsidR="0000345F">
        <w:instrText xml:space="preserve"> SEQ Table \* ARABIC </w:instrText>
      </w:r>
      <w:r w:rsidR="0000345F">
        <w:fldChar w:fldCharType="separate"/>
      </w:r>
      <w:r>
        <w:rPr>
          <w:noProof/>
        </w:rPr>
        <w:t>1</w:t>
      </w:r>
      <w:r w:rsidR="0000345F">
        <w:rPr>
          <w:noProof/>
        </w:rPr>
        <w:fldChar w:fldCharType="end"/>
      </w:r>
      <w:r>
        <w:t xml:space="preserve">: </w:t>
      </w:r>
      <w:r w:rsidR="006C334B" w:rsidRPr="001C1E4D">
        <w:t>SIA activities planned in 2016-2017</w:t>
      </w:r>
    </w:p>
    <w:tbl>
      <w:tblPr>
        <w:tblStyle w:val="TableGrid"/>
        <w:tblW w:w="10755" w:type="dxa"/>
        <w:jc w:val="center"/>
        <w:tblInd w:w="-885" w:type="dxa"/>
        <w:tblLook w:val="04A0" w:firstRow="1" w:lastRow="0" w:firstColumn="1" w:lastColumn="0" w:noHBand="0" w:noVBand="1"/>
      </w:tblPr>
      <w:tblGrid>
        <w:gridCol w:w="1106"/>
        <w:gridCol w:w="1358"/>
        <w:gridCol w:w="913"/>
        <w:gridCol w:w="1388"/>
        <w:gridCol w:w="1278"/>
        <w:gridCol w:w="1119"/>
        <w:gridCol w:w="1352"/>
        <w:gridCol w:w="1054"/>
        <w:gridCol w:w="1218"/>
      </w:tblGrid>
      <w:tr w:rsidR="00834A2D" w:rsidRPr="000A7279" w14:paraId="02C6F567" w14:textId="77777777" w:rsidTr="00651C67">
        <w:trPr>
          <w:trHeight w:val="255"/>
          <w:jc w:val="center"/>
        </w:trPr>
        <w:tc>
          <w:tcPr>
            <w:tcW w:w="1106" w:type="dxa"/>
            <w:noWrap/>
            <w:hideMark/>
          </w:tcPr>
          <w:p w14:paraId="7FD9BCE7" w14:textId="77777777" w:rsidR="00E91097" w:rsidRPr="000A7279" w:rsidRDefault="00E91097" w:rsidP="000A7279">
            <w:pPr>
              <w:jc w:val="center"/>
              <w:rPr>
                <w:b/>
              </w:rPr>
            </w:pPr>
            <w:r w:rsidRPr="000A7279">
              <w:rPr>
                <w:b/>
              </w:rPr>
              <w:t>Activity</w:t>
            </w:r>
          </w:p>
        </w:tc>
        <w:tc>
          <w:tcPr>
            <w:tcW w:w="1327" w:type="dxa"/>
            <w:noWrap/>
            <w:hideMark/>
          </w:tcPr>
          <w:p w14:paraId="5F30E972" w14:textId="77777777" w:rsidR="00E91097" w:rsidRPr="000A7279" w:rsidRDefault="00E91097" w:rsidP="000A7279">
            <w:pPr>
              <w:jc w:val="center"/>
              <w:rPr>
                <w:b/>
              </w:rPr>
            </w:pPr>
            <w:r w:rsidRPr="000A7279">
              <w:rPr>
                <w:b/>
              </w:rPr>
              <w:t>Intervention</w:t>
            </w:r>
          </w:p>
        </w:tc>
        <w:tc>
          <w:tcPr>
            <w:tcW w:w="913" w:type="dxa"/>
            <w:noWrap/>
            <w:hideMark/>
          </w:tcPr>
          <w:p w14:paraId="72789A3F" w14:textId="77777777" w:rsidR="00E91097" w:rsidRPr="000A7279" w:rsidRDefault="00E91097" w:rsidP="000A7279">
            <w:pPr>
              <w:jc w:val="center"/>
              <w:rPr>
                <w:b/>
              </w:rPr>
            </w:pPr>
            <w:r w:rsidRPr="000A7279">
              <w:rPr>
                <w:b/>
              </w:rPr>
              <w:t>Year</w:t>
            </w:r>
          </w:p>
        </w:tc>
        <w:tc>
          <w:tcPr>
            <w:tcW w:w="1388" w:type="dxa"/>
            <w:noWrap/>
            <w:hideMark/>
          </w:tcPr>
          <w:p w14:paraId="17C248F1" w14:textId="2022F137" w:rsidR="00E91097" w:rsidRPr="000A7279" w:rsidRDefault="00E91097" w:rsidP="000A7279">
            <w:pPr>
              <w:jc w:val="center"/>
              <w:rPr>
                <w:b/>
              </w:rPr>
            </w:pPr>
            <w:r w:rsidRPr="000A7279">
              <w:rPr>
                <w:b/>
              </w:rPr>
              <w:t>Start</w:t>
            </w:r>
            <w:r w:rsidR="00834A2D" w:rsidRPr="000A7279">
              <w:rPr>
                <w:b/>
              </w:rPr>
              <w:t xml:space="preserve"> </w:t>
            </w:r>
            <w:r w:rsidRPr="000A7279">
              <w:rPr>
                <w:b/>
              </w:rPr>
              <w:t>Date</w:t>
            </w:r>
          </w:p>
        </w:tc>
        <w:tc>
          <w:tcPr>
            <w:tcW w:w="1278" w:type="dxa"/>
            <w:noWrap/>
            <w:hideMark/>
          </w:tcPr>
          <w:p w14:paraId="13750851" w14:textId="7D385C14" w:rsidR="00E91097" w:rsidRPr="000A7279" w:rsidRDefault="00E91097" w:rsidP="000A7279">
            <w:pPr>
              <w:jc w:val="center"/>
              <w:rPr>
                <w:b/>
              </w:rPr>
            </w:pPr>
            <w:r w:rsidRPr="000A7279">
              <w:rPr>
                <w:b/>
              </w:rPr>
              <w:t>End</w:t>
            </w:r>
            <w:r w:rsidR="00834A2D" w:rsidRPr="000A7279">
              <w:rPr>
                <w:b/>
              </w:rPr>
              <w:t xml:space="preserve"> </w:t>
            </w:r>
            <w:r w:rsidRPr="000A7279">
              <w:rPr>
                <w:b/>
              </w:rPr>
              <w:t>Date</w:t>
            </w:r>
          </w:p>
        </w:tc>
        <w:tc>
          <w:tcPr>
            <w:tcW w:w="1119" w:type="dxa"/>
            <w:noWrap/>
            <w:hideMark/>
          </w:tcPr>
          <w:p w14:paraId="0BCCB8D6" w14:textId="417F65C4" w:rsidR="00E91097" w:rsidRPr="000A7279" w:rsidRDefault="00E91097" w:rsidP="000A7279">
            <w:pPr>
              <w:jc w:val="center"/>
              <w:rPr>
                <w:b/>
              </w:rPr>
            </w:pPr>
            <w:r w:rsidRPr="000A7279">
              <w:rPr>
                <w:b/>
              </w:rPr>
              <w:t>Age</w:t>
            </w:r>
            <w:r w:rsidR="00834A2D" w:rsidRPr="000A7279">
              <w:rPr>
                <w:b/>
              </w:rPr>
              <w:t xml:space="preserve"> </w:t>
            </w:r>
            <w:r w:rsidRPr="000A7279">
              <w:rPr>
                <w:b/>
              </w:rPr>
              <w:t>Group</w:t>
            </w:r>
          </w:p>
        </w:tc>
        <w:tc>
          <w:tcPr>
            <w:tcW w:w="1352" w:type="dxa"/>
            <w:noWrap/>
            <w:hideMark/>
          </w:tcPr>
          <w:p w14:paraId="47DBA011" w14:textId="77777777" w:rsidR="00E91097" w:rsidRPr="000A7279" w:rsidRDefault="00E91097" w:rsidP="000A7279">
            <w:pPr>
              <w:jc w:val="center"/>
              <w:rPr>
                <w:b/>
              </w:rPr>
            </w:pPr>
            <w:r w:rsidRPr="000A7279">
              <w:rPr>
                <w:b/>
              </w:rPr>
              <w:t>Extent</w:t>
            </w:r>
          </w:p>
        </w:tc>
        <w:tc>
          <w:tcPr>
            <w:tcW w:w="1054" w:type="dxa"/>
            <w:noWrap/>
            <w:hideMark/>
          </w:tcPr>
          <w:p w14:paraId="4F987A1A" w14:textId="77777777" w:rsidR="00E91097" w:rsidRPr="000A7279" w:rsidRDefault="00E91097" w:rsidP="000A7279">
            <w:pPr>
              <w:jc w:val="center"/>
              <w:rPr>
                <w:b/>
              </w:rPr>
            </w:pPr>
            <w:r w:rsidRPr="000A7279">
              <w:rPr>
                <w:b/>
              </w:rPr>
              <w:t>Status</w:t>
            </w:r>
          </w:p>
        </w:tc>
        <w:tc>
          <w:tcPr>
            <w:tcW w:w="1218" w:type="dxa"/>
            <w:noWrap/>
            <w:hideMark/>
          </w:tcPr>
          <w:p w14:paraId="27910DB1" w14:textId="77777777" w:rsidR="00E91097" w:rsidRPr="000A7279" w:rsidRDefault="00E91097" w:rsidP="000A7279">
            <w:pPr>
              <w:jc w:val="center"/>
              <w:rPr>
                <w:b/>
              </w:rPr>
            </w:pPr>
            <w:r w:rsidRPr="000A7279">
              <w:rPr>
                <w:b/>
              </w:rPr>
              <w:t>Target</w:t>
            </w:r>
          </w:p>
        </w:tc>
      </w:tr>
      <w:tr w:rsidR="00834A2D" w:rsidRPr="00E91097" w14:paraId="15D5AE3F" w14:textId="77777777" w:rsidTr="00651C67">
        <w:trPr>
          <w:trHeight w:val="255"/>
          <w:jc w:val="center"/>
        </w:trPr>
        <w:tc>
          <w:tcPr>
            <w:tcW w:w="1106" w:type="dxa"/>
            <w:noWrap/>
            <w:hideMark/>
          </w:tcPr>
          <w:p w14:paraId="25C12971" w14:textId="653B5741" w:rsidR="00E91097" w:rsidRPr="00E91097" w:rsidRDefault="00E91097" w:rsidP="00834A2D">
            <w:r w:rsidRPr="00E91097">
              <w:t>Catch</w:t>
            </w:r>
            <w:r w:rsidR="00834A2D">
              <w:t xml:space="preserve"> u</w:t>
            </w:r>
            <w:r w:rsidRPr="00E91097">
              <w:t>p</w:t>
            </w:r>
          </w:p>
        </w:tc>
        <w:tc>
          <w:tcPr>
            <w:tcW w:w="1327" w:type="dxa"/>
            <w:noWrap/>
            <w:hideMark/>
          </w:tcPr>
          <w:p w14:paraId="7E5F904B" w14:textId="77777777" w:rsidR="00E91097" w:rsidRPr="00E91097" w:rsidRDefault="00E91097" w:rsidP="00E91097">
            <w:r w:rsidRPr="00E91097">
              <w:t>MR</w:t>
            </w:r>
          </w:p>
        </w:tc>
        <w:tc>
          <w:tcPr>
            <w:tcW w:w="913" w:type="dxa"/>
            <w:noWrap/>
            <w:hideMark/>
          </w:tcPr>
          <w:p w14:paraId="332F7F96" w14:textId="77777777" w:rsidR="00E91097" w:rsidRPr="00E91097" w:rsidRDefault="00E91097" w:rsidP="00E91097">
            <w:r w:rsidRPr="00E91097">
              <w:t>2017</w:t>
            </w:r>
          </w:p>
        </w:tc>
        <w:tc>
          <w:tcPr>
            <w:tcW w:w="1388" w:type="dxa"/>
            <w:noWrap/>
            <w:hideMark/>
          </w:tcPr>
          <w:p w14:paraId="403E7E86" w14:textId="45FA341B" w:rsidR="00E91097" w:rsidRPr="00E91097" w:rsidRDefault="00E91097" w:rsidP="00E91097"/>
        </w:tc>
        <w:tc>
          <w:tcPr>
            <w:tcW w:w="1278" w:type="dxa"/>
            <w:noWrap/>
            <w:hideMark/>
          </w:tcPr>
          <w:p w14:paraId="3888BD23" w14:textId="77777777" w:rsidR="00E91097" w:rsidRPr="00E91097" w:rsidRDefault="00E91097" w:rsidP="00E91097"/>
        </w:tc>
        <w:tc>
          <w:tcPr>
            <w:tcW w:w="1119" w:type="dxa"/>
            <w:noWrap/>
            <w:hideMark/>
          </w:tcPr>
          <w:p w14:paraId="70CCB51D" w14:textId="77777777" w:rsidR="00E91097" w:rsidRPr="00E91097" w:rsidRDefault="00E91097" w:rsidP="00E91097">
            <w:r w:rsidRPr="00E91097">
              <w:t>6 M-14 Y</w:t>
            </w:r>
          </w:p>
        </w:tc>
        <w:tc>
          <w:tcPr>
            <w:tcW w:w="1352" w:type="dxa"/>
            <w:noWrap/>
            <w:hideMark/>
          </w:tcPr>
          <w:p w14:paraId="784D0BB9" w14:textId="08E29B7B" w:rsidR="00E91097" w:rsidRPr="00E91097" w:rsidRDefault="00E91097" w:rsidP="00E91097">
            <w:r w:rsidRPr="00E91097">
              <w:t>Nat</w:t>
            </w:r>
            <w:r w:rsidR="00834A2D">
              <w:t>ional rollout</w:t>
            </w:r>
          </w:p>
        </w:tc>
        <w:tc>
          <w:tcPr>
            <w:tcW w:w="1054" w:type="dxa"/>
            <w:noWrap/>
            <w:hideMark/>
          </w:tcPr>
          <w:p w14:paraId="3EC7B184" w14:textId="77777777" w:rsidR="00E91097" w:rsidRPr="00E91097" w:rsidRDefault="00E91097" w:rsidP="00E91097">
            <w:r w:rsidRPr="00E91097">
              <w:t>planned</w:t>
            </w:r>
          </w:p>
        </w:tc>
        <w:tc>
          <w:tcPr>
            <w:tcW w:w="1218" w:type="dxa"/>
            <w:noWrap/>
            <w:hideMark/>
          </w:tcPr>
          <w:p w14:paraId="0DF1F1CB" w14:textId="738B082A" w:rsidR="00E91097" w:rsidRPr="00E91097" w:rsidRDefault="00E91097" w:rsidP="00E91097">
            <w:r w:rsidRPr="00E91097">
              <w:t>7</w:t>
            </w:r>
            <w:r w:rsidR="00834A2D">
              <w:t>,</w:t>
            </w:r>
            <w:r w:rsidRPr="00E91097">
              <w:t>320</w:t>
            </w:r>
            <w:r w:rsidR="00834A2D">
              <w:t>,</w:t>
            </w:r>
            <w:r w:rsidRPr="00E91097">
              <w:t>281</w:t>
            </w:r>
          </w:p>
        </w:tc>
      </w:tr>
      <w:tr w:rsidR="00834A2D" w:rsidRPr="00E91097" w14:paraId="42182C89" w14:textId="77777777" w:rsidTr="00651C67">
        <w:trPr>
          <w:trHeight w:val="255"/>
          <w:jc w:val="center"/>
        </w:trPr>
        <w:tc>
          <w:tcPr>
            <w:tcW w:w="1106" w:type="dxa"/>
            <w:noWrap/>
            <w:hideMark/>
          </w:tcPr>
          <w:p w14:paraId="418A74E3" w14:textId="01F6ADA7" w:rsidR="00834A2D" w:rsidRPr="00E91097" w:rsidRDefault="00834A2D" w:rsidP="00834A2D">
            <w:r w:rsidRPr="00E91097">
              <w:t>Follow</w:t>
            </w:r>
            <w:r>
              <w:t xml:space="preserve"> u</w:t>
            </w:r>
            <w:r w:rsidRPr="00E91097">
              <w:t>p</w:t>
            </w:r>
          </w:p>
        </w:tc>
        <w:tc>
          <w:tcPr>
            <w:tcW w:w="1327" w:type="dxa"/>
            <w:noWrap/>
            <w:hideMark/>
          </w:tcPr>
          <w:p w14:paraId="77B305AC" w14:textId="77777777" w:rsidR="00834A2D" w:rsidRPr="00E91097" w:rsidRDefault="00834A2D" w:rsidP="00834A2D">
            <w:r w:rsidRPr="00E91097">
              <w:t>Measles</w:t>
            </w:r>
          </w:p>
        </w:tc>
        <w:tc>
          <w:tcPr>
            <w:tcW w:w="913" w:type="dxa"/>
            <w:noWrap/>
            <w:hideMark/>
          </w:tcPr>
          <w:p w14:paraId="29ED9631" w14:textId="77777777" w:rsidR="00834A2D" w:rsidRPr="00E91097" w:rsidRDefault="00834A2D" w:rsidP="00834A2D">
            <w:r w:rsidRPr="00E91097">
              <w:t>2016</w:t>
            </w:r>
          </w:p>
        </w:tc>
        <w:tc>
          <w:tcPr>
            <w:tcW w:w="1388" w:type="dxa"/>
            <w:noWrap/>
            <w:hideMark/>
          </w:tcPr>
          <w:p w14:paraId="1AA78F46" w14:textId="77777777" w:rsidR="00834A2D" w:rsidRPr="00E91097" w:rsidRDefault="00834A2D" w:rsidP="00834A2D">
            <w:r w:rsidRPr="00E91097">
              <w:t>19/07/2016</w:t>
            </w:r>
          </w:p>
        </w:tc>
        <w:tc>
          <w:tcPr>
            <w:tcW w:w="1278" w:type="dxa"/>
            <w:noWrap/>
            <w:hideMark/>
          </w:tcPr>
          <w:p w14:paraId="2930301F" w14:textId="77777777" w:rsidR="00834A2D" w:rsidRPr="00E91097" w:rsidRDefault="00834A2D" w:rsidP="00834A2D">
            <w:r w:rsidRPr="00E91097">
              <w:t>01/11/2016</w:t>
            </w:r>
          </w:p>
        </w:tc>
        <w:tc>
          <w:tcPr>
            <w:tcW w:w="1119" w:type="dxa"/>
            <w:noWrap/>
            <w:hideMark/>
          </w:tcPr>
          <w:p w14:paraId="38B2D7E0" w14:textId="77777777" w:rsidR="00834A2D" w:rsidRPr="00E91097" w:rsidRDefault="00834A2D" w:rsidP="00834A2D">
            <w:r w:rsidRPr="00E91097">
              <w:t>6-59 M</w:t>
            </w:r>
          </w:p>
        </w:tc>
        <w:tc>
          <w:tcPr>
            <w:tcW w:w="1352" w:type="dxa"/>
            <w:noWrap/>
            <w:hideMark/>
          </w:tcPr>
          <w:p w14:paraId="40107235" w14:textId="2DCE0A39" w:rsidR="00834A2D" w:rsidRPr="00E91097" w:rsidRDefault="00834A2D" w:rsidP="00834A2D">
            <w:r w:rsidRPr="00E91097">
              <w:t>Nat</w:t>
            </w:r>
            <w:r>
              <w:t>ional rollout</w:t>
            </w:r>
          </w:p>
        </w:tc>
        <w:tc>
          <w:tcPr>
            <w:tcW w:w="1054" w:type="dxa"/>
            <w:noWrap/>
            <w:hideMark/>
          </w:tcPr>
          <w:p w14:paraId="51FA402E" w14:textId="77777777" w:rsidR="00834A2D" w:rsidRPr="00E91097" w:rsidRDefault="00834A2D" w:rsidP="00834A2D">
            <w:r w:rsidRPr="00E91097">
              <w:t>planned</w:t>
            </w:r>
          </w:p>
        </w:tc>
        <w:tc>
          <w:tcPr>
            <w:tcW w:w="1218" w:type="dxa"/>
            <w:noWrap/>
            <w:hideMark/>
          </w:tcPr>
          <w:p w14:paraId="087D1841" w14:textId="32DCA658" w:rsidR="00834A2D" w:rsidRPr="00E91097" w:rsidRDefault="00834A2D" w:rsidP="00834A2D">
            <w:r w:rsidRPr="00E91097">
              <w:t>16</w:t>
            </w:r>
            <w:r>
              <w:t>,</w:t>
            </w:r>
            <w:r w:rsidRPr="00E91097">
              <w:t>109</w:t>
            </w:r>
            <w:r>
              <w:t>,</w:t>
            </w:r>
            <w:r w:rsidRPr="00E91097">
              <w:t>995</w:t>
            </w:r>
          </w:p>
        </w:tc>
      </w:tr>
      <w:tr w:rsidR="00834A2D" w:rsidRPr="00E91097" w14:paraId="3F9B58BC" w14:textId="77777777" w:rsidTr="00651C67">
        <w:trPr>
          <w:trHeight w:val="255"/>
          <w:jc w:val="center"/>
        </w:trPr>
        <w:tc>
          <w:tcPr>
            <w:tcW w:w="1106" w:type="dxa"/>
            <w:noWrap/>
            <w:hideMark/>
          </w:tcPr>
          <w:p w14:paraId="34716314" w14:textId="77777777" w:rsidR="00E91097" w:rsidRPr="00E91097" w:rsidRDefault="00E91097" w:rsidP="00E91097">
            <w:r w:rsidRPr="00E91097">
              <w:t>SNID</w:t>
            </w:r>
          </w:p>
        </w:tc>
        <w:tc>
          <w:tcPr>
            <w:tcW w:w="1327" w:type="dxa"/>
            <w:noWrap/>
            <w:hideMark/>
          </w:tcPr>
          <w:p w14:paraId="7CF2D1E6" w14:textId="77777777" w:rsidR="00E91097" w:rsidRPr="00E91097" w:rsidRDefault="00E91097" w:rsidP="00E91097">
            <w:proofErr w:type="spellStart"/>
            <w:r w:rsidRPr="00E91097">
              <w:t>bOPV</w:t>
            </w:r>
            <w:proofErr w:type="spellEnd"/>
          </w:p>
        </w:tc>
        <w:tc>
          <w:tcPr>
            <w:tcW w:w="913" w:type="dxa"/>
            <w:noWrap/>
            <w:hideMark/>
          </w:tcPr>
          <w:p w14:paraId="0A6B6A61" w14:textId="77777777" w:rsidR="00E91097" w:rsidRPr="00E91097" w:rsidRDefault="00E91097" w:rsidP="00E91097">
            <w:r w:rsidRPr="00E91097">
              <w:t>2016</w:t>
            </w:r>
          </w:p>
        </w:tc>
        <w:tc>
          <w:tcPr>
            <w:tcW w:w="1388" w:type="dxa"/>
            <w:noWrap/>
            <w:hideMark/>
          </w:tcPr>
          <w:p w14:paraId="55DCCE99" w14:textId="77777777" w:rsidR="00E91097" w:rsidRPr="00E91097" w:rsidRDefault="00E91097" w:rsidP="00E91097">
            <w:r w:rsidRPr="00E91097">
              <w:t>01/10/2016</w:t>
            </w:r>
          </w:p>
        </w:tc>
        <w:tc>
          <w:tcPr>
            <w:tcW w:w="1278" w:type="dxa"/>
            <w:noWrap/>
            <w:hideMark/>
          </w:tcPr>
          <w:p w14:paraId="12EEA8BD" w14:textId="77777777" w:rsidR="00E91097" w:rsidRPr="00E91097" w:rsidRDefault="00E91097" w:rsidP="00E91097"/>
        </w:tc>
        <w:tc>
          <w:tcPr>
            <w:tcW w:w="1119" w:type="dxa"/>
            <w:noWrap/>
            <w:hideMark/>
          </w:tcPr>
          <w:p w14:paraId="68CC1660" w14:textId="77777777" w:rsidR="00E91097" w:rsidRPr="00E91097" w:rsidRDefault="00E91097" w:rsidP="00E91097">
            <w:r w:rsidRPr="00E91097">
              <w:t>0 to 5 years</w:t>
            </w:r>
          </w:p>
        </w:tc>
        <w:tc>
          <w:tcPr>
            <w:tcW w:w="1352" w:type="dxa"/>
            <w:noWrap/>
            <w:hideMark/>
          </w:tcPr>
          <w:p w14:paraId="78835828" w14:textId="5604F4F5" w:rsidR="00E91097" w:rsidRPr="00E91097" w:rsidRDefault="00E91097" w:rsidP="00834A2D">
            <w:r w:rsidRPr="00E91097">
              <w:t>Sub-</w:t>
            </w:r>
            <w:r w:rsidR="00834A2D">
              <w:t>n</w:t>
            </w:r>
            <w:r w:rsidRPr="00E91097">
              <w:t>ational</w:t>
            </w:r>
          </w:p>
        </w:tc>
        <w:tc>
          <w:tcPr>
            <w:tcW w:w="1054" w:type="dxa"/>
            <w:noWrap/>
            <w:hideMark/>
          </w:tcPr>
          <w:p w14:paraId="61D9FD53" w14:textId="77777777" w:rsidR="00E91097" w:rsidRPr="00E91097" w:rsidRDefault="00E91097" w:rsidP="00E91097">
            <w:r w:rsidRPr="00E91097">
              <w:t>Planned</w:t>
            </w:r>
          </w:p>
        </w:tc>
        <w:tc>
          <w:tcPr>
            <w:tcW w:w="1218" w:type="dxa"/>
            <w:noWrap/>
            <w:hideMark/>
          </w:tcPr>
          <w:p w14:paraId="02D850AB" w14:textId="015EAAE4" w:rsidR="00E91097" w:rsidRPr="00E91097" w:rsidRDefault="00E91097" w:rsidP="00E91097">
            <w:r w:rsidRPr="00E91097">
              <w:t>8</w:t>
            </w:r>
            <w:r w:rsidR="00834A2D">
              <w:t>,</w:t>
            </w:r>
            <w:r w:rsidRPr="00E91097">
              <w:t>121</w:t>
            </w:r>
            <w:r w:rsidR="00834A2D">
              <w:t>,</w:t>
            </w:r>
            <w:r w:rsidRPr="00E91097">
              <w:t>548</w:t>
            </w:r>
          </w:p>
        </w:tc>
      </w:tr>
      <w:tr w:rsidR="00834A2D" w:rsidRPr="00E91097" w14:paraId="781389A1" w14:textId="77777777" w:rsidTr="00651C67">
        <w:trPr>
          <w:trHeight w:val="255"/>
          <w:jc w:val="center"/>
        </w:trPr>
        <w:tc>
          <w:tcPr>
            <w:tcW w:w="1106" w:type="dxa"/>
            <w:noWrap/>
            <w:hideMark/>
          </w:tcPr>
          <w:p w14:paraId="45A7E902" w14:textId="77777777" w:rsidR="00E91097" w:rsidRPr="00E91097" w:rsidRDefault="00E91097" w:rsidP="00E91097">
            <w:r w:rsidRPr="00E91097">
              <w:t>NID</w:t>
            </w:r>
          </w:p>
        </w:tc>
        <w:tc>
          <w:tcPr>
            <w:tcW w:w="1327" w:type="dxa"/>
            <w:noWrap/>
            <w:hideMark/>
          </w:tcPr>
          <w:p w14:paraId="55A2D1DC" w14:textId="77777777" w:rsidR="00E91097" w:rsidRPr="00E91097" w:rsidRDefault="00E91097" w:rsidP="00E91097">
            <w:proofErr w:type="spellStart"/>
            <w:r w:rsidRPr="00E91097">
              <w:t>tOPV</w:t>
            </w:r>
            <w:proofErr w:type="spellEnd"/>
          </w:p>
        </w:tc>
        <w:tc>
          <w:tcPr>
            <w:tcW w:w="913" w:type="dxa"/>
            <w:noWrap/>
            <w:hideMark/>
          </w:tcPr>
          <w:p w14:paraId="6259C07C" w14:textId="77777777" w:rsidR="00E91097" w:rsidRPr="00E91097" w:rsidRDefault="00E91097" w:rsidP="00E91097">
            <w:r w:rsidRPr="00E91097">
              <w:t>2016</w:t>
            </w:r>
          </w:p>
        </w:tc>
        <w:tc>
          <w:tcPr>
            <w:tcW w:w="1388" w:type="dxa"/>
            <w:noWrap/>
            <w:hideMark/>
          </w:tcPr>
          <w:p w14:paraId="283A2D8A" w14:textId="77777777" w:rsidR="00E91097" w:rsidRPr="00E91097" w:rsidRDefault="00E91097" w:rsidP="00E91097">
            <w:r w:rsidRPr="00E91097">
              <w:t>14/04/2016</w:t>
            </w:r>
          </w:p>
        </w:tc>
        <w:tc>
          <w:tcPr>
            <w:tcW w:w="1278" w:type="dxa"/>
            <w:noWrap/>
            <w:hideMark/>
          </w:tcPr>
          <w:p w14:paraId="5AF1CE77" w14:textId="77777777" w:rsidR="00E91097" w:rsidRPr="00E91097" w:rsidRDefault="00E91097" w:rsidP="00E91097">
            <w:r w:rsidRPr="00E91097">
              <w:t>16/04/2016</w:t>
            </w:r>
          </w:p>
        </w:tc>
        <w:tc>
          <w:tcPr>
            <w:tcW w:w="1119" w:type="dxa"/>
            <w:noWrap/>
            <w:hideMark/>
          </w:tcPr>
          <w:p w14:paraId="098A8213" w14:textId="77777777" w:rsidR="00E91097" w:rsidRPr="00E91097" w:rsidRDefault="00E91097" w:rsidP="00E91097">
            <w:r w:rsidRPr="00E91097">
              <w:t>0 to 5 years</w:t>
            </w:r>
          </w:p>
        </w:tc>
        <w:tc>
          <w:tcPr>
            <w:tcW w:w="1352" w:type="dxa"/>
            <w:noWrap/>
            <w:hideMark/>
          </w:tcPr>
          <w:p w14:paraId="21ACDA63" w14:textId="77777777" w:rsidR="00E91097" w:rsidRPr="00E91097" w:rsidRDefault="00E91097" w:rsidP="00E91097">
            <w:r w:rsidRPr="00E91097">
              <w:t>National</w:t>
            </w:r>
          </w:p>
        </w:tc>
        <w:tc>
          <w:tcPr>
            <w:tcW w:w="1054" w:type="dxa"/>
            <w:noWrap/>
            <w:hideMark/>
          </w:tcPr>
          <w:p w14:paraId="7F42C660" w14:textId="77777777" w:rsidR="00E91097" w:rsidRPr="00E91097" w:rsidRDefault="00E91097" w:rsidP="00E91097">
            <w:r w:rsidRPr="00E91097">
              <w:t>Planned</w:t>
            </w:r>
          </w:p>
        </w:tc>
        <w:tc>
          <w:tcPr>
            <w:tcW w:w="1218" w:type="dxa"/>
            <w:noWrap/>
            <w:hideMark/>
          </w:tcPr>
          <w:p w14:paraId="3FC15CD7" w14:textId="3DFC9598" w:rsidR="00E91097" w:rsidRPr="00E91097" w:rsidRDefault="00E91097" w:rsidP="00E91097">
            <w:r w:rsidRPr="00E91097">
              <w:t>18</w:t>
            </w:r>
            <w:r w:rsidR="00834A2D">
              <w:t>,</w:t>
            </w:r>
            <w:r w:rsidRPr="00E91097">
              <w:t>166</w:t>
            </w:r>
            <w:r w:rsidR="00834A2D">
              <w:t>,</w:t>
            </w:r>
            <w:r w:rsidRPr="00E91097">
              <w:t>533</w:t>
            </w:r>
          </w:p>
        </w:tc>
      </w:tr>
      <w:tr w:rsidR="00834A2D" w:rsidRPr="00E91097" w14:paraId="76E2B1A5" w14:textId="77777777" w:rsidTr="00651C67">
        <w:trPr>
          <w:trHeight w:val="255"/>
          <w:jc w:val="center"/>
        </w:trPr>
        <w:tc>
          <w:tcPr>
            <w:tcW w:w="1106" w:type="dxa"/>
            <w:noWrap/>
            <w:hideMark/>
          </w:tcPr>
          <w:p w14:paraId="2093EA6A" w14:textId="77777777" w:rsidR="00E91097" w:rsidRPr="00E91097" w:rsidRDefault="00E91097" w:rsidP="00E91097">
            <w:r w:rsidRPr="00E91097">
              <w:t>NID</w:t>
            </w:r>
          </w:p>
        </w:tc>
        <w:tc>
          <w:tcPr>
            <w:tcW w:w="1327" w:type="dxa"/>
            <w:noWrap/>
            <w:hideMark/>
          </w:tcPr>
          <w:p w14:paraId="6594A0F9" w14:textId="77777777" w:rsidR="00E91097" w:rsidRPr="00E91097" w:rsidRDefault="00E91097" w:rsidP="00E91097">
            <w:proofErr w:type="spellStart"/>
            <w:r w:rsidRPr="00E91097">
              <w:t>tOPV</w:t>
            </w:r>
            <w:proofErr w:type="spellEnd"/>
          </w:p>
        </w:tc>
        <w:tc>
          <w:tcPr>
            <w:tcW w:w="913" w:type="dxa"/>
            <w:noWrap/>
            <w:hideMark/>
          </w:tcPr>
          <w:p w14:paraId="11F060B4" w14:textId="77777777" w:rsidR="00E91097" w:rsidRPr="00E91097" w:rsidRDefault="00E91097" w:rsidP="00E91097">
            <w:r w:rsidRPr="00E91097">
              <w:t>2016</w:t>
            </w:r>
          </w:p>
        </w:tc>
        <w:tc>
          <w:tcPr>
            <w:tcW w:w="1388" w:type="dxa"/>
            <w:noWrap/>
            <w:hideMark/>
          </w:tcPr>
          <w:p w14:paraId="4DBA909D" w14:textId="77777777" w:rsidR="00E91097" w:rsidRPr="00E91097" w:rsidRDefault="00E91097" w:rsidP="00E91097">
            <w:r w:rsidRPr="00E91097">
              <w:t>24/03/2016</w:t>
            </w:r>
          </w:p>
        </w:tc>
        <w:tc>
          <w:tcPr>
            <w:tcW w:w="1278" w:type="dxa"/>
            <w:noWrap/>
            <w:hideMark/>
          </w:tcPr>
          <w:p w14:paraId="094AABDC" w14:textId="77777777" w:rsidR="00E91097" w:rsidRPr="00E91097" w:rsidRDefault="00E91097" w:rsidP="00E91097">
            <w:r w:rsidRPr="00E91097">
              <w:t>26/03/2016</w:t>
            </w:r>
          </w:p>
        </w:tc>
        <w:tc>
          <w:tcPr>
            <w:tcW w:w="1119" w:type="dxa"/>
            <w:noWrap/>
            <w:hideMark/>
          </w:tcPr>
          <w:p w14:paraId="10AFBBB7" w14:textId="77777777" w:rsidR="00E91097" w:rsidRPr="00E91097" w:rsidRDefault="00E91097" w:rsidP="00E91097">
            <w:r w:rsidRPr="00E91097">
              <w:t>0 to 5 years</w:t>
            </w:r>
          </w:p>
        </w:tc>
        <w:tc>
          <w:tcPr>
            <w:tcW w:w="1352" w:type="dxa"/>
            <w:noWrap/>
            <w:hideMark/>
          </w:tcPr>
          <w:p w14:paraId="40C11613" w14:textId="77777777" w:rsidR="00E91097" w:rsidRPr="00E91097" w:rsidRDefault="00E91097" w:rsidP="00E91097">
            <w:r w:rsidRPr="00E91097">
              <w:t>National</w:t>
            </w:r>
          </w:p>
        </w:tc>
        <w:tc>
          <w:tcPr>
            <w:tcW w:w="1054" w:type="dxa"/>
            <w:noWrap/>
            <w:hideMark/>
          </w:tcPr>
          <w:p w14:paraId="4A78B264" w14:textId="77777777" w:rsidR="00E91097" w:rsidRPr="00E91097" w:rsidRDefault="00E91097" w:rsidP="00E91097">
            <w:r w:rsidRPr="00E91097">
              <w:t>Planned</w:t>
            </w:r>
          </w:p>
        </w:tc>
        <w:tc>
          <w:tcPr>
            <w:tcW w:w="1218" w:type="dxa"/>
            <w:noWrap/>
            <w:hideMark/>
          </w:tcPr>
          <w:p w14:paraId="136077DA" w14:textId="11149CC7" w:rsidR="00E91097" w:rsidRPr="00E91097" w:rsidRDefault="00E91097" w:rsidP="00E91097">
            <w:r w:rsidRPr="00E91097">
              <w:t>18</w:t>
            </w:r>
            <w:r w:rsidR="00834A2D">
              <w:t>,</w:t>
            </w:r>
            <w:r w:rsidRPr="00E91097">
              <w:t>166</w:t>
            </w:r>
            <w:r w:rsidR="00834A2D">
              <w:t>,</w:t>
            </w:r>
            <w:r w:rsidRPr="00E91097">
              <w:t>533</w:t>
            </w:r>
          </w:p>
        </w:tc>
      </w:tr>
      <w:tr w:rsidR="00834A2D" w:rsidRPr="00E91097" w14:paraId="658B50DE" w14:textId="77777777" w:rsidTr="00651C67">
        <w:trPr>
          <w:trHeight w:val="255"/>
          <w:jc w:val="center"/>
        </w:trPr>
        <w:tc>
          <w:tcPr>
            <w:tcW w:w="1106" w:type="dxa"/>
            <w:noWrap/>
            <w:hideMark/>
          </w:tcPr>
          <w:p w14:paraId="71C603C5" w14:textId="77777777" w:rsidR="00E91097" w:rsidRPr="00E91097" w:rsidRDefault="00E91097" w:rsidP="00E91097">
            <w:r w:rsidRPr="00E91097">
              <w:t>SNID</w:t>
            </w:r>
          </w:p>
        </w:tc>
        <w:tc>
          <w:tcPr>
            <w:tcW w:w="1327" w:type="dxa"/>
            <w:noWrap/>
            <w:hideMark/>
          </w:tcPr>
          <w:p w14:paraId="548B8E15" w14:textId="77777777" w:rsidR="00E91097" w:rsidRPr="00E91097" w:rsidRDefault="00E91097" w:rsidP="00E91097">
            <w:proofErr w:type="spellStart"/>
            <w:r w:rsidRPr="00E91097">
              <w:t>tOPV</w:t>
            </w:r>
            <w:proofErr w:type="spellEnd"/>
          </w:p>
        </w:tc>
        <w:tc>
          <w:tcPr>
            <w:tcW w:w="913" w:type="dxa"/>
            <w:noWrap/>
            <w:hideMark/>
          </w:tcPr>
          <w:p w14:paraId="08D69CAA" w14:textId="77777777" w:rsidR="00E91097" w:rsidRPr="00E91097" w:rsidRDefault="00E91097" w:rsidP="00E91097">
            <w:r w:rsidRPr="00E91097">
              <w:t>2016</w:t>
            </w:r>
          </w:p>
        </w:tc>
        <w:tc>
          <w:tcPr>
            <w:tcW w:w="1388" w:type="dxa"/>
            <w:noWrap/>
            <w:hideMark/>
          </w:tcPr>
          <w:p w14:paraId="2C44E1DA" w14:textId="77777777" w:rsidR="00E91097" w:rsidRPr="00E91097" w:rsidRDefault="00E91097" w:rsidP="00E91097">
            <w:r w:rsidRPr="00E91097">
              <w:t>25/04/2016</w:t>
            </w:r>
          </w:p>
        </w:tc>
        <w:tc>
          <w:tcPr>
            <w:tcW w:w="1278" w:type="dxa"/>
            <w:noWrap/>
            <w:hideMark/>
          </w:tcPr>
          <w:p w14:paraId="69993598" w14:textId="77777777" w:rsidR="00E91097" w:rsidRPr="00E91097" w:rsidRDefault="00E91097" w:rsidP="00E91097">
            <w:r w:rsidRPr="00E91097">
              <w:t>27/04/2016</w:t>
            </w:r>
          </w:p>
        </w:tc>
        <w:tc>
          <w:tcPr>
            <w:tcW w:w="1119" w:type="dxa"/>
            <w:noWrap/>
            <w:hideMark/>
          </w:tcPr>
          <w:p w14:paraId="35A9FA69" w14:textId="77777777" w:rsidR="00E91097" w:rsidRPr="00E91097" w:rsidRDefault="00E91097" w:rsidP="00E91097">
            <w:r w:rsidRPr="00E91097">
              <w:t>0 to 9 years</w:t>
            </w:r>
          </w:p>
        </w:tc>
        <w:tc>
          <w:tcPr>
            <w:tcW w:w="1352" w:type="dxa"/>
            <w:noWrap/>
            <w:hideMark/>
          </w:tcPr>
          <w:p w14:paraId="54F86117" w14:textId="1482208F" w:rsidR="00E91097" w:rsidRPr="00E91097" w:rsidRDefault="00834A2D" w:rsidP="00E91097">
            <w:r>
              <w:t>Sub-n</w:t>
            </w:r>
            <w:r w:rsidR="00E91097" w:rsidRPr="00E91097">
              <w:t>ational</w:t>
            </w:r>
          </w:p>
        </w:tc>
        <w:tc>
          <w:tcPr>
            <w:tcW w:w="1054" w:type="dxa"/>
            <w:noWrap/>
            <w:hideMark/>
          </w:tcPr>
          <w:p w14:paraId="57B18C1E" w14:textId="77777777" w:rsidR="00E91097" w:rsidRPr="00E91097" w:rsidRDefault="00E91097" w:rsidP="00E91097">
            <w:r w:rsidRPr="00E91097">
              <w:t>Planned</w:t>
            </w:r>
          </w:p>
        </w:tc>
        <w:tc>
          <w:tcPr>
            <w:tcW w:w="1218" w:type="dxa"/>
            <w:noWrap/>
            <w:hideMark/>
          </w:tcPr>
          <w:p w14:paraId="51592FCB" w14:textId="5022084E" w:rsidR="00E91097" w:rsidRPr="00E91097" w:rsidRDefault="00E91097" w:rsidP="00E91097">
            <w:r w:rsidRPr="00E91097">
              <w:t>1</w:t>
            </w:r>
            <w:r w:rsidR="00834A2D">
              <w:t>,</w:t>
            </w:r>
            <w:r w:rsidRPr="00E91097">
              <w:t>430</w:t>
            </w:r>
            <w:r w:rsidR="00834A2D">
              <w:t>,</w:t>
            </w:r>
            <w:r w:rsidRPr="00E91097">
              <w:t>939</w:t>
            </w:r>
          </w:p>
        </w:tc>
      </w:tr>
      <w:tr w:rsidR="00834A2D" w:rsidRPr="00E91097" w14:paraId="554832BA" w14:textId="77777777" w:rsidTr="00651C67">
        <w:trPr>
          <w:trHeight w:val="255"/>
          <w:jc w:val="center"/>
        </w:trPr>
        <w:tc>
          <w:tcPr>
            <w:tcW w:w="1106" w:type="dxa"/>
            <w:noWrap/>
            <w:hideMark/>
          </w:tcPr>
          <w:p w14:paraId="2CAA317C" w14:textId="77777777" w:rsidR="00E91097" w:rsidRPr="00E91097" w:rsidRDefault="00E91097" w:rsidP="00E91097">
            <w:r w:rsidRPr="00E91097">
              <w:t>Campaign</w:t>
            </w:r>
          </w:p>
        </w:tc>
        <w:tc>
          <w:tcPr>
            <w:tcW w:w="1327" w:type="dxa"/>
            <w:noWrap/>
            <w:hideMark/>
          </w:tcPr>
          <w:p w14:paraId="18393DE9" w14:textId="77777777" w:rsidR="00E91097" w:rsidRPr="00E91097" w:rsidRDefault="00E91097" w:rsidP="00E91097">
            <w:proofErr w:type="spellStart"/>
            <w:r w:rsidRPr="00E91097">
              <w:t>MenA</w:t>
            </w:r>
            <w:proofErr w:type="spellEnd"/>
          </w:p>
        </w:tc>
        <w:tc>
          <w:tcPr>
            <w:tcW w:w="913" w:type="dxa"/>
            <w:noWrap/>
            <w:hideMark/>
          </w:tcPr>
          <w:p w14:paraId="6708E1A5" w14:textId="77777777" w:rsidR="00E91097" w:rsidRPr="00E91097" w:rsidRDefault="00E91097" w:rsidP="00E91097">
            <w:r w:rsidRPr="00E91097">
              <w:t>2016</w:t>
            </w:r>
          </w:p>
        </w:tc>
        <w:tc>
          <w:tcPr>
            <w:tcW w:w="1388" w:type="dxa"/>
            <w:noWrap/>
            <w:hideMark/>
          </w:tcPr>
          <w:p w14:paraId="5AC55427" w14:textId="77777777" w:rsidR="00E91097" w:rsidRPr="00E91097" w:rsidRDefault="00E91097" w:rsidP="00E91097">
            <w:r w:rsidRPr="00E91097">
              <w:t>01/02/2016</w:t>
            </w:r>
          </w:p>
        </w:tc>
        <w:tc>
          <w:tcPr>
            <w:tcW w:w="1278" w:type="dxa"/>
            <w:noWrap/>
            <w:hideMark/>
          </w:tcPr>
          <w:p w14:paraId="5F3A3482" w14:textId="77777777" w:rsidR="00E91097" w:rsidRPr="00E91097" w:rsidRDefault="00E91097" w:rsidP="00E91097"/>
        </w:tc>
        <w:tc>
          <w:tcPr>
            <w:tcW w:w="1119" w:type="dxa"/>
            <w:noWrap/>
            <w:hideMark/>
          </w:tcPr>
          <w:p w14:paraId="56FD3EFC" w14:textId="77777777" w:rsidR="00E91097" w:rsidRPr="00E91097" w:rsidRDefault="00E91097" w:rsidP="00E91097">
            <w:r w:rsidRPr="00E91097">
              <w:t>1-29 Y</w:t>
            </w:r>
          </w:p>
        </w:tc>
        <w:tc>
          <w:tcPr>
            <w:tcW w:w="1352" w:type="dxa"/>
            <w:noWrap/>
            <w:hideMark/>
          </w:tcPr>
          <w:p w14:paraId="4C6628A1" w14:textId="77777777" w:rsidR="00E91097" w:rsidRPr="00E91097" w:rsidRDefault="00E91097" w:rsidP="00E91097">
            <w:r w:rsidRPr="00E91097">
              <w:t>Sub-national</w:t>
            </w:r>
          </w:p>
        </w:tc>
        <w:tc>
          <w:tcPr>
            <w:tcW w:w="1054" w:type="dxa"/>
            <w:noWrap/>
            <w:hideMark/>
          </w:tcPr>
          <w:p w14:paraId="06319596" w14:textId="77777777" w:rsidR="00E91097" w:rsidRPr="00E91097" w:rsidRDefault="00E91097" w:rsidP="00E91097">
            <w:r w:rsidRPr="00E91097">
              <w:t>planned</w:t>
            </w:r>
          </w:p>
        </w:tc>
        <w:tc>
          <w:tcPr>
            <w:tcW w:w="1218" w:type="dxa"/>
            <w:noWrap/>
            <w:hideMark/>
          </w:tcPr>
          <w:p w14:paraId="374460F4" w14:textId="18DDC840" w:rsidR="00E91097" w:rsidRPr="00E91097" w:rsidRDefault="00E91097" w:rsidP="00E91097">
            <w:r w:rsidRPr="00E91097">
              <w:t>10</w:t>
            </w:r>
            <w:r w:rsidR="00834A2D">
              <w:t>,</w:t>
            </w:r>
            <w:r w:rsidRPr="00E91097">
              <w:t>117</w:t>
            </w:r>
            <w:r w:rsidR="00834A2D">
              <w:t>,</w:t>
            </w:r>
            <w:r w:rsidRPr="00E91097">
              <w:t>371</w:t>
            </w:r>
          </w:p>
        </w:tc>
      </w:tr>
      <w:tr w:rsidR="00834A2D" w:rsidRPr="00E91097" w14:paraId="116F6158" w14:textId="77777777" w:rsidTr="00651C67">
        <w:trPr>
          <w:trHeight w:val="255"/>
          <w:jc w:val="center"/>
        </w:trPr>
        <w:tc>
          <w:tcPr>
            <w:tcW w:w="1106" w:type="dxa"/>
            <w:noWrap/>
            <w:hideMark/>
          </w:tcPr>
          <w:p w14:paraId="4DCEEB5A" w14:textId="77777777" w:rsidR="00E91097" w:rsidRPr="00E91097" w:rsidRDefault="00E91097" w:rsidP="00E91097">
            <w:r w:rsidRPr="00E91097">
              <w:t>Campaign</w:t>
            </w:r>
          </w:p>
        </w:tc>
        <w:tc>
          <w:tcPr>
            <w:tcW w:w="1327" w:type="dxa"/>
            <w:noWrap/>
            <w:hideMark/>
          </w:tcPr>
          <w:p w14:paraId="1627B71C" w14:textId="77777777" w:rsidR="00E91097" w:rsidRPr="00E91097" w:rsidRDefault="00E91097" w:rsidP="00E91097">
            <w:proofErr w:type="spellStart"/>
            <w:r w:rsidRPr="00E91097">
              <w:t>MenA</w:t>
            </w:r>
            <w:proofErr w:type="spellEnd"/>
          </w:p>
        </w:tc>
        <w:tc>
          <w:tcPr>
            <w:tcW w:w="913" w:type="dxa"/>
            <w:noWrap/>
            <w:hideMark/>
          </w:tcPr>
          <w:p w14:paraId="0CA877BB" w14:textId="77777777" w:rsidR="00E91097" w:rsidRPr="00E91097" w:rsidRDefault="00E91097" w:rsidP="00E91097">
            <w:r w:rsidRPr="00E91097">
              <w:t>2016</w:t>
            </w:r>
          </w:p>
        </w:tc>
        <w:tc>
          <w:tcPr>
            <w:tcW w:w="1388" w:type="dxa"/>
            <w:noWrap/>
            <w:hideMark/>
          </w:tcPr>
          <w:p w14:paraId="3605EA25" w14:textId="77777777" w:rsidR="00E91097" w:rsidRPr="00E91097" w:rsidRDefault="00E91097" w:rsidP="00E91097">
            <w:r w:rsidRPr="00E91097">
              <w:t>01/05/2016</w:t>
            </w:r>
          </w:p>
        </w:tc>
        <w:tc>
          <w:tcPr>
            <w:tcW w:w="1278" w:type="dxa"/>
            <w:noWrap/>
            <w:hideMark/>
          </w:tcPr>
          <w:p w14:paraId="1BF46389" w14:textId="77777777" w:rsidR="00E91097" w:rsidRPr="00E91097" w:rsidRDefault="00E91097" w:rsidP="00E91097"/>
        </w:tc>
        <w:tc>
          <w:tcPr>
            <w:tcW w:w="1119" w:type="dxa"/>
            <w:noWrap/>
            <w:hideMark/>
          </w:tcPr>
          <w:p w14:paraId="099B4D4C" w14:textId="77777777" w:rsidR="00E91097" w:rsidRPr="00E91097" w:rsidRDefault="00E91097" w:rsidP="00E91097">
            <w:r w:rsidRPr="00E91097">
              <w:t>1-29 Y</w:t>
            </w:r>
          </w:p>
        </w:tc>
        <w:tc>
          <w:tcPr>
            <w:tcW w:w="1352" w:type="dxa"/>
            <w:noWrap/>
            <w:hideMark/>
          </w:tcPr>
          <w:p w14:paraId="25F11DE0" w14:textId="77777777" w:rsidR="00E91097" w:rsidRPr="00E91097" w:rsidRDefault="00E91097" w:rsidP="00E91097">
            <w:r w:rsidRPr="00E91097">
              <w:t>Sub-national</w:t>
            </w:r>
          </w:p>
        </w:tc>
        <w:tc>
          <w:tcPr>
            <w:tcW w:w="1054" w:type="dxa"/>
            <w:noWrap/>
            <w:hideMark/>
          </w:tcPr>
          <w:p w14:paraId="2E13D5DF" w14:textId="77777777" w:rsidR="00E91097" w:rsidRPr="00E91097" w:rsidRDefault="00E91097" w:rsidP="00E91097">
            <w:r w:rsidRPr="00E91097">
              <w:t>planned</w:t>
            </w:r>
          </w:p>
        </w:tc>
        <w:tc>
          <w:tcPr>
            <w:tcW w:w="1218" w:type="dxa"/>
            <w:noWrap/>
            <w:hideMark/>
          </w:tcPr>
          <w:p w14:paraId="4A008807" w14:textId="3AE8282D" w:rsidR="00E91097" w:rsidRPr="00E91097" w:rsidRDefault="00E91097" w:rsidP="00E91097">
            <w:r w:rsidRPr="00E91097">
              <w:t>7</w:t>
            </w:r>
            <w:r w:rsidR="00834A2D">
              <w:t>,</w:t>
            </w:r>
            <w:r w:rsidRPr="00E91097">
              <w:t>927</w:t>
            </w:r>
            <w:r w:rsidR="00834A2D">
              <w:t>,</w:t>
            </w:r>
            <w:r w:rsidRPr="00E91097">
              <w:t>555</w:t>
            </w:r>
          </w:p>
        </w:tc>
      </w:tr>
    </w:tbl>
    <w:p w14:paraId="78F6168D" w14:textId="77777777" w:rsidR="006C334B" w:rsidRDefault="006C334B" w:rsidP="00E91097">
      <w:r>
        <w:t>Source: WHO/IVB Database as at 12/4/2016</w:t>
      </w:r>
    </w:p>
    <w:p w14:paraId="17C796F7" w14:textId="77777777" w:rsidR="001C1E4D" w:rsidRPr="001C1E4D" w:rsidRDefault="006C334B" w:rsidP="006C334B">
      <w:pPr>
        <w:pStyle w:val="ListParagraph"/>
        <w:numPr>
          <w:ilvl w:val="0"/>
          <w:numId w:val="5"/>
        </w:numPr>
      </w:pPr>
      <w:r w:rsidRPr="006C334B">
        <w:rPr>
          <w:b/>
          <w:bCs/>
        </w:rPr>
        <w:t xml:space="preserve">MNT </w:t>
      </w:r>
    </w:p>
    <w:p w14:paraId="513070D7" w14:textId="07F99B70" w:rsidR="00E91097" w:rsidRPr="00834A2D" w:rsidRDefault="002970A7" w:rsidP="00834A2D">
      <w:pPr>
        <w:rPr>
          <w:bCs/>
        </w:rPr>
      </w:pPr>
      <w:r>
        <w:rPr>
          <w:bCs/>
        </w:rPr>
        <w:t>Elimination</w:t>
      </w:r>
      <w:r w:rsidR="00834A2D" w:rsidRPr="00834A2D">
        <w:rPr>
          <w:bCs/>
        </w:rPr>
        <w:t xml:space="preserve"> n</w:t>
      </w:r>
      <w:r w:rsidR="00E91097" w:rsidRPr="00834A2D">
        <w:rPr>
          <w:bCs/>
        </w:rPr>
        <w:t xml:space="preserve">ot yet </w:t>
      </w:r>
      <w:r w:rsidR="00834A2D" w:rsidRPr="00834A2D">
        <w:rPr>
          <w:bCs/>
        </w:rPr>
        <w:t xml:space="preserve">validated. </w:t>
      </w:r>
      <w:r w:rsidR="00E91097" w:rsidRPr="00834A2D">
        <w:rPr>
          <w:bCs/>
        </w:rPr>
        <w:t>Pre-validation assessment planned for Aug-Sept 2016</w:t>
      </w:r>
      <w:r w:rsidR="00834A2D" w:rsidRPr="00834A2D">
        <w:rPr>
          <w:bCs/>
        </w:rPr>
        <w:t>.</w:t>
      </w:r>
    </w:p>
    <w:p w14:paraId="4A65D74C" w14:textId="77777777" w:rsidR="006C334B" w:rsidRPr="006C334B" w:rsidRDefault="006C334B" w:rsidP="006C334B">
      <w:pPr>
        <w:pStyle w:val="ListParagraph"/>
        <w:numPr>
          <w:ilvl w:val="0"/>
          <w:numId w:val="5"/>
        </w:numPr>
        <w:rPr>
          <w:b/>
          <w:bCs/>
        </w:rPr>
      </w:pPr>
      <w:r w:rsidRPr="006C334B">
        <w:rPr>
          <w:b/>
          <w:bCs/>
        </w:rPr>
        <w:t>Coverage and Equity</w:t>
      </w:r>
    </w:p>
    <w:p w14:paraId="71AF2B5F" w14:textId="77777777" w:rsidR="002C45C4" w:rsidRDefault="002C45C4" w:rsidP="002C45C4">
      <w:pPr>
        <w:pStyle w:val="Caption"/>
        <w:rPr>
          <w:rFonts w:ascii="Arial" w:hAnsi="Arial" w:cs="Arial"/>
          <w:color w:val="auto"/>
          <w:sz w:val="22"/>
        </w:rPr>
      </w:pPr>
      <w:r w:rsidRPr="002C45C4">
        <w:rPr>
          <w:rFonts w:ascii="Arial" w:hAnsi="Arial" w:cs="Arial"/>
          <w:color w:val="auto"/>
          <w:sz w:val="22"/>
        </w:rPr>
        <w:t xml:space="preserve">Figure </w:t>
      </w:r>
      <w:r w:rsidRPr="002C45C4">
        <w:rPr>
          <w:rFonts w:ascii="Arial" w:hAnsi="Arial" w:cs="Arial"/>
          <w:color w:val="auto"/>
          <w:sz w:val="22"/>
        </w:rPr>
        <w:fldChar w:fldCharType="begin"/>
      </w:r>
      <w:r w:rsidRPr="002C45C4">
        <w:rPr>
          <w:rFonts w:ascii="Arial" w:hAnsi="Arial" w:cs="Arial"/>
          <w:color w:val="auto"/>
          <w:sz w:val="22"/>
        </w:rPr>
        <w:instrText xml:space="preserve"> SEQ Figure \* ARABIC </w:instrText>
      </w:r>
      <w:r w:rsidRPr="002C45C4">
        <w:rPr>
          <w:rFonts w:ascii="Arial" w:hAnsi="Arial" w:cs="Arial"/>
          <w:color w:val="auto"/>
          <w:sz w:val="22"/>
        </w:rPr>
        <w:fldChar w:fldCharType="separate"/>
      </w:r>
      <w:r w:rsidRPr="002C45C4">
        <w:rPr>
          <w:rFonts w:ascii="Arial" w:hAnsi="Arial" w:cs="Arial"/>
          <w:color w:val="auto"/>
          <w:sz w:val="22"/>
        </w:rPr>
        <w:t>5</w:t>
      </w:r>
      <w:r w:rsidRPr="002C45C4">
        <w:rPr>
          <w:rFonts w:ascii="Arial" w:hAnsi="Arial" w:cs="Arial"/>
          <w:color w:val="auto"/>
          <w:sz w:val="22"/>
        </w:rPr>
        <w:fldChar w:fldCharType="end"/>
      </w:r>
      <w:r w:rsidRPr="002C45C4">
        <w:rPr>
          <w:rFonts w:ascii="Arial" w:hAnsi="Arial" w:cs="Arial"/>
          <w:color w:val="auto"/>
          <w:sz w:val="22"/>
        </w:rPr>
        <w:t>: All vaccines national coverage, DRC, 2000-2015</w:t>
      </w:r>
    </w:p>
    <w:p w14:paraId="56FCB5EF" w14:textId="42113064" w:rsidR="002C45C4" w:rsidRDefault="002C45C4" w:rsidP="002C45C4">
      <w:pPr>
        <w:pStyle w:val="Caption"/>
        <w:jc w:val="center"/>
        <w:rPr>
          <w:rFonts w:ascii="Arial" w:hAnsi="Arial" w:cs="Arial"/>
          <w:b w:val="0"/>
          <w:bCs w:val="0"/>
        </w:rPr>
      </w:pPr>
      <w:r>
        <w:rPr>
          <w:rFonts w:ascii="Arial" w:hAnsi="Arial" w:cs="Arial"/>
          <w:noProof/>
          <w:color w:val="auto"/>
          <w:sz w:val="22"/>
          <w:lang w:eastAsia="zh-CN"/>
        </w:rPr>
        <w:drawing>
          <wp:inline distT="0" distB="0" distL="0" distR="0" wp14:anchorId="45D0BE6B" wp14:editId="7D87D23D">
            <wp:extent cx="4185814" cy="3057525"/>
            <wp:effectExtent l="0" t="0" r="5715" b="0"/>
            <wp:docPr id="14" name="Picture 14" descr="D:\data\GVAP Reports\2016\3. Scrore Cards 2016\jan visualizations DTP3 per country\Punch cards per country\dr c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GVAP Reports\2016\3. Scrore Cards 2016\jan visualizations DTP3 per country\Punch cards per country\dr cong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85814" cy="3057525"/>
                    </a:xfrm>
                    <a:prstGeom prst="rect">
                      <a:avLst/>
                    </a:prstGeom>
                    <a:noFill/>
                    <a:ln>
                      <a:noFill/>
                    </a:ln>
                  </pic:spPr>
                </pic:pic>
              </a:graphicData>
            </a:graphic>
          </wp:inline>
        </w:drawing>
      </w:r>
      <w:r w:rsidR="007774F8">
        <w:rPr>
          <w:rFonts w:ascii="Arial" w:hAnsi="Arial" w:cs="Arial"/>
          <w:noProof/>
          <w:color w:val="auto"/>
          <w:sz w:val="22"/>
          <w:szCs w:val="22"/>
          <w:lang w:eastAsia="zh-CN"/>
        </w:rPr>
        <w:drawing>
          <wp:inline distT="0" distB="0" distL="0" distR="0" wp14:anchorId="287A4BA4" wp14:editId="76B487D9">
            <wp:extent cx="4181475" cy="963900"/>
            <wp:effectExtent l="0" t="0" r="0" b="8255"/>
            <wp:docPr id="11" name="Picture 11" descr="D:\data\GVAP Reports\2016\3. Scrore Cards 2016\jan visualizations DTP3 per country\Punch cards per country\_legend-punch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GVAP Reports\2016\3. Scrore Cards 2016\jan visualizations DTP3 per country\Punch cards per country\_legend-punchcar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9623" cy="963473"/>
                    </a:xfrm>
                    <a:prstGeom prst="rect">
                      <a:avLst/>
                    </a:prstGeom>
                    <a:noFill/>
                    <a:ln>
                      <a:noFill/>
                    </a:ln>
                  </pic:spPr>
                </pic:pic>
              </a:graphicData>
            </a:graphic>
          </wp:inline>
        </w:drawing>
      </w:r>
      <w:r>
        <w:rPr>
          <w:rFonts w:ascii="Arial" w:hAnsi="Arial" w:cs="Arial"/>
          <w:color w:val="auto"/>
          <w:sz w:val="22"/>
        </w:rPr>
        <w:br w:type="page"/>
      </w:r>
    </w:p>
    <w:p w14:paraId="40016DBA" w14:textId="0475064D" w:rsidR="006C334B" w:rsidRPr="00651C67" w:rsidRDefault="00651C67" w:rsidP="00651C67">
      <w:pPr>
        <w:pStyle w:val="Caption"/>
        <w:rPr>
          <w:rFonts w:ascii="Arial" w:hAnsi="Arial" w:cs="Arial"/>
          <w:color w:val="auto"/>
          <w:sz w:val="22"/>
        </w:rPr>
      </w:pPr>
      <w:r w:rsidRPr="00651C67">
        <w:rPr>
          <w:rFonts w:ascii="Arial" w:hAnsi="Arial" w:cs="Arial"/>
          <w:color w:val="auto"/>
          <w:sz w:val="22"/>
        </w:rPr>
        <w:lastRenderedPageBreak/>
        <w:t xml:space="preserve">Table </w:t>
      </w:r>
      <w:r w:rsidRPr="00651C67">
        <w:rPr>
          <w:rFonts w:ascii="Arial" w:hAnsi="Arial" w:cs="Arial"/>
          <w:color w:val="auto"/>
          <w:sz w:val="22"/>
        </w:rPr>
        <w:fldChar w:fldCharType="begin"/>
      </w:r>
      <w:r w:rsidRPr="00651C67">
        <w:rPr>
          <w:rFonts w:ascii="Arial" w:hAnsi="Arial" w:cs="Arial"/>
          <w:color w:val="auto"/>
          <w:sz w:val="22"/>
        </w:rPr>
        <w:instrText xml:space="preserve"> SEQ Table \* ARABIC </w:instrText>
      </w:r>
      <w:r w:rsidRPr="00651C67">
        <w:rPr>
          <w:rFonts w:ascii="Arial" w:hAnsi="Arial" w:cs="Arial"/>
          <w:color w:val="auto"/>
          <w:sz w:val="22"/>
        </w:rPr>
        <w:fldChar w:fldCharType="separate"/>
      </w:r>
      <w:r w:rsidRPr="00651C67">
        <w:rPr>
          <w:rFonts w:ascii="Arial" w:hAnsi="Arial" w:cs="Arial"/>
          <w:color w:val="auto"/>
          <w:sz w:val="22"/>
        </w:rPr>
        <w:t>2</w:t>
      </w:r>
      <w:r w:rsidRPr="00651C67">
        <w:rPr>
          <w:rFonts w:ascii="Arial" w:hAnsi="Arial" w:cs="Arial"/>
          <w:color w:val="auto"/>
          <w:sz w:val="22"/>
        </w:rPr>
        <w:fldChar w:fldCharType="end"/>
      </w:r>
      <w:r w:rsidRPr="00651C67">
        <w:rPr>
          <w:rFonts w:ascii="Arial" w:hAnsi="Arial" w:cs="Arial"/>
          <w:color w:val="auto"/>
          <w:sz w:val="22"/>
        </w:rPr>
        <w:t xml:space="preserve">: </w:t>
      </w:r>
      <w:r w:rsidR="006C334B" w:rsidRPr="00651C67">
        <w:rPr>
          <w:rFonts w:ascii="Arial" w:hAnsi="Arial" w:cs="Arial"/>
          <w:color w:val="auto"/>
          <w:sz w:val="22"/>
        </w:rPr>
        <w:t xml:space="preserve">Reported </w:t>
      </w:r>
      <w:proofErr w:type="spellStart"/>
      <w:r w:rsidR="006C334B" w:rsidRPr="00651C67">
        <w:rPr>
          <w:rFonts w:ascii="Arial" w:hAnsi="Arial" w:cs="Arial"/>
          <w:color w:val="auto"/>
          <w:sz w:val="22"/>
        </w:rPr>
        <w:t>DTP</w:t>
      </w:r>
      <w:r w:rsidR="002C45C4">
        <w:rPr>
          <w:rFonts w:ascii="Arial" w:hAnsi="Arial" w:cs="Arial"/>
          <w:color w:val="auto"/>
          <w:sz w:val="22"/>
        </w:rPr>
        <w:t>cv</w:t>
      </w:r>
      <w:proofErr w:type="spellEnd"/>
      <w:r w:rsidR="006C334B" w:rsidRPr="00651C67">
        <w:rPr>
          <w:rFonts w:ascii="Arial" w:hAnsi="Arial" w:cs="Arial"/>
          <w:color w:val="auto"/>
          <w:sz w:val="22"/>
        </w:rPr>
        <w:t xml:space="preserve"> doses administered &amp; coverage, DR Congo, 2000-2015</w:t>
      </w:r>
    </w:p>
    <w:p w14:paraId="11DB60B9" w14:textId="77777777" w:rsidR="006C334B" w:rsidRDefault="006C334B" w:rsidP="006C334B">
      <w:r>
        <w:rPr>
          <w:noProof/>
          <w:lang w:eastAsia="zh-CN"/>
        </w:rPr>
        <w:drawing>
          <wp:inline distT="0" distB="0" distL="0" distR="0" wp14:anchorId="6B0C16D6" wp14:editId="49D4F5A5">
            <wp:extent cx="6045987" cy="2823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663" cy="2824713"/>
                    </a:xfrm>
                    <a:prstGeom prst="rect">
                      <a:avLst/>
                    </a:prstGeom>
                    <a:noFill/>
                  </pic:spPr>
                </pic:pic>
              </a:graphicData>
            </a:graphic>
          </wp:inline>
        </w:drawing>
      </w:r>
    </w:p>
    <w:p w14:paraId="281A5F1E" w14:textId="77777777" w:rsidR="006C334B" w:rsidRDefault="006C334B" w:rsidP="006C334B">
      <w:r>
        <w:t>* COE: country Official Estimates</w:t>
      </w:r>
    </w:p>
    <w:p w14:paraId="16BFC76F" w14:textId="77777777" w:rsidR="00BC23BE" w:rsidRPr="00B775FA" w:rsidRDefault="00BC23BE" w:rsidP="00BC23BE">
      <w:r w:rsidRPr="00B775FA">
        <w:rPr>
          <w:lang w:val="en-US"/>
        </w:rPr>
        <w:t>Source:</w:t>
      </w:r>
    </w:p>
    <w:p w14:paraId="5652B661" w14:textId="77777777" w:rsidR="00BC23BE" w:rsidRPr="00B775FA" w:rsidRDefault="00BC23BE" w:rsidP="00834A2D">
      <w:pPr>
        <w:spacing w:after="0"/>
      </w:pPr>
      <w:r w:rsidRPr="00B775FA">
        <w:rPr>
          <w:lang w:val="en-US"/>
        </w:rPr>
        <w:t xml:space="preserve">WHO/IVB database, data reported to WHO by member states as of </w:t>
      </w:r>
      <w:r>
        <w:rPr>
          <w:lang w:val="en-US"/>
        </w:rPr>
        <w:t>1 July 2016</w:t>
      </w:r>
    </w:p>
    <w:p w14:paraId="3E2B84E6" w14:textId="77777777" w:rsidR="00BC23BE" w:rsidRPr="00B775FA" w:rsidRDefault="00BC23BE" w:rsidP="00BC23BE">
      <w:r w:rsidRPr="00B775FA">
        <w:rPr>
          <w:lang w:val="en-US"/>
        </w:rPr>
        <w:t>WHO/UNICEF national coverage estimates, 2014 revision, data as of July 2015</w:t>
      </w:r>
    </w:p>
    <w:p w14:paraId="26964758" w14:textId="347ED13E" w:rsidR="006C334B" w:rsidRPr="00651C67" w:rsidRDefault="00651C67" w:rsidP="00651C67">
      <w:pPr>
        <w:pStyle w:val="Caption"/>
        <w:rPr>
          <w:rFonts w:ascii="Arial" w:hAnsi="Arial" w:cs="Arial"/>
          <w:color w:val="auto"/>
          <w:sz w:val="22"/>
        </w:rPr>
      </w:pPr>
      <w:r w:rsidRPr="00651C67">
        <w:rPr>
          <w:rFonts w:ascii="Arial" w:hAnsi="Arial" w:cs="Arial"/>
          <w:color w:val="auto"/>
          <w:sz w:val="22"/>
        </w:rPr>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6</w:t>
      </w:r>
      <w:r w:rsidRPr="00651C67">
        <w:rPr>
          <w:rFonts w:ascii="Arial" w:hAnsi="Arial" w:cs="Arial"/>
          <w:color w:val="auto"/>
          <w:sz w:val="22"/>
        </w:rPr>
        <w:fldChar w:fldCharType="end"/>
      </w:r>
      <w:r w:rsidR="006C334B" w:rsidRPr="00651C67">
        <w:rPr>
          <w:rFonts w:ascii="Arial" w:hAnsi="Arial" w:cs="Arial"/>
          <w:color w:val="auto"/>
          <w:sz w:val="22"/>
        </w:rPr>
        <w:t>: Percentage of district achieving &lt;50%; 50-79% and ≥80% coverage, 2000-201</w:t>
      </w:r>
      <w:r w:rsidR="00E91097" w:rsidRPr="00651C67">
        <w:rPr>
          <w:rFonts w:ascii="Arial" w:hAnsi="Arial" w:cs="Arial"/>
          <w:color w:val="auto"/>
          <w:sz w:val="22"/>
        </w:rPr>
        <w:t>5</w:t>
      </w:r>
    </w:p>
    <w:p w14:paraId="6E3BC200" w14:textId="77777777" w:rsidR="006C334B" w:rsidRDefault="00E91097" w:rsidP="00CF2BF7">
      <w:pPr>
        <w:jc w:val="center"/>
      </w:pPr>
      <w:r>
        <w:rPr>
          <w:noProof/>
          <w:lang w:eastAsia="zh-CN"/>
        </w:rPr>
        <w:drawing>
          <wp:inline distT="0" distB="0" distL="0" distR="0" wp14:anchorId="09E095FC" wp14:editId="71F781E5">
            <wp:extent cx="4950254" cy="3714750"/>
            <wp:effectExtent l="19050" t="19050" r="22225" b="19050"/>
            <wp:docPr id="9" name="Picture 9" descr="Y:\GVAP\Priority_countries\C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GVAP\Priority_countries\CO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110" cy="3731151"/>
                    </a:xfrm>
                    <a:prstGeom prst="rect">
                      <a:avLst/>
                    </a:prstGeom>
                    <a:noFill/>
                    <a:ln>
                      <a:solidFill>
                        <a:schemeClr val="tx1"/>
                      </a:solidFill>
                    </a:ln>
                  </pic:spPr>
                </pic:pic>
              </a:graphicData>
            </a:graphic>
          </wp:inline>
        </w:drawing>
      </w:r>
    </w:p>
    <w:p w14:paraId="4152A3EB" w14:textId="06B869E2" w:rsidR="005B6B29" w:rsidRPr="00651C67" w:rsidRDefault="00651C67" w:rsidP="00651C67">
      <w:pPr>
        <w:pStyle w:val="Caption"/>
        <w:rPr>
          <w:rFonts w:ascii="Arial" w:hAnsi="Arial" w:cs="Arial"/>
          <w:color w:val="auto"/>
          <w:sz w:val="22"/>
        </w:rPr>
      </w:pPr>
      <w:r w:rsidRPr="00651C67">
        <w:rPr>
          <w:rFonts w:ascii="Arial" w:hAnsi="Arial" w:cs="Arial"/>
          <w:color w:val="auto"/>
          <w:sz w:val="22"/>
        </w:rPr>
        <w:lastRenderedPageBreak/>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7</w:t>
      </w:r>
      <w:r w:rsidRPr="00651C67">
        <w:rPr>
          <w:rFonts w:ascii="Arial" w:hAnsi="Arial" w:cs="Arial"/>
          <w:color w:val="auto"/>
          <w:sz w:val="22"/>
        </w:rPr>
        <w:fldChar w:fldCharType="end"/>
      </w:r>
      <w:r w:rsidR="005B6B29" w:rsidRPr="00651C67">
        <w:rPr>
          <w:rFonts w:ascii="Arial" w:hAnsi="Arial" w:cs="Arial"/>
          <w:color w:val="auto"/>
          <w:sz w:val="22"/>
        </w:rPr>
        <w:t>: DTP3 coverage by district/province</w:t>
      </w:r>
      <w:r w:rsidRPr="00651C67">
        <w:rPr>
          <w:rFonts w:ascii="Arial" w:hAnsi="Arial" w:cs="Arial"/>
          <w:color w:val="auto"/>
          <w:sz w:val="22"/>
        </w:rPr>
        <w:t>, DRC</w:t>
      </w:r>
      <w:proofErr w:type="gramStart"/>
      <w:r w:rsidRPr="00651C67">
        <w:rPr>
          <w:rFonts w:ascii="Arial" w:hAnsi="Arial" w:cs="Arial"/>
          <w:color w:val="auto"/>
          <w:sz w:val="22"/>
        </w:rPr>
        <w:t xml:space="preserve">, </w:t>
      </w:r>
      <w:r w:rsidR="005B6B29" w:rsidRPr="00651C67">
        <w:rPr>
          <w:rFonts w:ascii="Arial" w:hAnsi="Arial" w:cs="Arial"/>
          <w:color w:val="auto"/>
          <w:sz w:val="22"/>
        </w:rPr>
        <w:t xml:space="preserve"> 2010</w:t>
      </w:r>
      <w:proofErr w:type="gramEnd"/>
      <w:r w:rsidR="005B6B29" w:rsidRPr="00651C67">
        <w:rPr>
          <w:rFonts w:ascii="Arial" w:hAnsi="Arial" w:cs="Arial"/>
          <w:color w:val="auto"/>
          <w:sz w:val="22"/>
        </w:rPr>
        <w:t xml:space="preserve"> and 2015 (admin</w:t>
      </w:r>
      <w:r w:rsidR="002970A7" w:rsidRPr="00651C67">
        <w:rPr>
          <w:rFonts w:ascii="Arial" w:hAnsi="Arial" w:cs="Arial"/>
          <w:color w:val="auto"/>
          <w:sz w:val="22"/>
        </w:rPr>
        <w:t>istrative data)</w:t>
      </w:r>
    </w:p>
    <w:p w14:paraId="1A67589F" w14:textId="77777777" w:rsidR="005B6B29" w:rsidRDefault="00BC23BE" w:rsidP="00CF2BF7">
      <w:pPr>
        <w:jc w:val="center"/>
        <w:rPr>
          <w:b/>
        </w:rPr>
      </w:pPr>
      <w:r w:rsidRPr="00BC23BE">
        <w:rPr>
          <w:b/>
          <w:noProof/>
          <w:lang w:eastAsia="zh-CN"/>
        </w:rPr>
        <w:drawing>
          <wp:inline distT="0" distB="0" distL="0" distR="0" wp14:anchorId="329FA428" wp14:editId="74D7F86E">
            <wp:extent cx="4572635" cy="3429477"/>
            <wp:effectExtent l="19050" t="19050" r="1841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80617" cy="3435464"/>
                    </a:xfrm>
                    <a:prstGeom prst="rect">
                      <a:avLst/>
                    </a:prstGeom>
                    <a:ln>
                      <a:solidFill>
                        <a:schemeClr val="tx1"/>
                      </a:solidFill>
                    </a:ln>
                  </pic:spPr>
                </pic:pic>
              </a:graphicData>
            </a:graphic>
          </wp:inline>
        </w:drawing>
      </w:r>
    </w:p>
    <w:p w14:paraId="134F384D" w14:textId="77777777" w:rsidR="000A7279" w:rsidRDefault="000A7279">
      <w:pPr>
        <w:rPr>
          <w:b/>
        </w:rPr>
      </w:pPr>
      <w:r>
        <w:rPr>
          <w:b/>
        </w:rPr>
        <w:br w:type="page"/>
      </w:r>
    </w:p>
    <w:p w14:paraId="09BF94F8" w14:textId="5C9A442A" w:rsidR="006C334B" w:rsidRPr="00651C67" w:rsidRDefault="00651C67" w:rsidP="00651C67">
      <w:pPr>
        <w:pStyle w:val="Caption"/>
        <w:rPr>
          <w:rFonts w:ascii="Arial" w:hAnsi="Arial" w:cs="Arial"/>
          <w:color w:val="auto"/>
          <w:sz w:val="22"/>
        </w:rPr>
      </w:pPr>
      <w:r w:rsidRPr="00651C67">
        <w:rPr>
          <w:rFonts w:ascii="Arial" w:hAnsi="Arial" w:cs="Arial"/>
          <w:color w:val="auto"/>
          <w:sz w:val="22"/>
        </w:rPr>
        <w:lastRenderedPageBreak/>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8</w:t>
      </w:r>
      <w:r w:rsidRPr="00651C67">
        <w:rPr>
          <w:rFonts w:ascii="Arial" w:hAnsi="Arial" w:cs="Arial"/>
          <w:color w:val="auto"/>
          <w:sz w:val="22"/>
        </w:rPr>
        <w:fldChar w:fldCharType="end"/>
      </w:r>
      <w:r w:rsidR="006C334B" w:rsidRPr="00651C67">
        <w:rPr>
          <w:rFonts w:ascii="Arial" w:hAnsi="Arial" w:cs="Arial"/>
          <w:color w:val="auto"/>
          <w:sz w:val="22"/>
        </w:rPr>
        <w:t xml:space="preserve">: Immunization coverage data disaggregated by sex and wealth quintile </w:t>
      </w:r>
    </w:p>
    <w:p w14:paraId="15C2B355" w14:textId="77777777" w:rsidR="006C334B" w:rsidRDefault="005133F8" w:rsidP="006C334B">
      <w:r>
        <w:rPr>
          <w:noProof/>
          <w:lang w:eastAsia="zh-CN"/>
        </w:rPr>
        <w:drawing>
          <wp:inline distT="0" distB="0" distL="0" distR="0" wp14:anchorId="3397B3E2" wp14:editId="065825BA">
            <wp:extent cx="5731510" cy="5731510"/>
            <wp:effectExtent l="19050" t="19050" r="2159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_disaggregated_data coverage all vaccines equit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a:ln>
                      <a:solidFill>
                        <a:schemeClr val="tx1"/>
                      </a:solidFill>
                    </a:ln>
                  </pic:spPr>
                </pic:pic>
              </a:graphicData>
            </a:graphic>
          </wp:inline>
        </w:drawing>
      </w:r>
    </w:p>
    <w:p w14:paraId="185EDD8C" w14:textId="03C61DAB" w:rsidR="002970A7" w:rsidRDefault="002970A7" w:rsidP="00C737EA">
      <w:pPr>
        <w:rPr>
          <w:b/>
          <w:bCs/>
          <w:noProof/>
          <w:lang w:val="en-US"/>
        </w:rPr>
      </w:pPr>
    </w:p>
    <w:p w14:paraId="626CEAAE" w14:textId="077412F2" w:rsidR="00C737EA" w:rsidRDefault="00C737EA">
      <w:pPr>
        <w:rPr>
          <w:b/>
          <w:bCs/>
          <w:noProof/>
          <w:lang w:val="en-US"/>
        </w:rPr>
      </w:pPr>
      <w:r>
        <w:rPr>
          <w:b/>
          <w:bCs/>
          <w:noProof/>
          <w:lang w:val="en-US"/>
        </w:rPr>
        <w:br w:type="page"/>
      </w:r>
    </w:p>
    <w:p w14:paraId="1A0C3A99" w14:textId="77777777" w:rsidR="001C1E4D" w:rsidRDefault="001C1E4D" w:rsidP="001C1E4D">
      <w:pPr>
        <w:pStyle w:val="ListParagraph"/>
        <w:numPr>
          <w:ilvl w:val="0"/>
          <w:numId w:val="5"/>
        </w:numPr>
        <w:rPr>
          <w:b/>
          <w:bCs/>
        </w:rPr>
      </w:pPr>
      <w:r>
        <w:rPr>
          <w:b/>
          <w:bCs/>
        </w:rPr>
        <w:lastRenderedPageBreak/>
        <w:t>Immunization systems highlights</w:t>
      </w:r>
    </w:p>
    <w:p w14:paraId="6230B381" w14:textId="77777777" w:rsidR="00513BF2" w:rsidRDefault="00513BF2" w:rsidP="00513BF2">
      <w:pPr>
        <w:pStyle w:val="ListParagraph"/>
        <w:numPr>
          <w:ilvl w:val="0"/>
          <w:numId w:val="4"/>
        </w:numPr>
        <w:ind w:left="426"/>
      </w:pPr>
      <w:r>
        <w:t>Immunization schedule</w:t>
      </w:r>
    </w:p>
    <w:p w14:paraId="01635759" w14:textId="77777777" w:rsidR="00513BF2" w:rsidRDefault="00513BF2" w:rsidP="00513BF2">
      <w:pPr>
        <w:sectPr w:rsidR="00513BF2" w:rsidSect="00A54964">
          <w:pgSz w:w="11906" w:h="16838"/>
          <w:pgMar w:top="1440" w:right="1440" w:bottom="1440" w:left="1440" w:header="709" w:footer="709" w:gutter="0"/>
          <w:cols w:space="708"/>
          <w:docGrid w:linePitch="360"/>
        </w:sectPr>
      </w:pPr>
      <w:r>
        <w:rPr>
          <w:noProof/>
          <w:lang w:eastAsia="zh-CN"/>
        </w:rPr>
        <w:drawing>
          <wp:inline distT="0" distB="0" distL="0" distR="0" wp14:anchorId="78D8123F" wp14:editId="56899AA6">
            <wp:extent cx="6016403" cy="21240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1862" t="42422" r="29189" b="36170"/>
                    <a:stretch/>
                  </pic:blipFill>
                  <pic:spPr bwMode="auto">
                    <a:xfrm>
                      <a:off x="0" y="0"/>
                      <a:ext cx="6033447" cy="2130092"/>
                    </a:xfrm>
                    <a:prstGeom prst="rect">
                      <a:avLst/>
                    </a:prstGeom>
                    <a:ln>
                      <a:noFill/>
                    </a:ln>
                    <a:extLst>
                      <a:ext uri="{53640926-AAD7-44D8-BBD7-CCE9431645EC}">
                        <a14:shadowObscured xmlns:a14="http://schemas.microsoft.com/office/drawing/2010/main"/>
                      </a:ext>
                    </a:extLst>
                  </pic:spPr>
                </pic:pic>
              </a:graphicData>
            </a:graphic>
          </wp:inline>
        </w:drawing>
      </w:r>
    </w:p>
    <w:p w14:paraId="5B1AB1FE" w14:textId="77777777" w:rsidR="00513BF2" w:rsidRDefault="00513BF2" w:rsidP="00513BF2">
      <w:pPr>
        <w:pStyle w:val="ListParagraph"/>
        <w:numPr>
          <w:ilvl w:val="0"/>
          <w:numId w:val="4"/>
        </w:numPr>
      </w:pPr>
      <w:r>
        <w:lastRenderedPageBreak/>
        <w:t>Planning and management:</w:t>
      </w:r>
    </w:p>
    <w:p w14:paraId="4FE5A9A9" w14:textId="26AEE6B9" w:rsidR="00651C67" w:rsidRDefault="00651C67" w:rsidP="00651C67">
      <w:pPr>
        <w:pStyle w:val="ListParagraph"/>
        <w:numPr>
          <w:ilvl w:val="1"/>
          <w:numId w:val="4"/>
        </w:numPr>
        <w:rPr>
          <w:color w:val="000000"/>
        </w:rPr>
      </w:pPr>
      <w:r>
        <w:t xml:space="preserve">Vaccines </w:t>
      </w:r>
      <w:proofErr w:type="spellStart"/>
      <w:r>
        <w:t>s</w:t>
      </w:r>
      <w:r w:rsidR="00513BF2">
        <w:t>tockout</w:t>
      </w:r>
      <w:proofErr w:type="spellEnd"/>
      <w:r w:rsidR="00513BF2">
        <w:t xml:space="preserve"> </w:t>
      </w:r>
      <w:r>
        <w:t xml:space="preserve">issues:  </w:t>
      </w:r>
      <w:r>
        <w:rPr>
          <w:color w:val="000000"/>
        </w:rPr>
        <w:t xml:space="preserve">DRC: 1 DTP (less than 1 month), 1 BCG (3 months duration), </w:t>
      </w:r>
      <w:proofErr w:type="gramStart"/>
      <w:r>
        <w:rPr>
          <w:color w:val="000000"/>
        </w:rPr>
        <w:t xml:space="preserve">see </w:t>
      </w:r>
      <w:r>
        <w:rPr>
          <w:color w:val="000000"/>
        </w:rPr>
        <w:fldChar w:fldCharType="begin"/>
      </w:r>
      <w:r>
        <w:rPr>
          <w:color w:val="000000"/>
        </w:rPr>
        <w:instrText xml:space="preserve"> REF _Ref459798596 \h </w:instrText>
      </w:r>
      <w:r>
        <w:rPr>
          <w:color w:val="000000"/>
        </w:rPr>
      </w:r>
      <w:r>
        <w:rPr>
          <w:color w:val="000000"/>
        </w:rPr>
        <w:fldChar w:fldCharType="separate"/>
      </w:r>
      <w:r>
        <w:t xml:space="preserve">Table </w:t>
      </w:r>
      <w:r>
        <w:rPr>
          <w:noProof/>
        </w:rPr>
        <w:t>3</w:t>
      </w:r>
      <w:r>
        <w:rPr>
          <w:color w:val="000000"/>
        </w:rPr>
        <w:fldChar w:fldCharType="end"/>
      </w:r>
      <w:proofErr w:type="gramEnd"/>
      <w:r>
        <w:rPr>
          <w:color w:val="000000"/>
        </w:rPr>
        <w:t xml:space="preserve"> below for 2016.</w:t>
      </w:r>
    </w:p>
    <w:p w14:paraId="16A274C9" w14:textId="77777777" w:rsidR="00CF2BF7" w:rsidRDefault="00CF2BF7" w:rsidP="00CF2BF7">
      <w:pPr>
        <w:pStyle w:val="ListParagraph"/>
        <w:numPr>
          <w:ilvl w:val="1"/>
          <w:numId w:val="4"/>
        </w:numPr>
      </w:pPr>
      <w:proofErr w:type="spellStart"/>
      <w:r>
        <w:t>cMYP</w:t>
      </w:r>
      <w:proofErr w:type="spellEnd"/>
      <w:r>
        <w:t>: 2013-2015</w:t>
      </w:r>
    </w:p>
    <w:p w14:paraId="71670999" w14:textId="77777777" w:rsidR="00CF2BF7" w:rsidRDefault="00CF2BF7" w:rsidP="00CF2BF7">
      <w:pPr>
        <w:pStyle w:val="ListParagraph"/>
        <w:numPr>
          <w:ilvl w:val="1"/>
          <w:numId w:val="4"/>
        </w:numPr>
      </w:pPr>
      <w:r>
        <w:t>Annual Plan: Yes</w:t>
      </w:r>
    </w:p>
    <w:p w14:paraId="18E836D5" w14:textId="77777777" w:rsidR="00CF2BF7" w:rsidRDefault="00CF2BF7" w:rsidP="00CF2BF7">
      <w:pPr>
        <w:pStyle w:val="ListParagraph"/>
        <w:numPr>
          <w:ilvl w:val="0"/>
          <w:numId w:val="4"/>
        </w:numPr>
      </w:pPr>
      <w:r>
        <w:t xml:space="preserve">Country decision making: No NITAG </w:t>
      </w:r>
    </w:p>
    <w:p w14:paraId="657707A8" w14:textId="729AFB1E" w:rsidR="00CF2BF7" w:rsidRPr="00C737EA" w:rsidRDefault="00CF2BF7" w:rsidP="00CF2BF7">
      <w:pPr>
        <w:pStyle w:val="ListParagraph"/>
        <w:numPr>
          <w:ilvl w:val="0"/>
          <w:numId w:val="4"/>
        </w:numPr>
        <w:sectPr w:rsidR="00CF2BF7" w:rsidRPr="00C737EA" w:rsidSect="00A54964">
          <w:type w:val="continuous"/>
          <w:pgSz w:w="11906" w:h="16838"/>
          <w:pgMar w:top="1440" w:right="1440" w:bottom="1440" w:left="1440" w:header="720" w:footer="720" w:gutter="0"/>
          <w:cols w:space="720"/>
          <w:docGrid w:linePitch="360"/>
        </w:sectPr>
      </w:pPr>
      <w:r>
        <w:t>% of total expenditures on vaccines financed by government funds: 4%</w:t>
      </w:r>
    </w:p>
    <w:p w14:paraId="5B469E9F" w14:textId="77777777" w:rsidR="001C1E4D" w:rsidRDefault="001C1E4D" w:rsidP="003573EF">
      <w:pPr>
        <w:spacing w:after="0"/>
      </w:pPr>
    </w:p>
    <w:p w14:paraId="3F401B8B" w14:textId="4E4E2359" w:rsidR="00513BF2" w:rsidRPr="00651C67" w:rsidRDefault="00651C67" w:rsidP="00651C67">
      <w:pPr>
        <w:pStyle w:val="Caption"/>
        <w:rPr>
          <w:rFonts w:ascii="Arial" w:hAnsi="Arial" w:cs="Arial"/>
          <w:color w:val="auto"/>
          <w:sz w:val="22"/>
        </w:rPr>
      </w:pPr>
      <w:bookmarkStart w:id="1" w:name="_Ref459798596"/>
      <w:r w:rsidRPr="00651C67">
        <w:rPr>
          <w:rFonts w:ascii="Arial" w:hAnsi="Arial" w:cs="Arial"/>
          <w:color w:val="auto"/>
          <w:sz w:val="22"/>
        </w:rPr>
        <w:t xml:space="preserve">Table </w:t>
      </w:r>
      <w:r w:rsidRPr="00651C67">
        <w:rPr>
          <w:rFonts w:ascii="Arial" w:hAnsi="Arial" w:cs="Arial"/>
          <w:color w:val="auto"/>
          <w:sz w:val="22"/>
        </w:rPr>
        <w:fldChar w:fldCharType="begin"/>
      </w:r>
      <w:r w:rsidRPr="00651C67">
        <w:rPr>
          <w:rFonts w:ascii="Arial" w:hAnsi="Arial" w:cs="Arial"/>
          <w:color w:val="auto"/>
          <w:sz w:val="22"/>
        </w:rPr>
        <w:instrText xml:space="preserve"> SEQ Table \* ARABIC </w:instrText>
      </w:r>
      <w:r w:rsidRPr="00651C67">
        <w:rPr>
          <w:rFonts w:ascii="Arial" w:hAnsi="Arial" w:cs="Arial"/>
          <w:color w:val="auto"/>
          <w:sz w:val="22"/>
        </w:rPr>
        <w:fldChar w:fldCharType="separate"/>
      </w:r>
      <w:r w:rsidRPr="00651C67">
        <w:rPr>
          <w:rFonts w:ascii="Arial" w:hAnsi="Arial" w:cs="Arial"/>
          <w:color w:val="auto"/>
          <w:sz w:val="22"/>
        </w:rPr>
        <w:t>3</w:t>
      </w:r>
      <w:r w:rsidRPr="00651C67">
        <w:rPr>
          <w:rFonts w:ascii="Arial" w:hAnsi="Arial" w:cs="Arial"/>
          <w:color w:val="auto"/>
          <w:sz w:val="22"/>
        </w:rPr>
        <w:fldChar w:fldCharType="end"/>
      </w:r>
      <w:bookmarkEnd w:id="1"/>
      <w:r w:rsidR="001C1E4D" w:rsidRPr="00651C67">
        <w:rPr>
          <w:rFonts w:ascii="Arial" w:hAnsi="Arial" w:cs="Arial"/>
          <w:color w:val="auto"/>
          <w:sz w:val="22"/>
        </w:rPr>
        <w:t>: stock outs of vaccines</w:t>
      </w:r>
      <w:r w:rsidRPr="00651C67">
        <w:rPr>
          <w:rFonts w:ascii="Arial" w:hAnsi="Arial" w:cs="Arial"/>
          <w:color w:val="auto"/>
          <w:sz w:val="22"/>
        </w:rPr>
        <w:t xml:space="preserve">, RDC, </w:t>
      </w:r>
      <w:r w:rsidR="001C1E4D" w:rsidRPr="00651C67">
        <w:rPr>
          <w:rFonts w:ascii="Arial" w:hAnsi="Arial" w:cs="Arial"/>
          <w:color w:val="auto"/>
          <w:sz w:val="22"/>
        </w:rPr>
        <w:t>2016</w:t>
      </w:r>
    </w:p>
    <w:p w14:paraId="0D6C147E" w14:textId="2A175597" w:rsidR="008349B3" w:rsidRDefault="00513BF2" w:rsidP="008349B3">
      <w:pPr>
        <w:pStyle w:val="ListParagraph"/>
        <w:jc w:val="center"/>
      </w:pPr>
      <w:r>
        <w:rPr>
          <w:noProof/>
          <w:lang w:eastAsia="zh-CN"/>
        </w:rPr>
        <w:drawing>
          <wp:inline distT="0" distB="0" distL="0" distR="0" wp14:anchorId="192772F9" wp14:editId="612E61EC">
            <wp:extent cx="5206757" cy="3905250"/>
            <wp:effectExtent l="19050" t="19050" r="1333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841" cy="3915814"/>
                    </a:xfrm>
                    <a:prstGeom prst="rect">
                      <a:avLst/>
                    </a:prstGeom>
                    <a:noFill/>
                    <a:ln>
                      <a:solidFill>
                        <a:schemeClr val="tx1"/>
                      </a:solidFill>
                    </a:ln>
                  </pic:spPr>
                </pic:pic>
              </a:graphicData>
            </a:graphic>
          </wp:inline>
        </w:drawing>
      </w:r>
    </w:p>
    <w:p w14:paraId="5C3B3EC5" w14:textId="77777777" w:rsidR="008349B3" w:rsidRDefault="008349B3" w:rsidP="008349B3">
      <w:pPr>
        <w:pStyle w:val="ListParagraph"/>
        <w:jc w:val="center"/>
      </w:pPr>
    </w:p>
    <w:p w14:paraId="4E52C0E1" w14:textId="75229050" w:rsidR="008349B3" w:rsidRPr="00651C67" w:rsidRDefault="00651C67" w:rsidP="00651C67">
      <w:pPr>
        <w:pStyle w:val="Caption"/>
        <w:rPr>
          <w:rFonts w:ascii="Arial" w:hAnsi="Arial" w:cs="Arial"/>
          <w:color w:val="auto"/>
          <w:sz w:val="22"/>
        </w:rPr>
      </w:pPr>
      <w:r w:rsidRPr="00651C67">
        <w:rPr>
          <w:rFonts w:ascii="Arial" w:hAnsi="Arial" w:cs="Arial"/>
          <w:color w:val="auto"/>
          <w:sz w:val="22"/>
        </w:rPr>
        <w:t xml:space="preserve">Figure </w:t>
      </w:r>
      <w:r w:rsidRPr="00651C67">
        <w:rPr>
          <w:rFonts w:ascii="Arial" w:hAnsi="Arial" w:cs="Arial"/>
          <w:color w:val="auto"/>
          <w:sz w:val="22"/>
        </w:rPr>
        <w:fldChar w:fldCharType="begin"/>
      </w:r>
      <w:r w:rsidRPr="00651C67">
        <w:rPr>
          <w:rFonts w:ascii="Arial" w:hAnsi="Arial" w:cs="Arial"/>
          <w:color w:val="auto"/>
          <w:sz w:val="22"/>
        </w:rPr>
        <w:instrText xml:space="preserve"> SEQ Figure \* ARABIC </w:instrText>
      </w:r>
      <w:r w:rsidRPr="00651C67">
        <w:rPr>
          <w:rFonts w:ascii="Arial" w:hAnsi="Arial" w:cs="Arial"/>
          <w:color w:val="auto"/>
          <w:sz w:val="22"/>
        </w:rPr>
        <w:fldChar w:fldCharType="separate"/>
      </w:r>
      <w:r w:rsidR="002C45C4">
        <w:rPr>
          <w:rFonts w:ascii="Arial" w:hAnsi="Arial" w:cs="Arial"/>
          <w:noProof/>
          <w:color w:val="auto"/>
          <w:sz w:val="22"/>
        </w:rPr>
        <w:t>9</w:t>
      </w:r>
      <w:r w:rsidRPr="00651C67">
        <w:rPr>
          <w:rFonts w:ascii="Arial" w:hAnsi="Arial" w:cs="Arial"/>
          <w:color w:val="auto"/>
          <w:sz w:val="22"/>
        </w:rPr>
        <w:fldChar w:fldCharType="end"/>
      </w:r>
      <w:r w:rsidRPr="00651C67">
        <w:rPr>
          <w:rFonts w:ascii="Arial" w:hAnsi="Arial" w:cs="Arial"/>
          <w:color w:val="auto"/>
          <w:sz w:val="22"/>
        </w:rPr>
        <w:t xml:space="preserve">: </w:t>
      </w:r>
      <w:r w:rsidR="008349B3" w:rsidRPr="00651C67">
        <w:rPr>
          <w:rFonts w:ascii="Arial" w:hAnsi="Arial" w:cs="Arial"/>
          <w:color w:val="auto"/>
          <w:sz w:val="22"/>
        </w:rPr>
        <w:t xml:space="preserve">Change in administrative boundaries from 11 provinces to 26 Divisions de provinces </w:t>
      </w:r>
      <w:proofErr w:type="spellStart"/>
      <w:r w:rsidR="008349B3" w:rsidRPr="00651C67">
        <w:rPr>
          <w:rFonts w:ascii="Arial" w:hAnsi="Arial" w:cs="Arial"/>
          <w:color w:val="auto"/>
          <w:sz w:val="22"/>
        </w:rPr>
        <w:t>sanitaires</w:t>
      </w:r>
      <w:proofErr w:type="spellEnd"/>
      <w:r w:rsidR="008349B3" w:rsidRPr="00651C67">
        <w:rPr>
          <w:rFonts w:ascii="Arial" w:hAnsi="Arial" w:cs="Arial"/>
          <w:color w:val="auto"/>
          <w:sz w:val="22"/>
        </w:rPr>
        <w:t xml:space="preserve"> (DPSs)</w:t>
      </w:r>
    </w:p>
    <w:p w14:paraId="3E2E53B2" w14:textId="373D04C2" w:rsidR="00457E0A" w:rsidRPr="00457E0A" w:rsidRDefault="008349B3" w:rsidP="00651C67">
      <w:pPr>
        <w:pStyle w:val="ListParagraph"/>
        <w:jc w:val="center"/>
        <w:rPr>
          <w:rFonts w:ascii="Arial" w:hAnsi="Arial" w:cs="Arial"/>
          <w:b/>
          <w:sz w:val="24"/>
        </w:rPr>
      </w:pPr>
      <w:r w:rsidRPr="008349B3">
        <w:rPr>
          <w:noProof/>
          <w:lang w:eastAsia="zh-CN"/>
        </w:rPr>
        <w:drawing>
          <wp:inline distT="0" distB="0" distL="0" distR="0" wp14:anchorId="662A6AC0" wp14:editId="46B8C7F5">
            <wp:extent cx="4572638" cy="3429479"/>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38" cy="3429479"/>
                    </a:xfrm>
                    <a:prstGeom prst="rect">
                      <a:avLst/>
                    </a:prstGeom>
                    <a:ln>
                      <a:solidFill>
                        <a:schemeClr val="tx1"/>
                      </a:solidFill>
                    </a:ln>
                  </pic:spPr>
                </pic:pic>
              </a:graphicData>
            </a:graphic>
          </wp:inline>
        </w:drawing>
      </w:r>
    </w:p>
    <w:sectPr w:rsidR="00457E0A" w:rsidRPr="00457E0A" w:rsidSect="00A54964">
      <w:pgSz w:w="11906" w:h="16838"/>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59CB9EC" w15:done="0"/>
  <w15:commentEx w15:paraId="21A16CA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C41ABD" w14:textId="77777777" w:rsidR="0000345F" w:rsidRDefault="0000345F">
      <w:pPr>
        <w:spacing w:after="0" w:line="240" w:lineRule="auto"/>
      </w:pPr>
      <w:r>
        <w:separator/>
      </w:r>
    </w:p>
  </w:endnote>
  <w:endnote w:type="continuationSeparator" w:id="0">
    <w:p w14:paraId="2CC123E7" w14:textId="77777777" w:rsidR="0000345F" w:rsidRDefault="00003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0368549"/>
      <w:docPartObj>
        <w:docPartGallery w:val="Page Numbers (Bottom of Page)"/>
        <w:docPartUnique/>
      </w:docPartObj>
    </w:sdtPr>
    <w:sdtEndPr>
      <w:rPr>
        <w:noProof/>
      </w:rPr>
    </w:sdtEndPr>
    <w:sdtContent>
      <w:p w14:paraId="21ECBE59" w14:textId="7F09FF43" w:rsidR="00EE1C5C" w:rsidRDefault="00EE1C5C">
        <w:pPr>
          <w:pStyle w:val="Footer"/>
          <w:jc w:val="center"/>
        </w:pPr>
        <w:r>
          <w:fldChar w:fldCharType="begin"/>
        </w:r>
        <w:r>
          <w:instrText xml:space="preserve"> PAGE   \* MERGEFORMAT </w:instrText>
        </w:r>
        <w:r>
          <w:fldChar w:fldCharType="separate"/>
        </w:r>
        <w:r w:rsidR="006B771A">
          <w:rPr>
            <w:noProof/>
          </w:rPr>
          <w:t>1</w:t>
        </w:r>
        <w:r>
          <w:rPr>
            <w:noProof/>
          </w:rPr>
          <w:fldChar w:fldCharType="end"/>
        </w:r>
      </w:p>
    </w:sdtContent>
  </w:sdt>
  <w:p w14:paraId="0BDC7254" w14:textId="4134CEC2" w:rsidR="00EE1C5C" w:rsidRDefault="00EE1C5C" w:rsidP="008866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090163" w14:textId="77777777" w:rsidR="0000345F" w:rsidRDefault="0000345F">
      <w:pPr>
        <w:spacing w:after="0" w:line="240" w:lineRule="auto"/>
      </w:pPr>
      <w:r>
        <w:separator/>
      </w:r>
    </w:p>
  </w:footnote>
  <w:footnote w:type="continuationSeparator" w:id="0">
    <w:p w14:paraId="729DEE80" w14:textId="77777777" w:rsidR="0000345F" w:rsidRDefault="0000345F">
      <w:pPr>
        <w:spacing w:after="0" w:line="240" w:lineRule="auto"/>
      </w:pPr>
      <w:r>
        <w:continuationSeparator/>
      </w:r>
    </w:p>
  </w:footnote>
  <w:footnote w:id="1">
    <w:p w14:paraId="665EED1E" w14:textId="77777777" w:rsidR="00B76F10" w:rsidRPr="00EE1C5C" w:rsidRDefault="00B76F10" w:rsidP="00B76F10">
      <w:pPr>
        <w:pStyle w:val="FootnoteText"/>
      </w:pPr>
      <w:r>
        <w:rPr>
          <w:rStyle w:val="FootnoteReference"/>
        </w:rPr>
        <w:footnoteRef/>
      </w:r>
      <w:r>
        <w:t>2015 joint appraisal report for DRC.</w:t>
      </w:r>
    </w:p>
  </w:footnote>
  <w:footnote w:id="2">
    <w:p w14:paraId="7F60FFD6" w14:textId="78F4EFED" w:rsidR="00F74620" w:rsidRPr="00F74620" w:rsidRDefault="00F74620">
      <w:pPr>
        <w:pStyle w:val="FootnoteText"/>
      </w:pPr>
      <w:r>
        <w:rPr>
          <w:rStyle w:val="FootnoteReference"/>
        </w:rPr>
        <w:footnoteRef/>
      </w:r>
      <w:r>
        <w:t xml:space="preserve"> Sources: Financial data from DRC’s JRF, 2015 joint appraisal report for DRC, Draft EPI Action </w:t>
      </w:r>
      <w:r w:rsidR="001D336C">
        <w:t xml:space="preserve">Plan for </w:t>
      </w:r>
      <w:r>
        <w:t>2016</w:t>
      </w:r>
      <w:r w:rsidR="001D336C">
        <w:t>, February 2016</w:t>
      </w:r>
      <w:r>
        <w:t>.</w:t>
      </w:r>
    </w:p>
  </w:footnote>
  <w:footnote w:id="3">
    <w:p w14:paraId="4E15FC8C" w14:textId="4175DA6A" w:rsidR="00EE1C5C" w:rsidRPr="00871017" w:rsidRDefault="00EE1C5C">
      <w:pPr>
        <w:pStyle w:val="FootnoteText"/>
        <w:rPr>
          <w:lang w:val="en-US"/>
        </w:rPr>
      </w:pPr>
      <w:r w:rsidRPr="00871017">
        <w:rPr>
          <w:rStyle w:val="FootnoteReference"/>
        </w:rPr>
        <w:footnoteRef/>
      </w:r>
      <w:r w:rsidRPr="00871017">
        <w:t xml:space="preserve"> </w:t>
      </w:r>
      <w:r w:rsidR="00871017" w:rsidRPr="00871017">
        <w:t>2015 joint appraisal report for DRC</w:t>
      </w:r>
      <w:r w:rsidR="00871017" w:rsidRPr="00871017">
        <w:rPr>
          <w:lang w:val="en-US"/>
        </w:rPr>
        <w:t>.</w:t>
      </w:r>
    </w:p>
  </w:footnote>
  <w:footnote w:id="4">
    <w:p w14:paraId="09A92E3C" w14:textId="11636488" w:rsidR="00C148D5" w:rsidRPr="00C148D5" w:rsidRDefault="00C148D5">
      <w:pPr>
        <w:pStyle w:val="FootnoteText"/>
      </w:pPr>
      <w:r>
        <w:rPr>
          <w:rStyle w:val="FootnoteReference"/>
        </w:rPr>
        <w:footnoteRef/>
      </w:r>
      <w:r>
        <w:t xml:space="preserve"> </w:t>
      </w:r>
      <w:proofErr w:type="gramStart"/>
      <w:r>
        <w:t>Comprehensive multi-year EPI plan (</w:t>
      </w:r>
      <w:proofErr w:type="spellStart"/>
      <w:r>
        <w:t>cMYP</w:t>
      </w:r>
      <w:proofErr w:type="spellEnd"/>
      <w:r>
        <w:t>) for DRC, 2015-2019, November 2014.</w:t>
      </w:r>
      <w:proofErr w:type="gramEnd"/>
    </w:p>
  </w:footnote>
  <w:footnote w:id="5">
    <w:p w14:paraId="75819153" w14:textId="202D5CD5" w:rsidR="00C148D5" w:rsidRPr="00C148D5" w:rsidRDefault="00C148D5">
      <w:pPr>
        <w:pStyle w:val="FootnoteText"/>
      </w:pPr>
      <w:r>
        <w:rPr>
          <w:rStyle w:val="FootnoteReference"/>
        </w:rPr>
        <w:footnoteRef/>
      </w:r>
      <w:r>
        <w:t xml:space="preserve"> Draft EPI Action Plan for 2016, February 2016.</w:t>
      </w:r>
    </w:p>
  </w:footnote>
  <w:footnote w:id="6">
    <w:p w14:paraId="3D1F504A" w14:textId="0913FF68" w:rsidR="00EE1C5C" w:rsidRPr="0011764D" w:rsidRDefault="00EE1C5C">
      <w:pPr>
        <w:pStyle w:val="FootnoteText"/>
        <w:rPr>
          <w:lang w:val="en-US"/>
        </w:rPr>
      </w:pPr>
      <w:r>
        <w:rPr>
          <w:rStyle w:val="FootnoteReference"/>
        </w:rPr>
        <w:footnoteRef/>
      </w:r>
      <w:r>
        <w:t xml:space="preserve"> </w:t>
      </w:r>
      <w:r>
        <w:rPr>
          <w:lang w:val="en-US"/>
        </w:rPr>
        <w:t xml:space="preserve">The administrative structure for the health sector now consists of 26 DPSs (vs. 11 provinces formerly), 44 </w:t>
      </w:r>
      <w:proofErr w:type="spellStart"/>
      <w:r>
        <w:rPr>
          <w:lang w:val="en-US"/>
        </w:rPr>
        <w:t>antennes</w:t>
      </w:r>
      <w:proofErr w:type="spellEnd"/>
      <w:r>
        <w:rPr>
          <w:lang w:val="en-US"/>
        </w:rPr>
        <w:t xml:space="preserve"> (sub-provinces), 516 health districts (</w:t>
      </w:r>
      <w:r w:rsidRPr="00444AD2">
        <w:rPr>
          <w:i/>
          <w:lang w:val="en-US"/>
        </w:rPr>
        <w:t>zones de santé</w:t>
      </w:r>
      <w:r>
        <w:rPr>
          <w:lang w:val="en-US"/>
        </w:rPr>
        <w:t>) and around 8.800 health centers (</w:t>
      </w:r>
      <w:proofErr w:type="spellStart"/>
      <w:r w:rsidRPr="00444AD2">
        <w:rPr>
          <w:i/>
          <w:lang w:val="en-US"/>
        </w:rPr>
        <w:t>aires</w:t>
      </w:r>
      <w:proofErr w:type="spellEnd"/>
      <w:r w:rsidRPr="00444AD2">
        <w:rPr>
          <w:i/>
          <w:lang w:val="en-US"/>
        </w:rPr>
        <w:t xml:space="preserve"> de santé</w:t>
      </w:r>
      <w:r>
        <w:rPr>
          <w:lang w:val="en-US"/>
        </w:rPr>
        <w:t>).</w:t>
      </w:r>
    </w:p>
  </w:footnote>
  <w:footnote w:id="7">
    <w:p w14:paraId="463878D8" w14:textId="5694DB2B" w:rsidR="00B316F3" w:rsidRPr="00B316F3" w:rsidRDefault="00B316F3">
      <w:pPr>
        <w:pStyle w:val="FootnoteText"/>
      </w:pPr>
      <w:r>
        <w:rPr>
          <w:rStyle w:val="FootnoteReference"/>
        </w:rPr>
        <w:footnoteRef/>
      </w:r>
      <w:r>
        <w:t xml:space="preserve"> </w:t>
      </w:r>
      <w:r w:rsidRPr="00871017">
        <w:t>2015 joint appraisal report for DRC</w:t>
      </w:r>
      <w:r w:rsidRPr="00871017">
        <w:rPr>
          <w:lang w:val="en-US"/>
        </w:rPr>
        <w:t>.</w:t>
      </w:r>
    </w:p>
  </w:footnote>
  <w:footnote w:id="8">
    <w:p w14:paraId="538D7A8B" w14:textId="7E5C8127" w:rsidR="00B316F3" w:rsidRPr="00B316F3" w:rsidRDefault="00B316F3">
      <w:pPr>
        <w:pStyle w:val="FootnoteText"/>
        <w:rPr>
          <w:lang w:val="en-US"/>
        </w:rPr>
      </w:pPr>
      <w:r>
        <w:rPr>
          <w:rStyle w:val="FootnoteReference"/>
        </w:rPr>
        <w:footnoteRef/>
      </w:r>
      <w:r>
        <w:t xml:space="preserve"> </w:t>
      </w:r>
      <w:proofErr w:type="spellStart"/>
      <w:r>
        <w:rPr>
          <w:lang w:val="en-US"/>
        </w:rPr>
        <w:t>cMYP</w:t>
      </w:r>
      <w:proofErr w:type="spellEnd"/>
      <w:r>
        <w:rPr>
          <w:lang w:val="en-US"/>
        </w:rPr>
        <w:t xml:space="preserve"> 2015-2019</w:t>
      </w:r>
    </w:p>
  </w:footnote>
  <w:footnote w:id="9">
    <w:p w14:paraId="4DEEBBD2" w14:textId="0C93378C" w:rsidR="00B316F3" w:rsidRPr="00B316F3" w:rsidRDefault="00B316F3">
      <w:pPr>
        <w:pStyle w:val="FootnoteText"/>
        <w:rPr>
          <w:lang w:val="en-US"/>
        </w:rPr>
      </w:pPr>
      <w:r>
        <w:rPr>
          <w:rStyle w:val="FootnoteReference"/>
        </w:rPr>
        <w:footnoteRef/>
      </w:r>
      <w:r>
        <w:t xml:space="preserve"> </w:t>
      </w:r>
      <w:r w:rsidRPr="00871017">
        <w:t>2015 joint appraisal report for DRC</w:t>
      </w:r>
      <w:r w:rsidRPr="00871017">
        <w:rPr>
          <w:lang w:val="en-US"/>
        </w:rPr>
        <w:t>.</w:t>
      </w:r>
    </w:p>
  </w:footnote>
  <w:footnote w:id="10">
    <w:p w14:paraId="582644AA" w14:textId="13892C1D" w:rsidR="00B316F3" w:rsidRPr="00B316F3" w:rsidRDefault="00B316F3">
      <w:pPr>
        <w:pStyle w:val="FootnoteText"/>
        <w:rPr>
          <w:lang w:val="en-US"/>
        </w:rPr>
      </w:pPr>
      <w:r>
        <w:rPr>
          <w:rStyle w:val="FootnoteReference"/>
        </w:rPr>
        <w:footnoteRef/>
      </w:r>
      <w:r>
        <w:t xml:space="preserve"> </w:t>
      </w:r>
      <w:proofErr w:type="gramStart"/>
      <w:r>
        <w:rPr>
          <w:lang w:val="en-US"/>
        </w:rPr>
        <w:t>WHO/Geneva.</w:t>
      </w:r>
      <w:proofErr w:type="gramEnd"/>
      <w:r>
        <w:rPr>
          <w:lang w:val="en-US"/>
        </w:rPr>
        <w:t xml:space="preserve"> Risk assessment for poliovirus transmission: DR Congo, 15 June 2016 (presentation).</w:t>
      </w:r>
    </w:p>
  </w:footnote>
  <w:footnote w:id="11">
    <w:p w14:paraId="4900041F" w14:textId="25BC86B4" w:rsidR="00B316F3" w:rsidRPr="00B316F3" w:rsidRDefault="00B316F3">
      <w:pPr>
        <w:pStyle w:val="FootnoteText"/>
        <w:rPr>
          <w:lang w:val="en-US"/>
        </w:rPr>
      </w:pPr>
      <w:r>
        <w:rPr>
          <w:rStyle w:val="FootnoteReference"/>
        </w:rPr>
        <w:footnoteRef/>
      </w:r>
      <w:r>
        <w:t xml:space="preserve"> </w:t>
      </w:r>
      <w:proofErr w:type="gramStart"/>
      <w:r>
        <w:rPr>
          <w:lang w:val="en-US"/>
        </w:rPr>
        <w:t>WHO/Geneva.</w:t>
      </w:r>
      <w:proofErr w:type="gramEnd"/>
      <w:r>
        <w:rPr>
          <w:lang w:val="en-US"/>
        </w:rPr>
        <w:t xml:space="preserve"> Risk assessment for poliovirus transmission: DR Congo, 15 June 2016 (presentation).</w:t>
      </w:r>
    </w:p>
  </w:footnote>
  <w:footnote w:id="12">
    <w:p w14:paraId="2762D037" w14:textId="77777777" w:rsidR="002945B9" w:rsidRPr="002945B9" w:rsidRDefault="002945B9" w:rsidP="002945B9">
      <w:pPr>
        <w:pStyle w:val="FootnoteText"/>
        <w:rPr>
          <w:lang w:val="en-US"/>
        </w:rPr>
      </w:pPr>
      <w:r>
        <w:rPr>
          <w:rStyle w:val="FootnoteReference"/>
        </w:rPr>
        <w:footnoteRef/>
      </w:r>
      <w:r>
        <w:t xml:space="preserve"> </w:t>
      </w:r>
      <w:proofErr w:type="gramStart"/>
      <w:r>
        <w:rPr>
          <w:lang w:val="en-US"/>
        </w:rPr>
        <w:t>Internal WHO/UNICEF memo, July 5, 2016.</w:t>
      </w:r>
      <w:proofErr w:type="gramEnd"/>
    </w:p>
  </w:footnote>
  <w:footnote w:id="13">
    <w:p w14:paraId="2811F090" w14:textId="451C69F0" w:rsidR="002945B9" w:rsidRPr="002945B9" w:rsidRDefault="002945B9">
      <w:pPr>
        <w:pStyle w:val="FootnoteText"/>
        <w:rPr>
          <w:lang w:val="en-US"/>
        </w:rPr>
      </w:pPr>
      <w:r>
        <w:rPr>
          <w:rStyle w:val="FootnoteReference"/>
        </w:rPr>
        <w:footnoteRef/>
      </w:r>
      <w:r>
        <w:t xml:space="preserve"> Draft EPI Action Plan for 2016, February 2016.</w:t>
      </w:r>
    </w:p>
  </w:footnote>
  <w:footnote w:id="14">
    <w:p w14:paraId="2CD826A6" w14:textId="70643772" w:rsidR="002945B9" w:rsidRPr="002945B9" w:rsidRDefault="002945B9">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w:t>
      </w:r>
    </w:p>
  </w:footnote>
  <w:footnote w:id="15">
    <w:p w14:paraId="7FC9C063" w14:textId="45401039" w:rsidR="002945B9" w:rsidRPr="002945B9" w:rsidRDefault="002945B9">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w:t>
      </w:r>
    </w:p>
  </w:footnote>
  <w:footnote w:id="16">
    <w:p w14:paraId="0E9EA3F4" w14:textId="52F726BF" w:rsidR="002945B9" w:rsidRPr="002945B9" w:rsidRDefault="002945B9">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w:t>
      </w:r>
    </w:p>
  </w:footnote>
  <w:footnote w:id="17">
    <w:p w14:paraId="4D7EB14C" w14:textId="099B475B" w:rsidR="002945B9" w:rsidRPr="002945B9" w:rsidRDefault="002945B9">
      <w:pPr>
        <w:pStyle w:val="FootnoteText"/>
        <w:rPr>
          <w:lang w:val="en-US"/>
        </w:rPr>
      </w:pPr>
      <w:r>
        <w:rPr>
          <w:rStyle w:val="FootnoteReference"/>
        </w:rPr>
        <w:footnoteRef/>
      </w:r>
      <w:r>
        <w:t xml:space="preserve"> Draft EPI Action Plan for 2016, February 2016.</w:t>
      </w:r>
    </w:p>
  </w:footnote>
  <w:footnote w:id="18">
    <w:p w14:paraId="01CB04F6" w14:textId="3819D019" w:rsidR="002945B9" w:rsidRPr="002945B9" w:rsidRDefault="002945B9">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 and d</w:t>
      </w:r>
      <w:r>
        <w:t>raft EPI Action Plan for 2016, February 2016</w:t>
      </w:r>
      <w:r w:rsidR="00AA7025">
        <w:t>.</w:t>
      </w:r>
    </w:p>
  </w:footnote>
  <w:footnote w:id="19">
    <w:p w14:paraId="5A01E76A" w14:textId="609A96EC" w:rsidR="00AA7025" w:rsidRPr="00AA7025" w:rsidRDefault="00AA7025">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w:t>
      </w:r>
    </w:p>
  </w:footnote>
  <w:footnote w:id="20">
    <w:p w14:paraId="506101B0" w14:textId="177284DF" w:rsidR="00324CCD" w:rsidRPr="00324CCD" w:rsidRDefault="00324CCD">
      <w:pPr>
        <w:pStyle w:val="FootnoteText"/>
        <w:rPr>
          <w:lang w:val="en-US"/>
        </w:rPr>
      </w:pPr>
      <w:r>
        <w:rPr>
          <w:rStyle w:val="FootnoteReference"/>
        </w:rPr>
        <w:footnoteRef/>
      </w:r>
      <w:r>
        <w:t xml:space="preserve"> Draft EPI Action Plan for 2016, February 2016.</w:t>
      </w:r>
    </w:p>
  </w:footnote>
  <w:footnote w:id="21">
    <w:p w14:paraId="55960066" w14:textId="207295D1" w:rsidR="00324CCD" w:rsidRPr="00324CCD" w:rsidRDefault="00324CCD">
      <w:pPr>
        <w:pStyle w:val="FootnoteText"/>
        <w:rPr>
          <w:lang w:val="en-US"/>
        </w:rPr>
      </w:pPr>
      <w:r>
        <w:rPr>
          <w:rStyle w:val="FootnoteReference"/>
        </w:rPr>
        <w:footnoteRef/>
      </w:r>
      <w:r>
        <w:t xml:space="preserve"> </w:t>
      </w:r>
      <w:proofErr w:type="gramStart"/>
      <w:r>
        <w:rPr>
          <w:lang w:val="en-US"/>
        </w:rPr>
        <w:t>Internal WHO/UNICEF memo, July 5, 2016.</w:t>
      </w:r>
      <w:proofErr w:type="gramEnd"/>
    </w:p>
  </w:footnote>
  <w:footnote w:id="22">
    <w:p w14:paraId="17F96BD6" w14:textId="475B8425" w:rsidR="001E10B1" w:rsidRPr="001E10B1" w:rsidRDefault="001E10B1">
      <w:pPr>
        <w:pStyle w:val="FootnoteText"/>
        <w:rPr>
          <w:lang w:val="en-US"/>
        </w:rPr>
      </w:pPr>
      <w:r>
        <w:rPr>
          <w:rStyle w:val="FootnoteReference"/>
        </w:rPr>
        <w:footnoteRef/>
      </w:r>
      <w:r>
        <w:t xml:space="preserve"> </w:t>
      </w:r>
      <w:r>
        <w:rPr>
          <w:lang w:val="en-US"/>
        </w:rPr>
        <w:t xml:space="preserve">Measles epidemic in the Democratic Republic of Congo: WHO and UNICEFF concerned about the spread of the epidemic in the former province of Katanga. </w:t>
      </w:r>
      <w:proofErr w:type="spellStart"/>
      <w:r>
        <w:rPr>
          <w:lang w:val="en-US"/>
        </w:rPr>
        <w:t>ReliefWeb</w:t>
      </w:r>
      <w:proofErr w:type="spellEnd"/>
      <w:r>
        <w:rPr>
          <w:lang w:val="en-US"/>
        </w:rPr>
        <w:t xml:space="preserve"> report, 5 October 2015 (</w:t>
      </w:r>
      <w:hyperlink r:id="rId1" w:history="1">
        <w:r w:rsidRPr="00545BD2">
          <w:rPr>
            <w:rStyle w:val="Hyperlink"/>
            <w:lang w:val="en-US"/>
          </w:rPr>
          <w:t>http://reliefweb.int/report/democratic-republic-congo/measles-epidemic-democratic-republic-congo-who-and-unicef-concerned</w:t>
        </w:r>
      </w:hyperlink>
      <w:r>
        <w:rPr>
          <w:lang w:val="en-US"/>
        </w:rPr>
        <w:t xml:space="preserve">). </w:t>
      </w:r>
    </w:p>
  </w:footnote>
  <w:footnote w:id="23">
    <w:p w14:paraId="31B04379" w14:textId="5BE2C702" w:rsidR="001E10B1" w:rsidRPr="001E10B1" w:rsidRDefault="001E10B1">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w:t>
      </w:r>
    </w:p>
  </w:footnote>
  <w:footnote w:id="24">
    <w:p w14:paraId="43EADFA0" w14:textId="45D5E684" w:rsidR="001E10B1" w:rsidRPr="001E10B1" w:rsidRDefault="001E10B1">
      <w:pPr>
        <w:pStyle w:val="FootnoteText"/>
        <w:rPr>
          <w:lang w:val="en-US"/>
        </w:rPr>
      </w:pPr>
      <w:r>
        <w:rPr>
          <w:rStyle w:val="FootnoteReference"/>
        </w:rPr>
        <w:footnoteRef/>
      </w:r>
      <w:r>
        <w:t xml:space="preserve"> Draft EPI Action Plan for 2016, February 2016.</w:t>
      </w:r>
    </w:p>
  </w:footnote>
  <w:footnote w:id="25">
    <w:p w14:paraId="726AB3C6" w14:textId="46EFC74D" w:rsidR="001E10B1" w:rsidRPr="001E10B1" w:rsidRDefault="001E10B1">
      <w:pPr>
        <w:pStyle w:val="FootnoteText"/>
        <w:rPr>
          <w:lang w:val="en-US"/>
        </w:rPr>
      </w:pPr>
      <w:r>
        <w:rPr>
          <w:rStyle w:val="FootnoteReference"/>
        </w:rPr>
        <w:footnoteRef/>
      </w:r>
      <w:r>
        <w:t xml:space="preserve"> </w:t>
      </w:r>
      <w:proofErr w:type="spellStart"/>
      <w:proofErr w:type="gramStart"/>
      <w:r>
        <w:t>cMYP</w:t>
      </w:r>
      <w:proofErr w:type="spellEnd"/>
      <w:proofErr w:type="gramEnd"/>
      <w:r>
        <w:t xml:space="preserve"> 2015-2019.</w:t>
      </w:r>
    </w:p>
  </w:footnote>
  <w:footnote w:id="26">
    <w:p w14:paraId="563B63DC" w14:textId="54422DC1" w:rsidR="001E10B1" w:rsidRPr="001E10B1" w:rsidRDefault="001E10B1">
      <w:pPr>
        <w:pStyle w:val="FootnoteText"/>
        <w:rPr>
          <w:lang w:val="en-US"/>
        </w:rPr>
      </w:pPr>
      <w:r>
        <w:rPr>
          <w:rStyle w:val="FootnoteReference"/>
        </w:rPr>
        <w:footnoteRef/>
      </w:r>
      <w:r>
        <w:t xml:space="preserve"> </w:t>
      </w:r>
      <w:proofErr w:type="gramStart"/>
      <w:r>
        <w:t xml:space="preserve">DRC </w:t>
      </w:r>
      <w:r>
        <w:rPr>
          <w:lang w:val="en-US"/>
        </w:rPr>
        <w:t>MOH and WHO.</w:t>
      </w:r>
      <w:proofErr w:type="gramEnd"/>
      <w:r>
        <w:rPr>
          <w:lang w:val="en-US"/>
        </w:rPr>
        <w:t xml:space="preserve"> </w:t>
      </w:r>
      <w:proofErr w:type="gramStart"/>
      <w:r>
        <w:rPr>
          <w:lang w:val="en-US"/>
        </w:rPr>
        <w:t xml:space="preserve">Situation </w:t>
      </w:r>
      <w:proofErr w:type="spellStart"/>
      <w:r>
        <w:rPr>
          <w:lang w:val="en-US"/>
        </w:rPr>
        <w:t>epidemiologique</w:t>
      </w:r>
      <w:proofErr w:type="spellEnd"/>
      <w:r>
        <w:rPr>
          <w:lang w:val="en-US"/>
        </w:rPr>
        <w:t xml:space="preserve"> de al </w:t>
      </w:r>
      <w:proofErr w:type="spellStart"/>
      <w:r>
        <w:rPr>
          <w:lang w:val="en-US"/>
        </w:rPr>
        <w:t>rougeole</w:t>
      </w:r>
      <w:proofErr w:type="spellEnd"/>
      <w:r>
        <w:rPr>
          <w:lang w:val="en-US"/>
        </w:rPr>
        <w:t xml:space="preserve"> en RDC, 21 June 2016 (weekly disease reporting bulletin).</w:t>
      </w:r>
      <w:proofErr w:type="gramEnd"/>
    </w:p>
  </w:footnote>
  <w:footnote w:id="27">
    <w:p w14:paraId="529ACB18" w14:textId="553277F3" w:rsidR="00A83A9B" w:rsidRPr="00A83A9B" w:rsidRDefault="00A83A9B">
      <w:pPr>
        <w:pStyle w:val="FootnoteText"/>
        <w:rPr>
          <w:lang w:val="en-US"/>
        </w:rPr>
      </w:pPr>
      <w:r>
        <w:rPr>
          <w:rStyle w:val="FootnoteReference"/>
        </w:rPr>
        <w:footnoteRef/>
      </w:r>
      <w:r>
        <w:t xml:space="preserve"> </w:t>
      </w:r>
      <w:proofErr w:type="spellStart"/>
      <w:proofErr w:type="gramStart"/>
      <w:r>
        <w:t>cMYP</w:t>
      </w:r>
      <w:proofErr w:type="spellEnd"/>
      <w:proofErr w:type="gramEnd"/>
      <w:r>
        <w:t xml:space="preserve"> 2015-2019.</w:t>
      </w:r>
    </w:p>
  </w:footnote>
  <w:footnote w:id="28">
    <w:p w14:paraId="575F6496" w14:textId="28A83272" w:rsidR="00A83A9B" w:rsidRPr="00A83A9B" w:rsidRDefault="00A83A9B">
      <w:pPr>
        <w:pStyle w:val="FootnoteText"/>
        <w:rPr>
          <w:lang w:val="en-US"/>
        </w:rPr>
      </w:pPr>
      <w:r>
        <w:rPr>
          <w:rStyle w:val="FootnoteReference"/>
        </w:rPr>
        <w:footnoteRef/>
      </w:r>
      <w:r>
        <w:t xml:space="preserve"> </w:t>
      </w:r>
      <w:r w:rsidRPr="00871017">
        <w:t>2015 joint appraisal report for DRC</w:t>
      </w:r>
      <w:r w:rsidRPr="00871017">
        <w:rPr>
          <w:lang w:val="en-US"/>
        </w:rPr>
        <w:t>.</w:t>
      </w:r>
    </w:p>
  </w:footnote>
  <w:footnote w:id="29">
    <w:p w14:paraId="5FC6DBB2" w14:textId="250F4B82" w:rsidR="00A83A9B" w:rsidRPr="00A83A9B" w:rsidRDefault="00A83A9B">
      <w:pPr>
        <w:pStyle w:val="FootnoteText"/>
        <w:rPr>
          <w:lang w:val="en-US"/>
        </w:rPr>
      </w:pPr>
      <w:r>
        <w:rPr>
          <w:rStyle w:val="FootnoteReference"/>
        </w:rPr>
        <w:footnoteRef/>
      </w:r>
      <w:r>
        <w:t xml:space="preserve"> </w:t>
      </w:r>
      <w:r w:rsidRPr="00871017">
        <w:t>2015 joint appraisal report for DRC</w:t>
      </w:r>
      <w:r w:rsidRPr="00871017">
        <w:rPr>
          <w:lang w:val="en-US"/>
        </w:rPr>
        <w:t>.</w:t>
      </w:r>
    </w:p>
  </w:footnote>
  <w:footnote w:id="30">
    <w:p w14:paraId="34C2EEFD" w14:textId="20E3F3CE" w:rsidR="00A83A9B" w:rsidRPr="00A83A9B" w:rsidRDefault="00A83A9B">
      <w:pPr>
        <w:pStyle w:val="FootnoteText"/>
        <w:rPr>
          <w:lang w:val="en-US"/>
        </w:rPr>
      </w:pPr>
      <w:r>
        <w:rPr>
          <w:rStyle w:val="FootnoteReference"/>
        </w:rPr>
        <w:footnoteRef/>
      </w:r>
      <w:r>
        <w:t xml:space="preserve"> </w:t>
      </w:r>
      <w:proofErr w:type="gramStart"/>
      <w:r>
        <w:rPr>
          <w:lang w:val="en-US"/>
        </w:rPr>
        <w:t>WHO.</w:t>
      </w:r>
      <w:proofErr w:type="gramEnd"/>
      <w:r>
        <w:rPr>
          <w:lang w:val="en-US"/>
        </w:rPr>
        <w:t xml:space="preserve"> Service Availability and Readiness Assessment (SARA) in the Democratic Republic of Congo, June 2015.</w:t>
      </w:r>
    </w:p>
  </w:footnote>
  <w:footnote w:id="31">
    <w:p w14:paraId="68609013" w14:textId="77777777" w:rsidR="00A83A9B" w:rsidRPr="00A83A9B" w:rsidRDefault="00A83A9B" w:rsidP="00A83A9B">
      <w:pPr>
        <w:pStyle w:val="FootnoteText"/>
        <w:rPr>
          <w:lang w:val="en-US"/>
        </w:rPr>
      </w:pPr>
      <w:r>
        <w:rPr>
          <w:rStyle w:val="FootnoteReference"/>
        </w:rPr>
        <w:footnoteRef/>
      </w:r>
      <w:r>
        <w:t xml:space="preserve"> Draft EPI Action Plan for 2016, February 2016.</w:t>
      </w:r>
    </w:p>
  </w:footnote>
  <w:footnote w:id="32">
    <w:p w14:paraId="57A6D02D" w14:textId="1223265D" w:rsidR="00CA1D86" w:rsidRPr="00CA1D86" w:rsidRDefault="00CA1D86">
      <w:pPr>
        <w:pStyle w:val="FootnoteText"/>
        <w:rPr>
          <w:lang w:val="en-US"/>
        </w:rPr>
      </w:pPr>
      <w:r>
        <w:rPr>
          <w:rStyle w:val="FootnoteReference"/>
        </w:rPr>
        <w:footnoteRef/>
      </w:r>
      <w:r>
        <w:t xml:space="preserve"> Draft EPI Action Plan for 2016, February 2016.</w:t>
      </w:r>
    </w:p>
  </w:footnote>
  <w:footnote w:id="33">
    <w:p w14:paraId="68D1D7EA" w14:textId="2EEDEEB5" w:rsidR="00CA1D86" w:rsidRPr="00CA1D86" w:rsidRDefault="00CA1D86">
      <w:pPr>
        <w:pStyle w:val="FootnoteText"/>
        <w:rPr>
          <w:lang w:val="en-US"/>
        </w:rPr>
      </w:pPr>
      <w:r>
        <w:rPr>
          <w:rStyle w:val="FootnoteReference"/>
        </w:rPr>
        <w:footnoteRef/>
      </w:r>
      <w:r>
        <w:t xml:space="preserve"> </w:t>
      </w:r>
      <w:proofErr w:type="gramStart"/>
      <w:r>
        <w:rPr>
          <w:lang w:val="en-US"/>
        </w:rPr>
        <w:t>Post-introduction evaluation report for PCV-13 in the Democratic Republic of Congo, 27 March – 11 April 2014.</w:t>
      </w:r>
      <w:proofErr w:type="gramEnd"/>
    </w:p>
  </w:footnote>
  <w:footnote w:id="34">
    <w:p w14:paraId="1AF523B7" w14:textId="5B6EAC11" w:rsidR="001C28AB" w:rsidRPr="001C28AB" w:rsidRDefault="001C28AB">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w:t>
      </w:r>
    </w:p>
  </w:footnote>
  <w:footnote w:id="35">
    <w:p w14:paraId="43F6318E" w14:textId="4D77451C" w:rsidR="001C28AB" w:rsidRPr="001C28AB" w:rsidRDefault="001C28AB">
      <w:pPr>
        <w:pStyle w:val="FootnoteText"/>
        <w:rPr>
          <w:lang w:val="en-US"/>
        </w:rPr>
      </w:pPr>
      <w:r>
        <w:rPr>
          <w:rStyle w:val="FootnoteReference"/>
        </w:rPr>
        <w:footnoteRef/>
      </w:r>
      <w:r>
        <w:t xml:space="preserve"> </w:t>
      </w:r>
      <w:proofErr w:type="gramStart"/>
      <w:r>
        <w:rPr>
          <w:lang w:val="en-US"/>
        </w:rPr>
        <w:t>HSS II application to GAVI by DRC, 20 April 2014.</w:t>
      </w:r>
      <w:proofErr w:type="gramEnd"/>
    </w:p>
  </w:footnote>
  <w:footnote w:id="36">
    <w:p w14:paraId="2A37E2F4" w14:textId="33784BE0" w:rsidR="001C28AB" w:rsidRPr="001C28AB" w:rsidRDefault="001C28AB">
      <w:pPr>
        <w:pStyle w:val="FootnoteText"/>
        <w:rPr>
          <w:lang w:val="en-US"/>
        </w:rPr>
      </w:pPr>
      <w:r>
        <w:rPr>
          <w:rStyle w:val="FootnoteReference"/>
        </w:rPr>
        <w:footnoteRef/>
      </w:r>
      <w:r>
        <w:t xml:space="preserve"> </w:t>
      </w:r>
      <w:proofErr w:type="gramStart"/>
      <w:r>
        <w:rPr>
          <w:lang w:val="en-US"/>
        </w:rPr>
        <w:t>WHO.</w:t>
      </w:r>
      <w:proofErr w:type="gramEnd"/>
      <w:r>
        <w:rPr>
          <w:lang w:val="en-US"/>
        </w:rPr>
        <w:t xml:space="preserve"> Service Availability and Readiness Assessment (SARA) in the Democratic Republic of Congo, June 2015.</w:t>
      </w:r>
    </w:p>
  </w:footnote>
  <w:footnote w:id="37">
    <w:p w14:paraId="378CF151" w14:textId="05D183BA" w:rsidR="001C28AB" w:rsidRPr="001C28AB" w:rsidRDefault="001C28AB">
      <w:pPr>
        <w:pStyle w:val="FootnoteText"/>
        <w:rPr>
          <w:lang w:val="en-US"/>
        </w:rPr>
      </w:pPr>
      <w:r>
        <w:rPr>
          <w:rStyle w:val="FootnoteReference"/>
        </w:rPr>
        <w:footnoteRef/>
      </w:r>
      <w:r>
        <w:t xml:space="preserve"> </w:t>
      </w:r>
      <w:proofErr w:type="gramStart"/>
      <w:r>
        <w:rPr>
          <w:lang w:val="en-US"/>
        </w:rPr>
        <w:t>HSS II application to GAVI by DRC, 20 April 2014.</w:t>
      </w:r>
      <w:proofErr w:type="gramEnd"/>
    </w:p>
  </w:footnote>
  <w:footnote w:id="38">
    <w:p w14:paraId="3138FDCF" w14:textId="050CE1B8" w:rsidR="001C28AB" w:rsidRPr="001C28AB" w:rsidRDefault="001C28AB">
      <w:pPr>
        <w:pStyle w:val="FootnoteText"/>
        <w:rPr>
          <w:lang w:val="en-US"/>
        </w:rPr>
      </w:pPr>
      <w:r>
        <w:rPr>
          <w:rStyle w:val="FootnoteReference"/>
        </w:rPr>
        <w:footnoteRef/>
      </w:r>
      <w:r>
        <w:t xml:space="preserve"> </w:t>
      </w:r>
      <w:proofErr w:type="gramStart"/>
      <w:r>
        <w:rPr>
          <w:lang w:val="en-US"/>
        </w:rPr>
        <w:t>Post-introduction evaluation report for PCV-13 in the Democratic Republic of Congo, 27 March – 11 April 2014.</w:t>
      </w:r>
      <w:proofErr w:type="gramEnd"/>
    </w:p>
  </w:footnote>
  <w:footnote w:id="39">
    <w:p w14:paraId="21164069" w14:textId="3976CB98" w:rsidR="00F453F4" w:rsidRPr="00F453F4" w:rsidRDefault="00F453F4">
      <w:pPr>
        <w:pStyle w:val="FootnoteText"/>
        <w:rPr>
          <w:lang w:val="en-US"/>
        </w:rPr>
      </w:pPr>
      <w:r>
        <w:rPr>
          <w:rStyle w:val="FootnoteReference"/>
        </w:rPr>
        <w:footnoteRef/>
      </w:r>
      <w:r>
        <w:t xml:space="preserve"> </w:t>
      </w:r>
      <w:proofErr w:type="spellStart"/>
      <w:proofErr w:type="gramStart"/>
      <w:r>
        <w:rPr>
          <w:lang w:val="en-US"/>
        </w:rPr>
        <w:t>cMYP</w:t>
      </w:r>
      <w:proofErr w:type="spellEnd"/>
      <w:proofErr w:type="gramEnd"/>
      <w:r>
        <w:rPr>
          <w:lang w:val="en-US"/>
        </w:rPr>
        <w:t xml:space="preserve"> 2015-2019.</w:t>
      </w:r>
    </w:p>
  </w:footnote>
  <w:footnote w:id="40">
    <w:p w14:paraId="06524631" w14:textId="7F25491A" w:rsidR="00F453F4" w:rsidRPr="00F453F4" w:rsidRDefault="00F453F4">
      <w:pPr>
        <w:pStyle w:val="FootnoteText"/>
        <w:rPr>
          <w:lang w:val="en-US"/>
        </w:rPr>
      </w:pPr>
      <w:r>
        <w:rPr>
          <w:rStyle w:val="FootnoteReference"/>
        </w:rPr>
        <w:footnoteRef/>
      </w:r>
      <w:r>
        <w:t xml:space="preserve"> Draft EPI Action Plan for 2016, February 2016.</w:t>
      </w:r>
    </w:p>
  </w:footnote>
  <w:footnote w:id="41">
    <w:p w14:paraId="111BBE2C" w14:textId="4D16270E" w:rsidR="00C737EA" w:rsidRPr="00C737EA" w:rsidRDefault="00C737EA">
      <w:pPr>
        <w:pStyle w:val="FootnoteText"/>
        <w:rPr>
          <w:lang w:val="en-US"/>
        </w:rPr>
      </w:pPr>
      <w:r>
        <w:rPr>
          <w:rStyle w:val="FootnoteReference"/>
        </w:rPr>
        <w:footnoteRef/>
      </w:r>
      <w:r>
        <w:t xml:space="preserve"> </w:t>
      </w:r>
      <w:r w:rsidRPr="00871017">
        <w:t>2015 joint appraisal report for DRC</w:t>
      </w:r>
      <w:r w:rsidRPr="00871017">
        <w:rPr>
          <w:lang w:val="en-US"/>
        </w:rPr>
        <w:t>.</w:t>
      </w:r>
    </w:p>
  </w:footnote>
  <w:footnote w:id="42">
    <w:p w14:paraId="23DFE7DC" w14:textId="34C70528" w:rsidR="00C737EA" w:rsidRPr="00C737EA" w:rsidRDefault="00C737EA">
      <w:pPr>
        <w:pStyle w:val="FootnoteText"/>
        <w:rPr>
          <w:lang w:val="en-US"/>
        </w:rPr>
      </w:pPr>
      <w:r>
        <w:rPr>
          <w:rStyle w:val="FootnoteReference"/>
        </w:rPr>
        <w:footnoteRef/>
      </w:r>
      <w:r>
        <w:t xml:space="preserve"> </w:t>
      </w:r>
      <w:r w:rsidRPr="00871017">
        <w:t>2015 joint appraisal report for DRC</w:t>
      </w:r>
      <w:r w:rsidRPr="00871017">
        <w:rPr>
          <w:lang w:val="en-U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5A03"/>
    <w:multiLevelType w:val="hybridMultilevel"/>
    <w:tmpl w:val="CE063D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8F710BA"/>
    <w:multiLevelType w:val="hybridMultilevel"/>
    <w:tmpl w:val="D8001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BCD70F0"/>
    <w:multiLevelType w:val="hybridMultilevel"/>
    <w:tmpl w:val="F15E47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CCD12B0"/>
    <w:multiLevelType w:val="multilevel"/>
    <w:tmpl w:val="3DD481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910D11"/>
    <w:multiLevelType w:val="hybridMultilevel"/>
    <w:tmpl w:val="ECF66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6A823D2"/>
    <w:multiLevelType w:val="multilevel"/>
    <w:tmpl w:val="C82CB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4D5180B"/>
    <w:multiLevelType w:val="hybridMultilevel"/>
    <w:tmpl w:val="AAA283B2"/>
    <w:lvl w:ilvl="0" w:tplc="10421B9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9AB2663"/>
    <w:multiLevelType w:val="multilevel"/>
    <w:tmpl w:val="A5E0E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16">
    <w:nsid w:val="3F432496"/>
    <w:multiLevelType w:val="hybridMultilevel"/>
    <w:tmpl w:val="74EE471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4A590C9C"/>
    <w:multiLevelType w:val="hybridMultilevel"/>
    <w:tmpl w:val="DB2CC0A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nsid w:val="4C757444"/>
    <w:multiLevelType w:val="hybridMultilevel"/>
    <w:tmpl w:val="314EDE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20">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82970CC"/>
    <w:multiLevelType w:val="hybridMultilevel"/>
    <w:tmpl w:val="334C477E"/>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584511EA"/>
    <w:multiLevelType w:val="hybridMultilevel"/>
    <w:tmpl w:val="DB5E44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25">
    <w:nsid w:val="6C682281"/>
    <w:multiLevelType w:val="hybridMultilevel"/>
    <w:tmpl w:val="E8A82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374B65"/>
    <w:multiLevelType w:val="multilevel"/>
    <w:tmpl w:val="502C0C5E"/>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28">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30">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4"/>
  </w:num>
  <w:num w:numId="4">
    <w:abstractNumId w:val="11"/>
  </w:num>
  <w:num w:numId="5">
    <w:abstractNumId w:val="22"/>
  </w:num>
  <w:num w:numId="6">
    <w:abstractNumId w:val="2"/>
  </w:num>
  <w:num w:numId="7">
    <w:abstractNumId w:val="8"/>
  </w:num>
  <w:num w:numId="8">
    <w:abstractNumId w:val="20"/>
  </w:num>
  <w:num w:numId="9">
    <w:abstractNumId w:val="6"/>
  </w:num>
  <w:num w:numId="10">
    <w:abstractNumId w:val="28"/>
  </w:num>
  <w:num w:numId="11">
    <w:abstractNumId w:val="27"/>
  </w:num>
  <w:num w:numId="12">
    <w:abstractNumId w:val="15"/>
  </w:num>
  <w:num w:numId="13">
    <w:abstractNumId w:val="24"/>
  </w:num>
  <w:num w:numId="14">
    <w:abstractNumId w:val="19"/>
  </w:num>
  <w:num w:numId="15">
    <w:abstractNumId w:val="29"/>
  </w:num>
  <w:num w:numId="16">
    <w:abstractNumId w:val="10"/>
  </w:num>
  <w:num w:numId="17">
    <w:abstractNumId w:val="21"/>
  </w:num>
  <w:num w:numId="18">
    <w:abstractNumId w:val="13"/>
  </w:num>
  <w:num w:numId="19">
    <w:abstractNumId w:val="30"/>
  </w:num>
  <w:num w:numId="20">
    <w:abstractNumId w:val="1"/>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6"/>
  </w:num>
  <w:num w:numId="24">
    <w:abstractNumId w:val="23"/>
  </w:num>
  <w:num w:numId="25">
    <w:abstractNumId w:val="25"/>
  </w:num>
  <w:num w:numId="26">
    <w:abstractNumId w:val="16"/>
  </w:num>
  <w:num w:numId="27">
    <w:abstractNumId w:val="3"/>
  </w:num>
  <w:num w:numId="28">
    <w:abstractNumId w:val="0"/>
  </w:num>
  <w:num w:numId="29">
    <w:abstractNumId w:val="18"/>
  </w:num>
  <w:num w:numId="30">
    <w:abstractNumId w:val="17"/>
  </w:num>
  <w:num w:numId="3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ise DeRoeck">
    <w15:presenceInfo w15:providerId="Windows Live" w15:userId="dd5ab0a71e4737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345F"/>
    <w:rsid w:val="0000352E"/>
    <w:rsid w:val="000178D5"/>
    <w:rsid w:val="000258EE"/>
    <w:rsid w:val="00044F3E"/>
    <w:rsid w:val="00052693"/>
    <w:rsid w:val="0007442D"/>
    <w:rsid w:val="00084796"/>
    <w:rsid w:val="00096E70"/>
    <w:rsid w:val="000A6F7C"/>
    <w:rsid w:val="000A7279"/>
    <w:rsid w:val="000B0082"/>
    <w:rsid w:val="000C2C44"/>
    <w:rsid w:val="000E3D3E"/>
    <w:rsid w:val="00112FEE"/>
    <w:rsid w:val="0011764D"/>
    <w:rsid w:val="001206D8"/>
    <w:rsid w:val="00144801"/>
    <w:rsid w:val="00157C23"/>
    <w:rsid w:val="00163179"/>
    <w:rsid w:val="001A33B2"/>
    <w:rsid w:val="001B0097"/>
    <w:rsid w:val="001C1193"/>
    <w:rsid w:val="001C1E4D"/>
    <w:rsid w:val="001C28AB"/>
    <w:rsid w:val="001C5026"/>
    <w:rsid w:val="001D1D41"/>
    <w:rsid w:val="001D336C"/>
    <w:rsid w:val="001D6E48"/>
    <w:rsid w:val="001E1094"/>
    <w:rsid w:val="001E10B1"/>
    <w:rsid w:val="001E7D06"/>
    <w:rsid w:val="001F2D8D"/>
    <w:rsid w:val="00210674"/>
    <w:rsid w:val="00221A3A"/>
    <w:rsid w:val="002258E3"/>
    <w:rsid w:val="00226696"/>
    <w:rsid w:val="002327A5"/>
    <w:rsid w:val="00232D9A"/>
    <w:rsid w:val="002818D0"/>
    <w:rsid w:val="00281CEF"/>
    <w:rsid w:val="00292589"/>
    <w:rsid w:val="00293DEE"/>
    <w:rsid w:val="002945B9"/>
    <w:rsid w:val="002970A7"/>
    <w:rsid w:val="002B73D6"/>
    <w:rsid w:val="002C0BCF"/>
    <w:rsid w:val="002C45C4"/>
    <w:rsid w:val="002D61F5"/>
    <w:rsid w:val="002D762A"/>
    <w:rsid w:val="002E66AB"/>
    <w:rsid w:val="002F1749"/>
    <w:rsid w:val="002F20C9"/>
    <w:rsid w:val="00321B47"/>
    <w:rsid w:val="00324CCD"/>
    <w:rsid w:val="003573EF"/>
    <w:rsid w:val="00364456"/>
    <w:rsid w:val="00370616"/>
    <w:rsid w:val="00371B50"/>
    <w:rsid w:val="00373BA5"/>
    <w:rsid w:val="003B6F84"/>
    <w:rsid w:val="003C49D6"/>
    <w:rsid w:val="003D24BB"/>
    <w:rsid w:val="003D6679"/>
    <w:rsid w:val="003E30EC"/>
    <w:rsid w:val="003F4825"/>
    <w:rsid w:val="0040083F"/>
    <w:rsid w:val="00432B70"/>
    <w:rsid w:val="00436537"/>
    <w:rsid w:val="0044011A"/>
    <w:rsid w:val="00441EDC"/>
    <w:rsid w:val="00444AD2"/>
    <w:rsid w:val="00457E0A"/>
    <w:rsid w:val="004826EF"/>
    <w:rsid w:val="004873D9"/>
    <w:rsid w:val="00496569"/>
    <w:rsid w:val="004A0E8E"/>
    <w:rsid w:val="004A394A"/>
    <w:rsid w:val="004B5B75"/>
    <w:rsid w:val="004D307D"/>
    <w:rsid w:val="004E24A2"/>
    <w:rsid w:val="004F6777"/>
    <w:rsid w:val="00500171"/>
    <w:rsid w:val="0050564C"/>
    <w:rsid w:val="0051290F"/>
    <w:rsid w:val="005133F8"/>
    <w:rsid w:val="00513BF2"/>
    <w:rsid w:val="00527C9D"/>
    <w:rsid w:val="00530B48"/>
    <w:rsid w:val="00530FEA"/>
    <w:rsid w:val="00532476"/>
    <w:rsid w:val="00534013"/>
    <w:rsid w:val="005356D4"/>
    <w:rsid w:val="00544B6F"/>
    <w:rsid w:val="005765C7"/>
    <w:rsid w:val="0058000D"/>
    <w:rsid w:val="00581FD6"/>
    <w:rsid w:val="005B6B29"/>
    <w:rsid w:val="005C6F1C"/>
    <w:rsid w:val="005F0283"/>
    <w:rsid w:val="00623FB4"/>
    <w:rsid w:val="006262C9"/>
    <w:rsid w:val="00635C8E"/>
    <w:rsid w:val="0063770B"/>
    <w:rsid w:val="006410AE"/>
    <w:rsid w:val="00641572"/>
    <w:rsid w:val="00651C67"/>
    <w:rsid w:val="006562DB"/>
    <w:rsid w:val="00656D34"/>
    <w:rsid w:val="006842AB"/>
    <w:rsid w:val="00696E6A"/>
    <w:rsid w:val="006A4380"/>
    <w:rsid w:val="006A4CB9"/>
    <w:rsid w:val="006B771A"/>
    <w:rsid w:val="006C334B"/>
    <w:rsid w:val="006F3709"/>
    <w:rsid w:val="007033F7"/>
    <w:rsid w:val="00734C9E"/>
    <w:rsid w:val="00762ACA"/>
    <w:rsid w:val="0076408F"/>
    <w:rsid w:val="00767749"/>
    <w:rsid w:val="00770EEA"/>
    <w:rsid w:val="007753BA"/>
    <w:rsid w:val="00775B84"/>
    <w:rsid w:val="007774F8"/>
    <w:rsid w:val="0079008F"/>
    <w:rsid w:val="007A35F6"/>
    <w:rsid w:val="007B053A"/>
    <w:rsid w:val="007C52E5"/>
    <w:rsid w:val="007C5F79"/>
    <w:rsid w:val="007D0750"/>
    <w:rsid w:val="007D16A4"/>
    <w:rsid w:val="007D2AA9"/>
    <w:rsid w:val="007E0DEE"/>
    <w:rsid w:val="007F0729"/>
    <w:rsid w:val="008053B7"/>
    <w:rsid w:val="008105B2"/>
    <w:rsid w:val="00813EED"/>
    <w:rsid w:val="00824634"/>
    <w:rsid w:val="00824C6B"/>
    <w:rsid w:val="00825812"/>
    <w:rsid w:val="008349B3"/>
    <w:rsid w:val="00834A2D"/>
    <w:rsid w:val="0083568C"/>
    <w:rsid w:val="00846F7D"/>
    <w:rsid w:val="00856B69"/>
    <w:rsid w:val="00863F77"/>
    <w:rsid w:val="00864DC1"/>
    <w:rsid w:val="00865907"/>
    <w:rsid w:val="00871017"/>
    <w:rsid w:val="008741BB"/>
    <w:rsid w:val="00883C0A"/>
    <w:rsid w:val="00886641"/>
    <w:rsid w:val="008908FC"/>
    <w:rsid w:val="008A1C67"/>
    <w:rsid w:val="008B71DB"/>
    <w:rsid w:val="008C6318"/>
    <w:rsid w:val="008D27F4"/>
    <w:rsid w:val="008E4926"/>
    <w:rsid w:val="008E7AA0"/>
    <w:rsid w:val="008F4F49"/>
    <w:rsid w:val="009318B8"/>
    <w:rsid w:val="009462E5"/>
    <w:rsid w:val="009563E8"/>
    <w:rsid w:val="009A5026"/>
    <w:rsid w:val="009B091D"/>
    <w:rsid w:val="009C09D8"/>
    <w:rsid w:val="009E1E59"/>
    <w:rsid w:val="009E262A"/>
    <w:rsid w:val="009F7B84"/>
    <w:rsid w:val="00A11AC1"/>
    <w:rsid w:val="00A330ED"/>
    <w:rsid w:val="00A40512"/>
    <w:rsid w:val="00A44D74"/>
    <w:rsid w:val="00A54964"/>
    <w:rsid w:val="00A574A9"/>
    <w:rsid w:val="00A83A9B"/>
    <w:rsid w:val="00AA42DB"/>
    <w:rsid w:val="00AA7025"/>
    <w:rsid w:val="00AD1B7E"/>
    <w:rsid w:val="00AD379D"/>
    <w:rsid w:val="00AE7557"/>
    <w:rsid w:val="00AF3E38"/>
    <w:rsid w:val="00B07860"/>
    <w:rsid w:val="00B13423"/>
    <w:rsid w:val="00B218CC"/>
    <w:rsid w:val="00B316F3"/>
    <w:rsid w:val="00B7182E"/>
    <w:rsid w:val="00B76F10"/>
    <w:rsid w:val="00B96660"/>
    <w:rsid w:val="00BA2589"/>
    <w:rsid w:val="00BA768D"/>
    <w:rsid w:val="00BB1369"/>
    <w:rsid w:val="00BC23BE"/>
    <w:rsid w:val="00BE379F"/>
    <w:rsid w:val="00BF14CF"/>
    <w:rsid w:val="00BF4CFA"/>
    <w:rsid w:val="00C148D5"/>
    <w:rsid w:val="00C2711B"/>
    <w:rsid w:val="00C43F4C"/>
    <w:rsid w:val="00C60E99"/>
    <w:rsid w:val="00C67C9D"/>
    <w:rsid w:val="00C737EA"/>
    <w:rsid w:val="00CA1D86"/>
    <w:rsid w:val="00CD3FD9"/>
    <w:rsid w:val="00CD61CC"/>
    <w:rsid w:val="00CF0E45"/>
    <w:rsid w:val="00CF2BF7"/>
    <w:rsid w:val="00D00DC6"/>
    <w:rsid w:val="00D17551"/>
    <w:rsid w:val="00D27E92"/>
    <w:rsid w:val="00D30DD8"/>
    <w:rsid w:val="00D53F27"/>
    <w:rsid w:val="00D732C7"/>
    <w:rsid w:val="00D733F1"/>
    <w:rsid w:val="00D9435D"/>
    <w:rsid w:val="00D9563B"/>
    <w:rsid w:val="00DB6570"/>
    <w:rsid w:val="00DC5960"/>
    <w:rsid w:val="00DD7791"/>
    <w:rsid w:val="00DE3314"/>
    <w:rsid w:val="00DE7F02"/>
    <w:rsid w:val="00E11B99"/>
    <w:rsid w:val="00E1686A"/>
    <w:rsid w:val="00E37109"/>
    <w:rsid w:val="00E703C2"/>
    <w:rsid w:val="00E82006"/>
    <w:rsid w:val="00E86411"/>
    <w:rsid w:val="00E91097"/>
    <w:rsid w:val="00E9485D"/>
    <w:rsid w:val="00EB5A7D"/>
    <w:rsid w:val="00EC5704"/>
    <w:rsid w:val="00EE1C5C"/>
    <w:rsid w:val="00EE46A2"/>
    <w:rsid w:val="00EE765D"/>
    <w:rsid w:val="00F41A91"/>
    <w:rsid w:val="00F453F4"/>
    <w:rsid w:val="00F577A7"/>
    <w:rsid w:val="00F63D60"/>
    <w:rsid w:val="00F74620"/>
    <w:rsid w:val="00F81B65"/>
    <w:rsid w:val="00F85BA5"/>
    <w:rsid w:val="00FD688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0C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BE37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379F"/>
    <w:rPr>
      <w:sz w:val="20"/>
      <w:szCs w:val="20"/>
    </w:rPr>
  </w:style>
  <w:style w:type="character" w:styleId="FootnoteReference">
    <w:name w:val="footnote reference"/>
    <w:basedOn w:val="DefaultParagraphFont"/>
    <w:uiPriority w:val="99"/>
    <w:semiHidden/>
    <w:unhideWhenUsed/>
    <w:rsid w:val="00BE379F"/>
    <w:rPr>
      <w:vertAlign w:val="superscript"/>
    </w:rPr>
  </w:style>
  <w:style w:type="paragraph" w:styleId="Revision">
    <w:name w:val="Revision"/>
    <w:hidden/>
    <w:uiPriority w:val="99"/>
    <w:semiHidden/>
    <w:rsid w:val="001206D8"/>
    <w:pPr>
      <w:spacing w:after="0" w:line="240" w:lineRule="auto"/>
    </w:pPr>
  </w:style>
  <w:style w:type="paragraph" w:styleId="Caption">
    <w:name w:val="caption"/>
    <w:basedOn w:val="Normal"/>
    <w:next w:val="Normal"/>
    <w:uiPriority w:val="35"/>
    <w:unhideWhenUsed/>
    <w:qFormat/>
    <w:rsid w:val="00651C6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BE37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379F"/>
    <w:rPr>
      <w:sz w:val="20"/>
      <w:szCs w:val="20"/>
    </w:rPr>
  </w:style>
  <w:style w:type="character" w:styleId="FootnoteReference">
    <w:name w:val="footnote reference"/>
    <w:basedOn w:val="DefaultParagraphFont"/>
    <w:uiPriority w:val="99"/>
    <w:semiHidden/>
    <w:unhideWhenUsed/>
    <w:rsid w:val="00BE379F"/>
    <w:rPr>
      <w:vertAlign w:val="superscript"/>
    </w:rPr>
  </w:style>
  <w:style w:type="paragraph" w:styleId="Revision">
    <w:name w:val="Revision"/>
    <w:hidden/>
    <w:uiPriority w:val="99"/>
    <w:semiHidden/>
    <w:rsid w:val="001206D8"/>
    <w:pPr>
      <w:spacing w:after="0" w:line="240" w:lineRule="auto"/>
    </w:pPr>
  </w:style>
  <w:style w:type="paragraph" w:styleId="Caption">
    <w:name w:val="caption"/>
    <w:basedOn w:val="Normal"/>
    <w:next w:val="Normal"/>
    <w:uiPriority w:val="35"/>
    <w:unhideWhenUsed/>
    <w:qFormat/>
    <w:rsid w:val="00651C6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476016">
      <w:bodyDiv w:val="1"/>
      <w:marLeft w:val="0"/>
      <w:marRight w:val="0"/>
      <w:marTop w:val="0"/>
      <w:marBottom w:val="0"/>
      <w:divBdr>
        <w:top w:val="none" w:sz="0" w:space="0" w:color="auto"/>
        <w:left w:val="none" w:sz="0" w:space="0" w:color="auto"/>
        <w:bottom w:val="none" w:sz="0" w:space="0" w:color="auto"/>
        <w:right w:val="none" w:sz="0" w:space="0" w:color="auto"/>
      </w:divBdr>
    </w:div>
    <w:div w:id="148327312">
      <w:bodyDiv w:val="1"/>
      <w:marLeft w:val="0"/>
      <w:marRight w:val="0"/>
      <w:marTop w:val="0"/>
      <w:marBottom w:val="0"/>
      <w:divBdr>
        <w:top w:val="none" w:sz="0" w:space="0" w:color="auto"/>
        <w:left w:val="none" w:sz="0" w:space="0" w:color="auto"/>
        <w:bottom w:val="none" w:sz="0" w:space="0" w:color="auto"/>
        <w:right w:val="none" w:sz="0" w:space="0" w:color="auto"/>
      </w:divBdr>
    </w:div>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537400086">
          <w:marLeft w:val="806"/>
          <w:marRight w:val="0"/>
          <w:marTop w:val="72"/>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sChild>
    </w:div>
    <w:div w:id="866452554">
      <w:bodyDiv w:val="1"/>
      <w:marLeft w:val="0"/>
      <w:marRight w:val="0"/>
      <w:marTop w:val="0"/>
      <w:marBottom w:val="0"/>
      <w:divBdr>
        <w:top w:val="none" w:sz="0" w:space="0" w:color="auto"/>
        <w:left w:val="none" w:sz="0" w:space="0" w:color="auto"/>
        <w:bottom w:val="none" w:sz="0" w:space="0" w:color="auto"/>
        <w:right w:val="none" w:sz="0" w:space="0" w:color="auto"/>
      </w:divBdr>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316227436">
      <w:bodyDiv w:val="1"/>
      <w:marLeft w:val="0"/>
      <w:marRight w:val="0"/>
      <w:marTop w:val="0"/>
      <w:marBottom w:val="0"/>
      <w:divBdr>
        <w:top w:val="none" w:sz="0" w:space="0" w:color="auto"/>
        <w:left w:val="none" w:sz="0" w:space="0" w:color="auto"/>
        <w:bottom w:val="none" w:sz="0" w:space="0" w:color="auto"/>
        <w:right w:val="none" w:sz="0" w:space="0" w:color="auto"/>
      </w:divBdr>
    </w:div>
    <w:div w:id="1439250243">
      <w:bodyDiv w:val="1"/>
      <w:marLeft w:val="0"/>
      <w:marRight w:val="0"/>
      <w:marTop w:val="0"/>
      <w:marBottom w:val="0"/>
      <w:divBdr>
        <w:top w:val="none" w:sz="0" w:space="0" w:color="auto"/>
        <w:left w:val="none" w:sz="0" w:space="0" w:color="auto"/>
        <w:bottom w:val="none" w:sz="0" w:space="0" w:color="auto"/>
        <w:right w:val="none" w:sz="0" w:space="0" w:color="auto"/>
      </w:divBdr>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2050450190">
          <w:marLeft w:val="806"/>
          <w:marRight w:val="0"/>
          <w:marTop w:val="86"/>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59450289">
          <w:marLeft w:val="1440"/>
          <w:marRight w:val="0"/>
          <w:marTop w:val="72"/>
          <w:marBottom w:val="0"/>
          <w:divBdr>
            <w:top w:val="none" w:sz="0" w:space="0" w:color="auto"/>
            <w:left w:val="none" w:sz="0" w:space="0" w:color="auto"/>
            <w:bottom w:val="none" w:sz="0" w:space="0" w:color="auto"/>
            <w:right w:val="none" w:sz="0" w:space="0" w:color="auto"/>
          </w:divBdr>
        </w:div>
      </w:divsChild>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 w:id="2135130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hart" Target="charts/chart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reliefweb.int/report/democratic-republic-congo/measles-epidemic-democratic-republic-congo-who-and-unicef-concerned"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DRC!$B$3</c:f>
              <c:strCache>
                <c:ptCount val="1"/>
                <c:pt idx="0">
                  <c:v>Vaccines</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DRC!$A$4:$A$9</c:f>
              <c:numCache>
                <c:formatCode>General</c:formatCode>
                <c:ptCount val="6"/>
                <c:pt idx="0">
                  <c:v>2010</c:v>
                </c:pt>
                <c:pt idx="1">
                  <c:v>2011</c:v>
                </c:pt>
                <c:pt idx="2">
                  <c:v>2012</c:v>
                </c:pt>
                <c:pt idx="3">
                  <c:v>2013</c:v>
                </c:pt>
                <c:pt idx="4">
                  <c:v>2014</c:v>
                </c:pt>
                <c:pt idx="5">
                  <c:v>2015</c:v>
                </c:pt>
              </c:numCache>
            </c:numRef>
          </c:cat>
          <c:val>
            <c:numRef>
              <c:f>DRC!$B$4:$B$9</c:f>
              <c:numCache>
                <c:formatCode>_(* #,##0_);_(* \(#,##0\);_(* "-"??_);_(@_)</c:formatCode>
                <c:ptCount val="6"/>
                <c:pt idx="0">
                  <c:v>1625242</c:v>
                </c:pt>
                <c:pt idx="1">
                  <c:v>695881</c:v>
                </c:pt>
                <c:pt idx="2">
                  <c:v>4466399</c:v>
                </c:pt>
                <c:pt idx="3">
                  <c:v>3727193</c:v>
                </c:pt>
                <c:pt idx="4">
                  <c:v>2628012</c:v>
                </c:pt>
                <c:pt idx="5">
                  <c:v>2370993</c:v>
                </c:pt>
              </c:numCache>
            </c:numRef>
          </c:val>
          <c:smooth val="0"/>
        </c:ser>
        <c:ser>
          <c:idx val="2"/>
          <c:order val="1"/>
          <c:tx>
            <c:strRef>
              <c:f>DRC!$C$3</c:f>
              <c:strCache>
                <c:ptCount val="1"/>
                <c:pt idx="0">
                  <c:v>Total EPI expenditures including vaccines</c:v>
                </c:pt>
              </c:strCache>
            </c:strRef>
          </c:tx>
          <c:spPr>
            <a:ln w="28575" cap="rnd">
              <a:solidFill>
                <a:srgbClr val="002060"/>
              </a:solidFill>
              <a:round/>
            </a:ln>
            <a:effectLst/>
          </c:spPr>
          <c:marker>
            <c:symbol val="x"/>
            <c:size val="5"/>
            <c:spPr>
              <a:solidFill>
                <a:srgbClr val="002060"/>
              </a:solidFill>
              <a:ln w="9525">
                <a:solidFill>
                  <a:srgbClr val="002060"/>
                </a:solidFill>
              </a:ln>
              <a:effectLst/>
            </c:spPr>
          </c:marker>
          <c:cat>
            <c:numRef>
              <c:f>DRC!$A$4:$A$9</c:f>
              <c:numCache>
                <c:formatCode>General</c:formatCode>
                <c:ptCount val="6"/>
                <c:pt idx="0">
                  <c:v>2010</c:v>
                </c:pt>
                <c:pt idx="1">
                  <c:v>2011</c:v>
                </c:pt>
                <c:pt idx="2">
                  <c:v>2012</c:v>
                </c:pt>
                <c:pt idx="3">
                  <c:v>2013</c:v>
                </c:pt>
                <c:pt idx="4">
                  <c:v>2014</c:v>
                </c:pt>
                <c:pt idx="5">
                  <c:v>2015</c:v>
                </c:pt>
              </c:numCache>
            </c:numRef>
          </c:cat>
          <c:val>
            <c:numRef>
              <c:f>DRC!$C$4:$C$9</c:f>
              <c:numCache>
                <c:formatCode>_(* #,##0_);_(* \(#,##0\);_(* "-"??_);_(@_)</c:formatCode>
                <c:ptCount val="6"/>
                <c:pt idx="0">
                  <c:v>1849497</c:v>
                </c:pt>
                <c:pt idx="1">
                  <c:v>1828000</c:v>
                </c:pt>
                <c:pt idx="2">
                  <c:v>4469057</c:v>
                </c:pt>
                <c:pt idx="3">
                  <c:v>4999802</c:v>
                </c:pt>
                <c:pt idx="4">
                  <c:v>3845799</c:v>
                </c:pt>
                <c:pt idx="5">
                  <c:v>3158375</c:v>
                </c:pt>
              </c:numCache>
            </c:numRef>
          </c:val>
          <c:smooth val="0"/>
        </c:ser>
        <c:dLbls>
          <c:showLegendKey val="0"/>
          <c:showVal val="0"/>
          <c:showCatName val="0"/>
          <c:showSerName val="0"/>
          <c:showPercent val="0"/>
          <c:showBubbleSize val="0"/>
        </c:dLbls>
        <c:marker val="1"/>
        <c:smooth val="0"/>
        <c:axId val="128918656"/>
        <c:axId val="129580032"/>
        <c:extLst>
          <c:ext xmlns:c15="http://schemas.microsoft.com/office/drawing/2012/chart" uri="{02D57815-91ED-43cb-92C2-25804820EDAC}">
            <c15:filteredLineSeries>
              <c15:ser>
                <c:idx val="0"/>
                <c:order val="0"/>
                <c:tx>
                  <c:strRef>
                    <c:extLst>
                      <c:ext uri="{02D57815-91ED-43cb-92C2-25804820EDAC}">
                        <c15:formulaRef>
                          <c15:sqref>DRC!$A$3</c15:sqref>
                        </c15:formulaRef>
                      </c:ext>
                    </c:extLst>
                    <c:strCache>
                      <c:ptCount val="1"/>
                      <c:pt idx="0">
                        <c:v>Year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DRC!$A$4:$A$9</c15:sqref>
                        </c15:formulaRef>
                      </c:ext>
                    </c:extLst>
                    <c:numCache>
                      <c:formatCode>General</c:formatCode>
                      <c:ptCount val="6"/>
                      <c:pt idx="0">
                        <c:v>2010</c:v>
                      </c:pt>
                      <c:pt idx="1">
                        <c:v>2011</c:v>
                      </c:pt>
                      <c:pt idx="2">
                        <c:v>2012</c:v>
                      </c:pt>
                      <c:pt idx="3">
                        <c:v>2013</c:v>
                      </c:pt>
                      <c:pt idx="4">
                        <c:v>2014</c:v>
                      </c:pt>
                      <c:pt idx="5">
                        <c:v>2015</c:v>
                      </c:pt>
                    </c:numCache>
                  </c:numRef>
                </c:cat>
                <c:val>
                  <c:numRef>
                    <c:extLst>
                      <c:ext uri="{02D57815-91ED-43cb-92C2-25804820EDAC}">
                        <c15:formulaRef>
                          <c15:sqref>DRC!$A$4:$A$9</c15:sqref>
                        </c15:formulaRef>
                      </c:ext>
                    </c:extLst>
                    <c:numCache>
                      <c:formatCode>General</c:formatCode>
                      <c:ptCount val="6"/>
                      <c:pt idx="0">
                        <c:v>2010</c:v>
                      </c:pt>
                      <c:pt idx="1">
                        <c:v>2011</c:v>
                      </c:pt>
                      <c:pt idx="2">
                        <c:v>2012</c:v>
                      </c:pt>
                      <c:pt idx="3">
                        <c:v>2013</c:v>
                      </c:pt>
                      <c:pt idx="4">
                        <c:v>2014</c:v>
                      </c:pt>
                      <c:pt idx="5">
                        <c:v>2015</c:v>
                      </c:pt>
                    </c:numCache>
                  </c:numRef>
                </c:val>
                <c:smooth val="0"/>
              </c15:ser>
            </c15:filteredLineSeries>
          </c:ext>
        </c:extLst>
      </c:lineChart>
      <c:catAx>
        <c:axId val="128918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580032"/>
        <c:crosses val="autoZero"/>
        <c:auto val="1"/>
        <c:lblAlgn val="ctr"/>
        <c:lblOffset val="100"/>
        <c:noMultiLvlLbl val="0"/>
      </c:catAx>
      <c:valAx>
        <c:axId val="129580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US dollars</a:t>
                </a:r>
              </a:p>
            </c:rich>
          </c:tx>
          <c:overlay val="0"/>
          <c:spPr>
            <a:noFill/>
            <a:ln>
              <a:noFill/>
            </a:ln>
            <a:effectLst/>
          </c:spPr>
        </c:title>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918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rgbClr val="002060"/>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6FA2C0C1-3988-43B4-A89A-068A622B4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6694</Words>
  <Characters>38160</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44765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Majumder, Anwesha</cp:lastModifiedBy>
  <cp:revision>2</cp:revision>
  <cp:lastPrinted>2016-06-28T06:36:00Z</cp:lastPrinted>
  <dcterms:created xsi:type="dcterms:W3CDTF">2016-08-25T11:40:00Z</dcterms:created>
  <dcterms:modified xsi:type="dcterms:W3CDTF">2016-08-25T11:40:00Z</dcterms:modified>
</cp:coreProperties>
</file>