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9E456D" w14:textId="77777777" w:rsidR="001E1094" w:rsidRDefault="001E1094" w:rsidP="001E1094">
      <w:pPr>
        <w:jc w:val="center"/>
        <w:rPr>
          <w:b/>
          <w:sz w:val="40"/>
          <w:szCs w:val="40"/>
        </w:rPr>
      </w:pPr>
      <w:r>
        <w:rPr>
          <w:b/>
          <w:sz w:val="40"/>
          <w:szCs w:val="40"/>
        </w:rPr>
        <w:t>Global Vaccine Action Plan</w:t>
      </w:r>
    </w:p>
    <w:p w14:paraId="01DA57D2" w14:textId="77777777" w:rsidR="001E1094" w:rsidRDefault="001E1094" w:rsidP="001E1094">
      <w:pPr>
        <w:jc w:val="center"/>
        <w:rPr>
          <w:i/>
          <w:sz w:val="40"/>
          <w:szCs w:val="40"/>
        </w:rPr>
      </w:pPr>
      <w:r>
        <w:rPr>
          <w:i/>
          <w:sz w:val="40"/>
          <w:szCs w:val="40"/>
        </w:rPr>
        <w:t>Secretariat Annual Report 2016</w:t>
      </w:r>
    </w:p>
    <w:p w14:paraId="3067B216" w14:textId="77777777" w:rsidR="001E1094" w:rsidRDefault="001E1094" w:rsidP="001E1094">
      <w:pPr>
        <w:jc w:val="center"/>
        <w:rPr>
          <w:i/>
          <w:sz w:val="40"/>
          <w:szCs w:val="40"/>
        </w:rPr>
      </w:pPr>
      <w:r>
        <w:rPr>
          <w:i/>
          <w:sz w:val="40"/>
          <w:szCs w:val="40"/>
        </w:rPr>
        <w:t xml:space="preserve">Priority Country report on progress towards </w:t>
      </w:r>
    </w:p>
    <w:p w14:paraId="1527C293" w14:textId="77777777" w:rsidR="001E1094" w:rsidRDefault="001E1094" w:rsidP="001E1094">
      <w:pPr>
        <w:jc w:val="center"/>
        <w:rPr>
          <w:i/>
          <w:sz w:val="40"/>
          <w:szCs w:val="40"/>
        </w:rPr>
      </w:pPr>
      <w:r>
        <w:rPr>
          <w:i/>
          <w:sz w:val="40"/>
          <w:szCs w:val="40"/>
        </w:rPr>
        <w:t xml:space="preserve">GVAP-RVAP goals </w:t>
      </w:r>
    </w:p>
    <w:p w14:paraId="31603DF2" w14:textId="77777777" w:rsidR="001E1094" w:rsidRDefault="001E1094" w:rsidP="001E1094">
      <w:pPr>
        <w:jc w:val="center"/>
        <w:rPr>
          <w:rFonts w:ascii="Arial" w:hAnsi="Arial"/>
          <w:b/>
          <w:sz w:val="32"/>
        </w:rPr>
      </w:pPr>
    </w:p>
    <w:p w14:paraId="54353DC3" w14:textId="6FB17780" w:rsidR="001E1094" w:rsidRDefault="001E1094" w:rsidP="001E1094">
      <w:pPr>
        <w:jc w:val="center"/>
        <w:rPr>
          <w:rFonts w:ascii="Arial" w:hAnsi="Arial"/>
          <w:b/>
          <w:sz w:val="36"/>
        </w:rPr>
      </w:pPr>
      <w:r>
        <w:rPr>
          <w:rFonts w:ascii="Arial" w:hAnsi="Arial"/>
          <w:b/>
          <w:sz w:val="36"/>
        </w:rPr>
        <w:t>DEMOCRATIC REPUBLIC OF CONGO</w:t>
      </w:r>
    </w:p>
    <w:p w14:paraId="06425866" w14:textId="77777777" w:rsidR="001E1094" w:rsidRDefault="001E1094" w:rsidP="001E1094">
      <w:pPr>
        <w:jc w:val="center"/>
        <w:rPr>
          <w:rFonts w:ascii="Arial" w:hAnsi="Arial"/>
          <w:b/>
          <w:sz w:val="36"/>
        </w:rPr>
      </w:pPr>
    </w:p>
    <w:p w14:paraId="491E978F" w14:textId="448C3F60" w:rsidR="00457E0A" w:rsidRPr="00EE765D" w:rsidRDefault="00457E0A" w:rsidP="00EE765D">
      <w:pPr>
        <w:pStyle w:val="ListParagraph"/>
        <w:numPr>
          <w:ilvl w:val="0"/>
          <w:numId w:val="3"/>
        </w:numPr>
        <w:contextualSpacing w:val="0"/>
        <w:rPr>
          <w:rFonts w:ascii="Arial" w:hAnsi="Arial" w:cs="Arial"/>
          <w:b/>
          <w:sz w:val="26"/>
          <w:szCs w:val="26"/>
        </w:rPr>
      </w:pPr>
      <w:r w:rsidRPr="00527C9D">
        <w:rPr>
          <w:rFonts w:ascii="Arial" w:hAnsi="Arial" w:cs="Arial"/>
          <w:b/>
          <w:sz w:val="26"/>
          <w:szCs w:val="26"/>
        </w:rPr>
        <w:t xml:space="preserve">Progress towards achievement of GVAP goals </w:t>
      </w:r>
    </w:p>
    <w:p w14:paraId="35A92CE8" w14:textId="77777777" w:rsidR="00163179" w:rsidRPr="00527C9D" w:rsidRDefault="00C67C9D" w:rsidP="00163179">
      <w:pPr>
        <w:pStyle w:val="ListParagraph"/>
        <w:numPr>
          <w:ilvl w:val="0"/>
          <w:numId w:val="1"/>
        </w:numPr>
        <w:rPr>
          <w:rFonts w:ascii="Arial" w:hAnsi="Arial" w:cs="Arial"/>
          <w:b/>
          <w:sz w:val="24"/>
          <w:szCs w:val="24"/>
        </w:rPr>
      </w:pPr>
      <w:r w:rsidRPr="00527C9D">
        <w:rPr>
          <w:rFonts w:ascii="Arial" w:hAnsi="Arial" w:cs="Arial"/>
          <w:b/>
          <w:sz w:val="24"/>
          <w:szCs w:val="24"/>
        </w:rPr>
        <w:t xml:space="preserve">Summary </w:t>
      </w:r>
    </w:p>
    <w:p w14:paraId="362C7F99" w14:textId="77777777" w:rsidR="00BA2589" w:rsidRDefault="00BA2589" w:rsidP="00696E6A">
      <w:pPr>
        <w:rPr>
          <w:rFonts w:ascii="Arial" w:hAnsi="Arial" w:cs="Arial"/>
        </w:rPr>
      </w:pPr>
      <w:r w:rsidRPr="0000352E">
        <w:rPr>
          <w:rFonts w:ascii="Arial" w:hAnsi="Arial" w:cs="Arial"/>
        </w:rPr>
        <w:t xml:space="preserve">This </w:t>
      </w:r>
      <w:r w:rsidR="006C334B">
        <w:rPr>
          <w:rFonts w:ascii="Arial" w:hAnsi="Arial" w:cs="Arial"/>
        </w:rPr>
        <w:t xml:space="preserve">summary table describes </w:t>
      </w:r>
      <w:r w:rsidRPr="0000352E">
        <w:rPr>
          <w:rFonts w:ascii="Arial" w:hAnsi="Arial" w:cs="Arial"/>
        </w:rPr>
        <w:t xml:space="preserve">the current situation in DRC regarding achieving the GVAP </w:t>
      </w:r>
      <w:proofErr w:type="gramStart"/>
      <w:r w:rsidRPr="0000352E">
        <w:rPr>
          <w:rFonts w:ascii="Arial" w:hAnsi="Arial" w:cs="Arial"/>
        </w:rPr>
        <w:t>goals</w:t>
      </w:r>
      <w:proofErr w:type="gramEnd"/>
      <w:r w:rsidRPr="0000352E">
        <w:rPr>
          <w:rFonts w:ascii="Arial" w:hAnsi="Arial" w:cs="Arial"/>
        </w:rPr>
        <w:t>.</w:t>
      </w:r>
      <w:r w:rsidR="00527C9D">
        <w:rPr>
          <w:rFonts w:ascii="Arial" w:hAnsi="Arial" w:cs="Arial"/>
        </w:rPr>
        <w:t xml:space="preserve"> </w:t>
      </w:r>
      <w:r w:rsidR="00500171">
        <w:rPr>
          <w:rFonts w:ascii="Arial" w:hAnsi="Arial" w:cs="Arial"/>
        </w:rPr>
        <w:t>D</w:t>
      </w:r>
      <w:r w:rsidR="00696E6A">
        <w:rPr>
          <w:rFonts w:ascii="Arial" w:hAnsi="Arial" w:cs="Arial"/>
        </w:rPr>
        <w:t xml:space="preserve">ata </w:t>
      </w:r>
      <w:r w:rsidR="00E11B99">
        <w:rPr>
          <w:rFonts w:ascii="Arial" w:hAnsi="Arial" w:cs="Arial"/>
        </w:rPr>
        <w:t xml:space="preserve">used to assess progress towards achievement of </w:t>
      </w:r>
      <w:r w:rsidR="00696E6A">
        <w:rPr>
          <w:rFonts w:ascii="Arial" w:hAnsi="Arial" w:cs="Arial"/>
        </w:rPr>
        <w:t xml:space="preserve">GVAP goals are included in the annex (Country </w:t>
      </w:r>
      <w:r w:rsidR="00D00DC6">
        <w:rPr>
          <w:rFonts w:ascii="Arial" w:hAnsi="Arial" w:cs="Arial"/>
        </w:rPr>
        <w:t xml:space="preserve">immunization </w:t>
      </w:r>
      <w:r w:rsidR="00696E6A">
        <w:rPr>
          <w:rFonts w:ascii="Arial" w:hAnsi="Arial" w:cs="Arial"/>
        </w:rPr>
        <w:t>profile).</w:t>
      </w:r>
    </w:p>
    <w:tbl>
      <w:tblPr>
        <w:tblW w:w="9420" w:type="dxa"/>
        <w:jc w:val="center"/>
        <w:tblLook w:val="04A0" w:firstRow="1" w:lastRow="0" w:firstColumn="1" w:lastColumn="0" w:noHBand="0" w:noVBand="1"/>
      </w:tblPr>
      <w:tblGrid>
        <w:gridCol w:w="3220"/>
        <w:gridCol w:w="3900"/>
        <w:gridCol w:w="2300"/>
      </w:tblGrid>
      <w:tr w:rsidR="004873D9" w:rsidRPr="004873D9" w14:paraId="5DB6CA61" w14:textId="77777777" w:rsidTr="00C2711B">
        <w:trPr>
          <w:trHeight w:val="440"/>
          <w:tblHeader/>
          <w:jc w:val="center"/>
        </w:trPr>
        <w:tc>
          <w:tcPr>
            <w:tcW w:w="3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27D6B7" w14:textId="77777777" w:rsidR="004873D9" w:rsidRPr="004873D9" w:rsidRDefault="004873D9" w:rsidP="00AD1B7E">
            <w:pPr>
              <w:spacing w:after="0" w:line="240" w:lineRule="auto"/>
              <w:jc w:val="center"/>
              <w:rPr>
                <w:rFonts w:ascii="Calibri" w:eastAsia="Times New Roman" w:hAnsi="Calibri" w:cs="Calibri"/>
                <w:b/>
                <w:bCs/>
                <w:color w:val="000000"/>
                <w:sz w:val="28"/>
                <w:szCs w:val="28"/>
                <w:lang w:eastAsia="en-GB"/>
              </w:rPr>
            </w:pPr>
            <w:r w:rsidRPr="004873D9">
              <w:rPr>
                <w:rFonts w:ascii="Calibri" w:eastAsia="Times New Roman" w:hAnsi="Calibri" w:cs="Calibri"/>
                <w:b/>
                <w:bCs/>
                <w:color w:val="000000"/>
                <w:sz w:val="28"/>
                <w:szCs w:val="28"/>
                <w:lang w:eastAsia="en-GB"/>
              </w:rPr>
              <w:t>Area</w:t>
            </w:r>
          </w:p>
        </w:tc>
        <w:tc>
          <w:tcPr>
            <w:tcW w:w="3900" w:type="dxa"/>
            <w:tcBorders>
              <w:top w:val="single" w:sz="4" w:space="0" w:color="auto"/>
              <w:left w:val="nil"/>
              <w:bottom w:val="single" w:sz="4" w:space="0" w:color="auto"/>
              <w:right w:val="single" w:sz="4" w:space="0" w:color="auto"/>
            </w:tcBorders>
            <w:shd w:val="clear" w:color="auto" w:fill="auto"/>
            <w:vAlign w:val="center"/>
            <w:hideMark/>
          </w:tcPr>
          <w:p w14:paraId="676504EB" w14:textId="77777777" w:rsidR="004873D9" w:rsidRPr="004873D9" w:rsidRDefault="004873D9" w:rsidP="00AD1B7E">
            <w:pPr>
              <w:spacing w:after="0" w:line="240" w:lineRule="auto"/>
              <w:jc w:val="center"/>
              <w:rPr>
                <w:rFonts w:ascii="Calibri" w:eastAsia="Times New Roman" w:hAnsi="Calibri" w:cs="Calibri"/>
                <w:b/>
                <w:bCs/>
                <w:color w:val="000000"/>
                <w:sz w:val="28"/>
                <w:szCs w:val="28"/>
                <w:lang w:eastAsia="en-GB"/>
              </w:rPr>
            </w:pPr>
            <w:r w:rsidRPr="004873D9">
              <w:rPr>
                <w:rFonts w:ascii="Calibri" w:eastAsia="Times New Roman" w:hAnsi="Calibri" w:cs="Calibri"/>
                <w:b/>
                <w:bCs/>
                <w:color w:val="000000"/>
                <w:sz w:val="28"/>
                <w:szCs w:val="28"/>
                <w:lang w:eastAsia="en-GB"/>
              </w:rPr>
              <w:t>Indicator</w:t>
            </w:r>
          </w:p>
        </w:tc>
        <w:tc>
          <w:tcPr>
            <w:tcW w:w="2300" w:type="dxa"/>
            <w:tcBorders>
              <w:top w:val="single" w:sz="4" w:space="0" w:color="auto"/>
              <w:left w:val="nil"/>
              <w:bottom w:val="single" w:sz="4" w:space="0" w:color="auto"/>
              <w:right w:val="single" w:sz="4" w:space="0" w:color="auto"/>
            </w:tcBorders>
            <w:shd w:val="clear" w:color="auto" w:fill="auto"/>
            <w:vAlign w:val="center"/>
            <w:hideMark/>
          </w:tcPr>
          <w:p w14:paraId="297A8E6E" w14:textId="77777777" w:rsidR="004873D9" w:rsidRPr="004873D9" w:rsidRDefault="004873D9" w:rsidP="00AD1B7E">
            <w:pPr>
              <w:spacing w:after="0" w:line="240" w:lineRule="auto"/>
              <w:jc w:val="center"/>
              <w:rPr>
                <w:rFonts w:ascii="Calibri" w:eastAsia="Times New Roman" w:hAnsi="Calibri" w:cs="Calibri"/>
                <w:b/>
                <w:bCs/>
                <w:color w:val="000000"/>
                <w:sz w:val="28"/>
                <w:szCs w:val="28"/>
                <w:lang w:eastAsia="en-GB"/>
              </w:rPr>
            </w:pPr>
            <w:r w:rsidRPr="004873D9">
              <w:rPr>
                <w:rFonts w:ascii="Calibri" w:eastAsia="Times New Roman" w:hAnsi="Calibri" w:cs="Calibri"/>
                <w:b/>
                <w:bCs/>
                <w:color w:val="000000"/>
                <w:sz w:val="28"/>
                <w:szCs w:val="28"/>
                <w:lang w:eastAsia="en-GB"/>
              </w:rPr>
              <w:t>DR Congo</w:t>
            </w:r>
          </w:p>
        </w:tc>
      </w:tr>
      <w:tr w:rsidR="004873D9" w:rsidRPr="004873D9" w14:paraId="7154404D" w14:textId="77777777" w:rsidTr="004873D9">
        <w:trPr>
          <w:trHeight w:val="900"/>
          <w:jc w:val="center"/>
        </w:trPr>
        <w:tc>
          <w:tcPr>
            <w:tcW w:w="3220" w:type="dxa"/>
            <w:tcBorders>
              <w:top w:val="nil"/>
              <w:left w:val="single" w:sz="4" w:space="0" w:color="auto"/>
              <w:bottom w:val="single" w:sz="4" w:space="0" w:color="auto"/>
              <w:right w:val="single" w:sz="4" w:space="0" w:color="auto"/>
            </w:tcBorders>
            <w:shd w:val="clear" w:color="000000" w:fill="FDE9D9"/>
            <w:vAlign w:val="center"/>
            <w:hideMark/>
          </w:tcPr>
          <w:p w14:paraId="75E12AEE" w14:textId="77777777" w:rsidR="004873D9" w:rsidRPr="004873D9" w:rsidRDefault="004873D9" w:rsidP="004873D9">
            <w:pPr>
              <w:spacing w:after="0" w:line="240" w:lineRule="auto"/>
              <w:rPr>
                <w:rFonts w:ascii="Calibri" w:eastAsia="Times New Roman" w:hAnsi="Calibri" w:cs="Calibri"/>
                <w:b/>
                <w:bCs/>
                <w:color w:val="000000"/>
                <w:lang w:eastAsia="en-GB"/>
              </w:rPr>
            </w:pPr>
            <w:r w:rsidRPr="004873D9">
              <w:rPr>
                <w:rFonts w:ascii="Calibri" w:eastAsia="Times New Roman" w:hAnsi="Calibri" w:cs="Calibri"/>
                <w:b/>
                <w:bCs/>
                <w:color w:val="000000"/>
                <w:lang w:eastAsia="en-GB"/>
              </w:rPr>
              <w:t xml:space="preserve">10. Government expenditure on routine immunization per live birth </w:t>
            </w:r>
            <w:r w:rsidR="00AD1B7E">
              <w:rPr>
                <w:rFonts w:ascii="Calibri" w:eastAsia="Times New Roman" w:hAnsi="Calibri" w:cs="Calibri"/>
                <w:b/>
                <w:bCs/>
                <w:color w:val="000000"/>
                <w:lang w:eastAsia="en-GB"/>
              </w:rPr>
              <w:t>(</w:t>
            </w:r>
            <w:r w:rsidRPr="004873D9">
              <w:rPr>
                <w:rFonts w:ascii="Calibri" w:eastAsia="Times New Roman" w:hAnsi="Calibri" w:cs="Calibri"/>
                <w:b/>
                <w:bCs/>
                <w:color w:val="000000"/>
                <w:lang w:eastAsia="en-GB"/>
              </w:rPr>
              <w:t>USD</w:t>
            </w:r>
            <w:r w:rsidR="00AD1B7E">
              <w:rPr>
                <w:rFonts w:ascii="Calibri" w:eastAsia="Times New Roman" w:hAnsi="Calibri" w:cs="Calibri"/>
                <w:b/>
                <w:bCs/>
                <w:color w:val="000000"/>
                <w:lang w:eastAsia="en-GB"/>
              </w:rPr>
              <w:t>)</w:t>
            </w:r>
          </w:p>
        </w:tc>
        <w:tc>
          <w:tcPr>
            <w:tcW w:w="3900" w:type="dxa"/>
            <w:tcBorders>
              <w:top w:val="nil"/>
              <w:left w:val="nil"/>
              <w:bottom w:val="single" w:sz="4" w:space="0" w:color="auto"/>
              <w:right w:val="single" w:sz="4" w:space="0" w:color="auto"/>
            </w:tcBorders>
            <w:shd w:val="clear" w:color="000000" w:fill="FDE9D9"/>
            <w:vAlign w:val="center"/>
            <w:hideMark/>
          </w:tcPr>
          <w:p w14:paraId="5A38D3F0" w14:textId="77777777" w:rsidR="004873D9" w:rsidRPr="004873D9" w:rsidRDefault="004873D9" w:rsidP="004873D9">
            <w:pPr>
              <w:spacing w:after="0" w:line="240" w:lineRule="auto"/>
              <w:rPr>
                <w:rFonts w:ascii="Calibri" w:eastAsia="Times New Roman" w:hAnsi="Calibri" w:cs="Calibri"/>
                <w:b/>
                <w:bCs/>
                <w:color w:val="000000"/>
                <w:lang w:eastAsia="en-GB"/>
              </w:rPr>
            </w:pPr>
            <w:r w:rsidRPr="004873D9">
              <w:rPr>
                <w:rFonts w:ascii="Calibri" w:eastAsia="Times New Roman" w:hAnsi="Calibri" w:cs="Calibri"/>
                <w:b/>
                <w:bCs/>
                <w:color w:val="000000"/>
                <w:lang w:eastAsia="en-GB"/>
              </w:rPr>
              <w:t>Baseline 2010-2011 and average for 2013-2015 (% change)</w:t>
            </w:r>
          </w:p>
        </w:tc>
        <w:tc>
          <w:tcPr>
            <w:tcW w:w="2300" w:type="dxa"/>
            <w:tcBorders>
              <w:top w:val="nil"/>
              <w:left w:val="nil"/>
              <w:bottom w:val="single" w:sz="4" w:space="0" w:color="auto"/>
              <w:right w:val="single" w:sz="4" w:space="0" w:color="auto"/>
            </w:tcBorders>
            <w:shd w:val="clear" w:color="000000" w:fill="00B050"/>
            <w:vAlign w:val="center"/>
            <w:hideMark/>
          </w:tcPr>
          <w:p w14:paraId="5127722E" w14:textId="77777777" w:rsidR="004873D9" w:rsidRPr="004873D9" w:rsidRDefault="004873D9" w:rsidP="004873D9">
            <w:pPr>
              <w:spacing w:after="0" w:line="240" w:lineRule="auto"/>
              <w:jc w:val="center"/>
              <w:rPr>
                <w:rFonts w:ascii="Calibri" w:eastAsia="Times New Roman" w:hAnsi="Calibri" w:cs="Calibri"/>
                <w:b/>
                <w:bCs/>
                <w:color w:val="000000"/>
                <w:lang w:eastAsia="en-GB"/>
              </w:rPr>
            </w:pPr>
            <w:r w:rsidRPr="004873D9">
              <w:rPr>
                <w:rFonts w:ascii="Calibri" w:eastAsia="Times New Roman" w:hAnsi="Calibri" w:cs="Calibri"/>
                <w:b/>
                <w:bCs/>
                <w:color w:val="000000"/>
                <w:lang w:eastAsia="en-GB"/>
              </w:rPr>
              <w:t>0.7 to 1.4 (+101%)</w:t>
            </w:r>
          </w:p>
        </w:tc>
      </w:tr>
    </w:tbl>
    <w:p w14:paraId="7D3B6686" w14:textId="244A2249" w:rsidR="00373BA5" w:rsidRPr="007D0750" w:rsidRDefault="00373BA5" w:rsidP="007D0750">
      <w:pPr>
        <w:pStyle w:val="ListParagraph"/>
        <w:numPr>
          <w:ilvl w:val="1"/>
          <w:numId w:val="22"/>
        </w:numPr>
        <w:contextualSpacing w:val="0"/>
        <w:rPr>
          <w:rFonts w:ascii="Arial" w:hAnsi="Arial" w:cs="Arial"/>
          <w:b/>
        </w:rPr>
      </w:pPr>
      <w:r w:rsidRPr="007D0750">
        <w:rPr>
          <w:rFonts w:ascii="Arial" w:hAnsi="Arial" w:cs="Arial"/>
          <w:b/>
        </w:rPr>
        <w:t>Govern</w:t>
      </w:r>
      <w:r w:rsidR="007D0750">
        <w:rPr>
          <w:rFonts w:ascii="Arial" w:hAnsi="Arial" w:cs="Arial"/>
          <w:b/>
        </w:rPr>
        <w:t>ment financing of i</w:t>
      </w:r>
      <w:r w:rsidRPr="007D0750">
        <w:rPr>
          <w:rFonts w:ascii="Arial" w:hAnsi="Arial" w:cs="Arial"/>
          <w:b/>
        </w:rPr>
        <w:t>mmunization</w:t>
      </w:r>
    </w:p>
    <w:p w14:paraId="57BCB3D5" w14:textId="6651C6E1" w:rsidR="00AF3E38" w:rsidRDefault="006F3709" w:rsidP="00AF3E38">
      <w:pPr>
        <w:pStyle w:val="ListParagraph"/>
        <w:ind w:left="0"/>
        <w:contextualSpacing w:val="0"/>
        <w:rPr>
          <w:rFonts w:ascii="Arial" w:hAnsi="Arial" w:cs="Arial"/>
        </w:rPr>
      </w:pPr>
      <w:r>
        <w:rPr>
          <w:rFonts w:ascii="Arial" w:hAnsi="Arial" w:cs="Arial"/>
        </w:rPr>
        <w:t xml:space="preserve">As shown in Figure 1, government expenditures for immunization have increased since 2010, after DRC </w:t>
      </w:r>
      <w:r w:rsidR="007D0750">
        <w:rPr>
          <w:rFonts w:ascii="Arial" w:hAnsi="Arial" w:cs="Arial"/>
        </w:rPr>
        <w:t>sta</w:t>
      </w:r>
      <w:r w:rsidR="00221A3A">
        <w:rPr>
          <w:rFonts w:ascii="Arial" w:hAnsi="Arial" w:cs="Arial"/>
        </w:rPr>
        <w:t>r</w:t>
      </w:r>
      <w:r w:rsidR="007D0750">
        <w:rPr>
          <w:rFonts w:ascii="Arial" w:hAnsi="Arial" w:cs="Arial"/>
        </w:rPr>
        <w:t xml:space="preserve">ted paying for traditional vaccines in </w:t>
      </w:r>
      <w:r w:rsidR="00EE1C5C">
        <w:rPr>
          <w:rFonts w:ascii="Arial" w:hAnsi="Arial" w:cs="Arial"/>
        </w:rPr>
        <w:t xml:space="preserve">2009 </w:t>
      </w:r>
      <w:r w:rsidR="007D0750">
        <w:rPr>
          <w:rFonts w:ascii="Arial" w:hAnsi="Arial" w:cs="Arial"/>
        </w:rPr>
        <w:t>and</w:t>
      </w:r>
      <w:r>
        <w:rPr>
          <w:rFonts w:ascii="Arial" w:hAnsi="Arial" w:cs="Arial"/>
        </w:rPr>
        <w:t xml:space="preserve"> co-financing new vaccine introductions. However, </w:t>
      </w:r>
      <w:r w:rsidR="00B76F10">
        <w:rPr>
          <w:rFonts w:ascii="Arial" w:hAnsi="Arial" w:cs="Arial"/>
        </w:rPr>
        <w:t>the figure clearly shows that government contributions have not been rising steadily, but in fact have dipped considerably in the past four years. This is due to the fact that the transfer of funds from the Government is often slow and funds can be diverted to other uses. As a result, the Government paid for only 20% of the cost of procuring traditional vaccines in 2014 ($2.4 million out of $11.8 million), with UNICEF covering the remaining 80%.</w:t>
      </w:r>
      <w:r w:rsidR="00B76F10">
        <w:rPr>
          <w:rStyle w:val="FootnoteReference"/>
          <w:rFonts w:ascii="Arial" w:hAnsi="Arial" w:cs="Arial"/>
        </w:rPr>
        <w:footnoteReference w:id="1"/>
      </w:r>
      <w:r w:rsidR="00B76F10">
        <w:rPr>
          <w:rFonts w:ascii="Arial" w:hAnsi="Arial" w:cs="Arial"/>
        </w:rPr>
        <w:t xml:space="preserve"> These delays in releasing funds contributed to national </w:t>
      </w:r>
      <w:proofErr w:type="spellStart"/>
      <w:r w:rsidR="00B76F10">
        <w:rPr>
          <w:rFonts w:ascii="Arial" w:hAnsi="Arial" w:cs="Arial"/>
        </w:rPr>
        <w:t>stockouts</w:t>
      </w:r>
      <w:proofErr w:type="spellEnd"/>
      <w:r w:rsidR="00B76F10">
        <w:rPr>
          <w:rFonts w:ascii="Arial" w:hAnsi="Arial" w:cs="Arial"/>
        </w:rPr>
        <w:t xml:space="preserve"> of several vaccines in 2014 (BCG, TT, measles), as discussed below. The difficulty in getting </w:t>
      </w:r>
      <w:r w:rsidR="00871017">
        <w:rPr>
          <w:rFonts w:ascii="Arial" w:hAnsi="Arial" w:cs="Arial"/>
        </w:rPr>
        <w:t xml:space="preserve">the Government to release </w:t>
      </w:r>
      <w:r w:rsidR="00B76F10">
        <w:rPr>
          <w:rFonts w:ascii="Arial" w:hAnsi="Arial" w:cs="Arial"/>
        </w:rPr>
        <w:t xml:space="preserve">funds has greatly affected DRC’s ability to co-finance new vaccines. The country was in default to GAVI in 2014 and 2015 and did not pay the </w:t>
      </w:r>
      <w:proofErr w:type="gramStart"/>
      <w:r w:rsidR="00B76F10">
        <w:rPr>
          <w:rFonts w:ascii="Arial" w:hAnsi="Arial" w:cs="Arial"/>
        </w:rPr>
        <w:t>its</w:t>
      </w:r>
      <w:proofErr w:type="gramEnd"/>
      <w:r w:rsidR="00B76F10">
        <w:rPr>
          <w:rFonts w:ascii="Arial" w:hAnsi="Arial" w:cs="Arial"/>
        </w:rPr>
        <w:t xml:space="preserve"> co-financing obligation for 2014 until July of 2015. DRC continues to be late in making co-financing payments.</w:t>
      </w:r>
      <w:r w:rsidR="007D0750">
        <w:rPr>
          <w:rFonts w:ascii="Arial" w:hAnsi="Arial" w:cs="Arial"/>
        </w:rPr>
        <w:t xml:space="preserve"> </w:t>
      </w:r>
    </w:p>
    <w:p w14:paraId="32E1085D" w14:textId="7511385E" w:rsidR="00B316F3" w:rsidRPr="00651C67" w:rsidRDefault="00651C67" w:rsidP="00651C67">
      <w:pPr>
        <w:pStyle w:val="Caption"/>
        <w:rPr>
          <w:rFonts w:ascii="Arial" w:hAnsi="Arial" w:cs="Arial"/>
          <w:b w:val="0"/>
          <w:color w:val="auto"/>
          <w:sz w:val="22"/>
        </w:rPr>
      </w:pPr>
      <w:r w:rsidRPr="00651C67">
        <w:rPr>
          <w:rFonts w:ascii="Arial" w:hAnsi="Arial" w:cs="Arial"/>
          <w:color w:val="auto"/>
          <w:sz w:val="22"/>
        </w:rPr>
        <w:t xml:space="preserve">Figure </w:t>
      </w:r>
      <w:r w:rsidRPr="00651C67">
        <w:rPr>
          <w:rFonts w:ascii="Arial" w:hAnsi="Arial" w:cs="Arial"/>
          <w:color w:val="auto"/>
          <w:sz w:val="22"/>
        </w:rPr>
        <w:fldChar w:fldCharType="begin"/>
      </w:r>
      <w:r w:rsidRPr="00651C67">
        <w:rPr>
          <w:rFonts w:ascii="Arial" w:hAnsi="Arial" w:cs="Arial"/>
          <w:color w:val="auto"/>
          <w:sz w:val="22"/>
        </w:rPr>
        <w:instrText xml:space="preserve"> SEQ Figure \* ARABIC </w:instrText>
      </w:r>
      <w:r w:rsidRPr="00651C67">
        <w:rPr>
          <w:rFonts w:ascii="Arial" w:hAnsi="Arial" w:cs="Arial"/>
          <w:color w:val="auto"/>
          <w:sz w:val="22"/>
        </w:rPr>
        <w:fldChar w:fldCharType="separate"/>
      </w:r>
      <w:r w:rsidR="002C45C4">
        <w:rPr>
          <w:rFonts w:ascii="Arial" w:hAnsi="Arial" w:cs="Arial"/>
          <w:noProof/>
          <w:color w:val="auto"/>
          <w:sz w:val="22"/>
        </w:rPr>
        <w:t>1</w:t>
      </w:r>
      <w:r w:rsidRPr="00651C67">
        <w:rPr>
          <w:rFonts w:ascii="Arial" w:hAnsi="Arial" w:cs="Arial"/>
          <w:color w:val="auto"/>
          <w:sz w:val="22"/>
        </w:rPr>
        <w:fldChar w:fldCharType="end"/>
      </w:r>
      <w:r w:rsidRPr="00651C67">
        <w:rPr>
          <w:rFonts w:ascii="Arial" w:hAnsi="Arial" w:cs="Arial"/>
          <w:color w:val="auto"/>
          <w:sz w:val="22"/>
        </w:rPr>
        <w:t xml:space="preserve">: </w:t>
      </w:r>
      <w:r w:rsidR="00B76F10" w:rsidRPr="00651C67">
        <w:rPr>
          <w:rFonts w:ascii="Arial" w:hAnsi="Arial" w:cs="Arial"/>
          <w:color w:val="auto"/>
          <w:sz w:val="22"/>
        </w:rPr>
        <w:t>Trends in government expenditures</w:t>
      </w:r>
      <w:r w:rsidRPr="00651C67">
        <w:rPr>
          <w:rFonts w:ascii="Arial" w:hAnsi="Arial" w:cs="Arial"/>
          <w:color w:val="auto"/>
          <w:sz w:val="22"/>
        </w:rPr>
        <w:t xml:space="preserve"> for immunization and vaccines</w:t>
      </w:r>
    </w:p>
    <w:p w14:paraId="613C62A0" w14:textId="7E0AA58F" w:rsidR="00AF3E38" w:rsidRPr="00B76F10" w:rsidRDefault="00B76F10" w:rsidP="00B316F3">
      <w:pPr>
        <w:pStyle w:val="ListParagraph"/>
        <w:spacing w:after="0"/>
        <w:ind w:left="0"/>
        <w:contextualSpacing w:val="0"/>
        <w:jc w:val="center"/>
        <w:rPr>
          <w:rFonts w:ascii="Arial" w:hAnsi="Arial" w:cs="Arial"/>
          <w:b/>
        </w:rPr>
      </w:pPr>
      <w:r w:rsidRPr="00B76F10">
        <w:rPr>
          <w:rFonts w:ascii="Arial" w:hAnsi="Arial" w:cs="Arial"/>
          <w:b/>
        </w:rPr>
        <w:lastRenderedPageBreak/>
        <w:t>2010-2015 (from the JRF)</w:t>
      </w:r>
    </w:p>
    <w:p w14:paraId="644FC3DB" w14:textId="28577828" w:rsidR="00B76F10" w:rsidRDefault="00B76F10" w:rsidP="00B76F10">
      <w:pPr>
        <w:pStyle w:val="ListParagraph"/>
        <w:ind w:left="0"/>
        <w:contextualSpacing w:val="0"/>
        <w:jc w:val="center"/>
        <w:rPr>
          <w:rFonts w:ascii="Arial" w:hAnsi="Arial" w:cs="Arial"/>
        </w:rPr>
      </w:pPr>
      <w:r>
        <w:rPr>
          <w:noProof/>
          <w:lang w:eastAsia="zh-CN"/>
        </w:rPr>
        <w:drawing>
          <wp:inline distT="0" distB="0" distL="0" distR="0" wp14:anchorId="3EA955FF" wp14:editId="2B7B43B4">
            <wp:extent cx="4029075" cy="2438400"/>
            <wp:effectExtent l="0" t="0" r="9525"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B4E9DF4" w14:textId="37325A33" w:rsidR="00373BA5" w:rsidRDefault="00AF3E38" w:rsidP="00AF3E38">
      <w:pPr>
        <w:pStyle w:val="ListParagraph"/>
        <w:ind w:left="0"/>
        <w:contextualSpacing w:val="0"/>
        <w:rPr>
          <w:rFonts w:ascii="Arial" w:hAnsi="Arial" w:cs="Arial"/>
        </w:rPr>
      </w:pPr>
      <w:r>
        <w:rPr>
          <w:rFonts w:ascii="Arial" w:hAnsi="Arial" w:cs="Arial"/>
        </w:rPr>
        <w:t>As a result of the disbursement problem, the Government provided only 1</w:t>
      </w:r>
      <w:r w:rsidR="00F74620">
        <w:rPr>
          <w:rFonts w:ascii="Arial" w:hAnsi="Arial" w:cs="Arial"/>
        </w:rPr>
        <w:t>5</w:t>
      </w:r>
      <w:r>
        <w:rPr>
          <w:rFonts w:ascii="Arial" w:hAnsi="Arial" w:cs="Arial"/>
        </w:rPr>
        <w:t>% of its immunization budget in 2015 ($2.</w:t>
      </w:r>
      <w:r w:rsidR="00F74620">
        <w:rPr>
          <w:rFonts w:ascii="Arial" w:hAnsi="Arial" w:cs="Arial"/>
        </w:rPr>
        <w:t>3</w:t>
      </w:r>
      <w:r>
        <w:rPr>
          <w:rFonts w:ascii="Arial" w:hAnsi="Arial" w:cs="Arial"/>
        </w:rPr>
        <w:t xml:space="preserve"> million out of $15 million) and 25% in 2014</w:t>
      </w:r>
      <w:r w:rsidR="00871017">
        <w:rPr>
          <w:rFonts w:ascii="Arial" w:hAnsi="Arial" w:cs="Arial"/>
        </w:rPr>
        <w:t>, with most of the funds going to vaccine procurement and very little to the operational costs of routine immunization.</w:t>
      </w:r>
      <w:r w:rsidR="00F74620">
        <w:rPr>
          <w:rStyle w:val="FootnoteReference"/>
          <w:rFonts w:ascii="Arial" w:hAnsi="Arial" w:cs="Arial"/>
        </w:rPr>
        <w:footnoteReference w:id="2"/>
      </w:r>
      <w:r w:rsidR="00BE379F">
        <w:rPr>
          <w:rFonts w:ascii="Arial" w:hAnsi="Arial" w:cs="Arial"/>
        </w:rPr>
        <w:t xml:space="preserve"> Several partner organizations cont</w:t>
      </w:r>
      <w:r w:rsidR="00221A3A">
        <w:rPr>
          <w:rFonts w:ascii="Arial" w:hAnsi="Arial" w:cs="Arial"/>
        </w:rPr>
        <w:t>ributed</w:t>
      </w:r>
      <w:r w:rsidR="00BE379F">
        <w:rPr>
          <w:rFonts w:ascii="Arial" w:hAnsi="Arial" w:cs="Arial"/>
        </w:rPr>
        <w:t xml:space="preserve"> more than budgeted to help make up the difference</w:t>
      </w:r>
      <w:r w:rsidR="00871017">
        <w:rPr>
          <w:rFonts w:ascii="Arial" w:hAnsi="Arial" w:cs="Arial"/>
        </w:rPr>
        <w:t>, especially for operational costs for vaccination campaigns and routine immunization</w:t>
      </w:r>
      <w:r w:rsidR="00BE379F">
        <w:rPr>
          <w:rFonts w:ascii="Arial" w:hAnsi="Arial" w:cs="Arial"/>
        </w:rPr>
        <w:t xml:space="preserve">. In all, </w:t>
      </w:r>
      <w:r>
        <w:rPr>
          <w:rFonts w:ascii="Arial" w:hAnsi="Arial" w:cs="Arial"/>
        </w:rPr>
        <w:t>the Government’s contribution to the EPI budget was 5% in 2014 (due to no co-financing in that year)</w:t>
      </w:r>
      <w:r w:rsidR="00BE379F">
        <w:rPr>
          <w:rFonts w:ascii="Arial" w:hAnsi="Arial" w:cs="Arial"/>
        </w:rPr>
        <w:t>.</w:t>
      </w:r>
      <w:r w:rsidR="00BE379F">
        <w:rPr>
          <w:rStyle w:val="FootnoteReference"/>
          <w:rFonts w:ascii="Arial" w:hAnsi="Arial" w:cs="Arial"/>
        </w:rPr>
        <w:footnoteReference w:id="3"/>
      </w:r>
      <w:r w:rsidR="00BE379F">
        <w:rPr>
          <w:rFonts w:ascii="Arial" w:hAnsi="Arial" w:cs="Arial"/>
        </w:rPr>
        <w:t xml:space="preserve"> </w:t>
      </w:r>
      <w:r>
        <w:rPr>
          <w:rFonts w:ascii="Arial" w:hAnsi="Arial" w:cs="Arial"/>
        </w:rPr>
        <w:t>This is a lower rate than in most countries and includes personnel costs. However, these costs are low since most health workers receive no government salary and at most, a small stipend (see next section).</w:t>
      </w:r>
    </w:p>
    <w:p w14:paraId="5937C399" w14:textId="28CE33E2" w:rsidR="00846F7D" w:rsidRDefault="00846F7D" w:rsidP="00AF3E38">
      <w:pPr>
        <w:pStyle w:val="ListParagraph"/>
        <w:ind w:left="0"/>
        <w:contextualSpacing w:val="0"/>
        <w:rPr>
          <w:rFonts w:ascii="Arial" w:hAnsi="Arial" w:cs="Arial"/>
        </w:rPr>
      </w:pPr>
      <w:r>
        <w:rPr>
          <w:rFonts w:ascii="Arial" w:hAnsi="Arial" w:cs="Arial"/>
        </w:rPr>
        <w:t>As a result of advocacy for immunization, most provincial governments are now contributing to the operational costs of the EPI, by, for example, buying fuel and BCG syringes and paying for transportation of supplies from higher levels.</w:t>
      </w:r>
      <w:r w:rsidR="00C148D5">
        <w:rPr>
          <w:rStyle w:val="FootnoteReference"/>
          <w:rFonts w:ascii="Arial" w:hAnsi="Arial" w:cs="Arial"/>
        </w:rPr>
        <w:footnoteReference w:id="4"/>
      </w:r>
    </w:p>
    <w:p w14:paraId="128EF134" w14:textId="77777777" w:rsidR="008644C0" w:rsidRDefault="008644C0">
      <w:pPr>
        <w:rPr>
          <w:rFonts w:ascii="Arial" w:hAnsi="Arial" w:cs="Arial"/>
          <w:b/>
          <w:sz w:val="24"/>
        </w:rPr>
      </w:pPr>
      <w:r>
        <w:rPr>
          <w:rFonts w:ascii="Arial" w:hAnsi="Arial" w:cs="Arial"/>
          <w:b/>
          <w:sz w:val="24"/>
        </w:rPr>
        <w:br w:type="page"/>
      </w:r>
    </w:p>
    <w:p w14:paraId="30AA08B3" w14:textId="57E54B84" w:rsidR="00D00DC6" w:rsidRDefault="003573EF" w:rsidP="00D00DC6">
      <w:pPr>
        <w:rPr>
          <w:rFonts w:ascii="Arial" w:hAnsi="Arial" w:cs="Arial"/>
          <w:b/>
          <w:sz w:val="24"/>
        </w:rPr>
      </w:pPr>
      <w:r>
        <w:rPr>
          <w:rFonts w:ascii="Arial" w:hAnsi="Arial" w:cs="Arial"/>
          <w:b/>
          <w:sz w:val="24"/>
        </w:rPr>
        <w:lastRenderedPageBreak/>
        <w:t xml:space="preserve">ANNEX: </w:t>
      </w:r>
      <w:r w:rsidR="00D00DC6">
        <w:rPr>
          <w:rFonts w:ascii="Arial" w:hAnsi="Arial" w:cs="Arial"/>
          <w:b/>
          <w:sz w:val="24"/>
        </w:rPr>
        <w:t>Country immunization profile</w:t>
      </w:r>
    </w:p>
    <w:p w14:paraId="657707A8" w14:textId="1BDB6E54" w:rsidR="00CF2BF7" w:rsidRPr="00C737EA" w:rsidRDefault="00CF2BF7" w:rsidP="00CF2BF7">
      <w:pPr>
        <w:pStyle w:val="ListParagraph"/>
        <w:numPr>
          <w:ilvl w:val="0"/>
          <w:numId w:val="4"/>
        </w:numPr>
        <w:sectPr w:rsidR="00CF2BF7" w:rsidRPr="00C737EA" w:rsidSect="00A54964">
          <w:footerReference w:type="default" r:id="rId10"/>
          <w:type w:val="continuous"/>
          <w:pgSz w:w="11906" w:h="16838"/>
          <w:pgMar w:top="1440" w:right="1440" w:bottom="1440" w:left="1440" w:header="720" w:footer="720" w:gutter="0"/>
          <w:cols w:space="720"/>
          <w:docGrid w:linePitch="360"/>
        </w:sectPr>
      </w:pPr>
      <w:r>
        <w:t xml:space="preserve">% of total expenditures on vaccines </w:t>
      </w:r>
      <w:r w:rsidR="008644C0">
        <w:t>financed by government funds: 4%</w:t>
      </w:r>
      <w:bookmarkStart w:id="0" w:name="_GoBack"/>
      <w:bookmarkEnd w:id="0"/>
    </w:p>
    <w:p w14:paraId="3E2E53B2" w14:textId="702FD3F8" w:rsidR="00457E0A" w:rsidRPr="008644C0" w:rsidRDefault="00457E0A" w:rsidP="008644C0">
      <w:pPr>
        <w:rPr>
          <w:rFonts w:ascii="Arial" w:hAnsi="Arial" w:cs="Arial"/>
          <w:b/>
          <w:sz w:val="24"/>
        </w:rPr>
      </w:pPr>
    </w:p>
    <w:sectPr w:rsidR="00457E0A" w:rsidRPr="008644C0" w:rsidSect="00A54964">
      <w:pgSz w:w="11906" w:h="16838"/>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9CB9EC" w15:done="0"/>
  <w15:commentEx w15:paraId="21A16CA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CDC421" w14:textId="77777777" w:rsidR="002943D9" w:rsidRDefault="002943D9">
      <w:pPr>
        <w:spacing w:after="0" w:line="240" w:lineRule="auto"/>
      </w:pPr>
      <w:r>
        <w:separator/>
      </w:r>
    </w:p>
  </w:endnote>
  <w:endnote w:type="continuationSeparator" w:id="0">
    <w:p w14:paraId="512FC9D6" w14:textId="77777777" w:rsidR="002943D9" w:rsidRDefault="00294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0382518"/>
      <w:docPartObj>
        <w:docPartGallery w:val="Page Numbers (Bottom of Page)"/>
        <w:docPartUnique/>
      </w:docPartObj>
    </w:sdtPr>
    <w:sdtEndPr>
      <w:rPr>
        <w:noProof/>
      </w:rPr>
    </w:sdtEndPr>
    <w:sdtContent>
      <w:p w14:paraId="21ECBE59" w14:textId="7F09FF43" w:rsidR="00EE1C5C" w:rsidRDefault="00EE1C5C">
        <w:pPr>
          <w:pStyle w:val="Footer"/>
          <w:jc w:val="center"/>
        </w:pPr>
        <w:r>
          <w:fldChar w:fldCharType="begin"/>
        </w:r>
        <w:r>
          <w:instrText xml:space="preserve"> PAGE   \* MERGEFORMAT </w:instrText>
        </w:r>
        <w:r>
          <w:fldChar w:fldCharType="separate"/>
        </w:r>
        <w:r w:rsidR="008644C0">
          <w:rPr>
            <w:noProof/>
          </w:rPr>
          <w:t>3</w:t>
        </w:r>
        <w:r>
          <w:rPr>
            <w:noProof/>
          </w:rPr>
          <w:fldChar w:fldCharType="end"/>
        </w:r>
      </w:p>
    </w:sdtContent>
  </w:sdt>
  <w:p w14:paraId="0BDC7254" w14:textId="4134CEC2" w:rsidR="00EE1C5C" w:rsidRDefault="00EE1C5C" w:rsidP="00886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C9DEE8" w14:textId="77777777" w:rsidR="002943D9" w:rsidRDefault="002943D9">
      <w:pPr>
        <w:spacing w:after="0" w:line="240" w:lineRule="auto"/>
      </w:pPr>
      <w:r>
        <w:separator/>
      </w:r>
    </w:p>
  </w:footnote>
  <w:footnote w:type="continuationSeparator" w:id="0">
    <w:p w14:paraId="3F1A97BD" w14:textId="77777777" w:rsidR="002943D9" w:rsidRDefault="002943D9">
      <w:pPr>
        <w:spacing w:after="0" w:line="240" w:lineRule="auto"/>
      </w:pPr>
      <w:r>
        <w:continuationSeparator/>
      </w:r>
    </w:p>
  </w:footnote>
  <w:footnote w:id="1">
    <w:p w14:paraId="665EED1E" w14:textId="77777777" w:rsidR="00B76F10" w:rsidRPr="00EE1C5C" w:rsidRDefault="00B76F10" w:rsidP="00B76F10">
      <w:pPr>
        <w:pStyle w:val="FootnoteText"/>
      </w:pPr>
      <w:r>
        <w:rPr>
          <w:rStyle w:val="FootnoteReference"/>
        </w:rPr>
        <w:footnoteRef/>
      </w:r>
      <w:r>
        <w:t>2015 joint appraisal report for DRC.</w:t>
      </w:r>
    </w:p>
  </w:footnote>
  <w:footnote w:id="2">
    <w:p w14:paraId="7F60FFD6" w14:textId="78F4EFED" w:rsidR="00F74620" w:rsidRPr="00F74620" w:rsidRDefault="00F74620">
      <w:pPr>
        <w:pStyle w:val="FootnoteText"/>
      </w:pPr>
      <w:r>
        <w:rPr>
          <w:rStyle w:val="FootnoteReference"/>
        </w:rPr>
        <w:footnoteRef/>
      </w:r>
      <w:r>
        <w:t xml:space="preserve"> Sources: Financial data from DRC’s JRF, 2015 joint appraisal report for DRC, Draft EPI Action </w:t>
      </w:r>
      <w:r w:rsidR="001D336C">
        <w:t xml:space="preserve">Plan for </w:t>
      </w:r>
      <w:r>
        <w:t>2016</w:t>
      </w:r>
      <w:r w:rsidR="001D336C">
        <w:t>, February 2016</w:t>
      </w:r>
      <w:r>
        <w:t>.</w:t>
      </w:r>
    </w:p>
  </w:footnote>
  <w:footnote w:id="3">
    <w:p w14:paraId="4E15FC8C" w14:textId="4175DA6A" w:rsidR="00EE1C5C" w:rsidRPr="00871017" w:rsidRDefault="00EE1C5C">
      <w:pPr>
        <w:pStyle w:val="FootnoteText"/>
        <w:rPr>
          <w:lang w:val="en-US"/>
        </w:rPr>
      </w:pPr>
      <w:r w:rsidRPr="00871017">
        <w:rPr>
          <w:rStyle w:val="FootnoteReference"/>
        </w:rPr>
        <w:footnoteRef/>
      </w:r>
      <w:r w:rsidRPr="00871017">
        <w:t xml:space="preserve"> </w:t>
      </w:r>
      <w:r w:rsidR="00871017" w:rsidRPr="00871017">
        <w:t>2015 joint appraisal report for DRC</w:t>
      </w:r>
      <w:r w:rsidR="00871017" w:rsidRPr="00871017">
        <w:rPr>
          <w:lang w:val="en-US"/>
        </w:rPr>
        <w:t>.</w:t>
      </w:r>
    </w:p>
  </w:footnote>
  <w:footnote w:id="4">
    <w:p w14:paraId="09A92E3C" w14:textId="11636488" w:rsidR="00C148D5" w:rsidRPr="00C148D5" w:rsidRDefault="00C148D5">
      <w:pPr>
        <w:pStyle w:val="FootnoteText"/>
      </w:pPr>
      <w:r>
        <w:rPr>
          <w:rStyle w:val="FootnoteReference"/>
        </w:rPr>
        <w:footnoteRef/>
      </w:r>
      <w:r>
        <w:t xml:space="preserve"> </w:t>
      </w:r>
      <w:proofErr w:type="gramStart"/>
      <w:r>
        <w:t>Comprehensive multi-year EPI plan (</w:t>
      </w:r>
      <w:proofErr w:type="spellStart"/>
      <w:r>
        <w:t>cMYP</w:t>
      </w:r>
      <w:proofErr w:type="spellEnd"/>
      <w:r>
        <w:t>) for DRC, 2015-2019, November 2014.</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F5A03"/>
    <w:multiLevelType w:val="hybridMultilevel"/>
    <w:tmpl w:val="CE063D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F710BA"/>
    <w:multiLevelType w:val="hybridMultilevel"/>
    <w:tmpl w:val="D8001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CD70F0"/>
    <w:multiLevelType w:val="hybridMultilevel"/>
    <w:tmpl w:val="F15E47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CCD12B0"/>
    <w:multiLevelType w:val="multilevel"/>
    <w:tmpl w:val="3DD481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0910D11"/>
    <w:multiLevelType w:val="hybridMultilevel"/>
    <w:tmpl w:val="ECF66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6A823D2"/>
    <w:multiLevelType w:val="multilevel"/>
    <w:tmpl w:val="C82CB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4D5180B"/>
    <w:multiLevelType w:val="hybridMultilevel"/>
    <w:tmpl w:val="AAA283B2"/>
    <w:lvl w:ilvl="0" w:tplc="10421B90">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39AB2663"/>
    <w:multiLevelType w:val="multilevel"/>
    <w:tmpl w:val="A5E0E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16">
    <w:nsid w:val="3F432496"/>
    <w:multiLevelType w:val="hybridMultilevel"/>
    <w:tmpl w:val="74EE4718"/>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nsid w:val="4A590C9C"/>
    <w:multiLevelType w:val="hybridMultilevel"/>
    <w:tmpl w:val="DB2CC0A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8">
    <w:nsid w:val="4C757444"/>
    <w:multiLevelType w:val="hybridMultilevel"/>
    <w:tmpl w:val="314EDE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20">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582970CC"/>
    <w:multiLevelType w:val="hybridMultilevel"/>
    <w:tmpl w:val="334C477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584511EA"/>
    <w:multiLevelType w:val="hybridMultilevel"/>
    <w:tmpl w:val="DB5E44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25">
    <w:nsid w:val="6C682281"/>
    <w:multiLevelType w:val="hybridMultilevel"/>
    <w:tmpl w:val="E8A820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374B65"/>
    <w:multiLevelType w:val="multilevel"/>
    <w:tmpl w:val="502C0C5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28">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30">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4"/>
  </w:num>
  <w:num w:numId="4">
    <w:abstractNumId w:val="11"/>
  </w:num>
  <w:num w:numId="5">
    <w:abstractNumId w:val="22"/>
  </w:num>
  <w:num w:numId="6">
    <w:abstractNumId w:val="2"/>
  </w:num>
  <w:num w:numId="7">
    <w:abstractNumId w:val="8"/>
  </w:num>
  <w:num w:numId="8">
    <w:abstractNumId w:val="20"/>
  </w:num>
  <w:num w:numId="9">
    <w:abstractNumId w:val="6"/>
  </w:num>
  <w:num w:numId="10">
    <w:abstractNumId w:val="28"/>
  </w:num>
  <w:num w:numId="11">
    <w:abstractNumId w:val="27"/>
  </w:num>
  <w:num w:numId="12">
    <w:abstractNumId w:val="15"/>
  </w:num>
  <w:num w:numId="13">
    <w:abstractNumId w:val="24"/>
  </w:num>
  <w:num w:numId="14">
    <w:abstractNumId w:val="19"/>
  </w:num>
  <w:num w:numId="15">
    <w:abstractNumId w:val="29"/>
  </w:num>
  <w:num w:numId="16">
    <w:abstractNumId w:val="10"/>
  </w:num>
  <w:num w:numId="17">
    <w:abstractNumId w:val="21"/>
  </w:num>
  <w:num w:numId="18">
    <w:abstractNumId w:val="13"/>
  </w:num>
  <w:num w:numId="19">
    <w:abstractNumId w:val="30"/>
  </w:num>
  <w:num w:numId="20">
    <w:abstractNumId w:val="1"/>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26"/>
  </w:num>
  <w:num w:numId="24">
    <w:abstractNumId w:val="23"/>
  </w:num>
  <w:num w:numId="25">
    <w:abstractNumId w:val="25"/>
  </w:num>
  <w:num w:numId="26">
    <w:abstractNumId w:val="16"/>
  </w:num>
  <w:num w:numId="27">
    <w:abstractNumId w:val="3"/>
  </w:num>
  <w:num w:numId="28">
    <w:abstractNumId w:val="0"/>
  </w:num>
  <w:num w:numId="29">
    <w:abstractNumId w:val="18"/>
  </w:num>
  <w:num w:numId="30">
    <w:abstractNumId w:val="17"/>
  </w:num>
  <w:num w:numId="31">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e DeRoeck">
    <w15:presenceInfo w15:providerId="Windows Live" w15:userId="dd5ab0a71e4737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352E"/>
    <w:rsid w:val="000178D5"/>
    <w:rsid w:val="000258EE"/>
    <w:rsid w:val="00044F3E"/>
    <w:rsid w:val="00052693"/>
    <w:rsid w:val="0007442D"/>
    <w:rsid w:val="00084796"/>
    <w:rsid w:val="00096E70"/>
    <w:rsid w:val="000A6F7C"/>
    <w:rsid w:val="000A7279"/>
    <w:rsid w:val="000B0082"/>
    <w:rsid w:val="000C2C44"/>
    <w:rsid w:val="000E3D3E"/>
    <w:rsid w:val="00112FEE"/>
    <w:rsid w:val="0011764D"/>
    <w:rsid w:val="001206D8"/>
    <w:rsid w:val="00127A02"/>
    <w:rsid w:val="00144801"/>
    <w:rsid w:val="00157C23"/>
    <w:rsid w:val="00163179"/>
    <w:rsid w:val="001A33B2"/>
    <w:rsid w:val="001B0097"/>
    <w:rsid w:val="001C1193"/>
    <w:rsid w:val="001C1E4D"/>
    <w:rsid w:val="001C28AB"/>
    <w:rsid w:val="001C5026"/>
    <w:rsid w:val="001D1D41"/>
    <w:rsid w:val="001D336C"/>
    <w:rsid w:val="001D6E48"/>
    <w:rsid w:val="001E1094"/>
    <w:rsid w:val="001E10B1"/>
    <w:rsid w:val="001E3C74"/>
    <w:rsid w:val="001E7D06"/>
    <w:rsid w:val="001F2D8D"/>
    <w:rsid w:val="00210674"/>
    <w:rsid w:val="00221A3A"/>
    <w:rsid w:val="002258E3"/>
    <w:rsid w:val="00226696"/>
    <w:rsid w:val="002327A5"/>
    <w:rsid w:val="00232D9A"/>
    <w:rsid w:val="002818D0"/>
    <w:rsid w:val="00281CEF"/>
    <w:rsid w:val="00292589"/>
    <w:rsid w:val="00293DEE"/>
    <w:rsid w:val="002943D9"/>
    <w:rsid w:val="002945B9"/>
    <w:rsid w:val="002970A7"/>
    <w:rsid w:val="002B73D6"/>
    <w:rsid w:val="002C0BCF"/>
    <w:rsid w:val="002C45C4"/>
    <w:rsid w:val="002D61F5"/>
    <w:rsid w:val="002D762A"/>
    <w:rsid w:val="002E66AB"/>
    <w:rsid w:val="002F1749"/>
    <w:rsid w:val="002F20C9"/>
    <w:rsid w:val="00321B47"/>
    <w:rsid w:val="00324CCD"/>
    <w:rsid w:val="003573EF"/>
    <w:rsid w:val="00364456"/>
    <w:rsid w:val="00370616"/>
    <w:rsid w:val="00371B50"/>
    <w:rsid w:val="00373BA5"/>
    <w:rsid w:val="003B6F84"/>
    <w:rsid w:val="003C49D6"/>
    <w:rsid w:val="003D24BB"/>
    <w:rsid w:val="003D6679"/>
    <w:rsid w:val="003E30EC"/>
    <w:rsid w:val="003F4825"/>
    <w:rsid w:val="0040083F"/>
    <w:rsid w:val="004252FC"/>
    <w:rsid w:val="00432B70"/>
    <w:rsid w:val="00436537"/>
    <w:rsid w:val="0044011A"/>
    <w:rsid w:val="00441EDC"/>
    <w:rsid w:val="00444AD2"/>
    <w:rsid w:val="00457E0A"/>
    <w:rsid w:val="004826EF"/>
    <w:rsid w:val="004873D9"/>
    <w:rsid w:val="0049261D"/>
    <w:rsid w:val="00492B17"/>
    <w:rsid w:val="00496569"/>
    <w:rsid w:val="004A0E8E"/>
    <w:rsid w:val="004A394A"/>
    <w:rsid w:val="004B5B75"/>
    <w:rsid w:val="004D307D"/>
    <w:rsid w:val="004E24A2"/>
    <w:rsid w:val="004F6777"/>
    <w:rsid w:val="00500171"/>
    <w:rsid w:val="0050564C"/>
    <w:rsid w:val="0051290F"/>
    <w:rsid w:val="005133F8"/>
    <w:rsid w:val="00513BF2"/>
    <w:rsid w:val="00527C9D"/>
    <w:rsid w:val="00530B48"/>
    <w:rsid w:val="00530FEA"/>
    <w:rsid w:val="00532476"/>
    <w:rsid w:val="00534013"/>
    <w:rsid w:val="005356D4"/>
    <w:rsid w:val="00544B6F"/>
    <w:rsid w:val="005765C7"/>
    <w:rsid w:val="0058000D"/>
    <w:rsid w:val="00581FD6"/>
    <w:rsid w:val="005B6B29"/>
    <w:rsid w:val="005C6F1C"/>
    <w:rsid w:val="005F0283"/>
    <w:rsid w:val="00623FB4"/>
    <w:rsid w:val="006262C9"/>
    <w:rsid w:val="00635C8E"/>
    <w:rsid w:val="0063770B"/>
    <w:rsid w:val="006410AE"/>
    <w:rsid w:val="00641572"/>
    <w:rsid w:val="00651C67"/>
    <w:rsid w:val="006562DB"/>
    <w:rsid w:val="00656D34"/>
    <w:rsid w:val="006842AB"/>
    <w:rsid w:val="00696E6A"/>
    <w:rsid w:val="006A4380"/>
    <w:rsid w:val="006A4CB9"/>
    <w:rsid w:val="006B771A"/>
    <w:rsid w:val="006C334B"/>
    <w:rsid w:val="006F3709"/>
    <w:rsid w:val="007033F7"/>
    <w:rsid w:val="00734C9E"/>
    <w:rsid w:val="00762ACA"/>
    <w:rsid w:val="0076408F"/>
    <w:rsid w:val="00767749"/>
    <w:rsid w:val="00770EEA"/>
    <w:rsid w:val="007753BA"/>
    <w:rsid w:val="00775B84"/>
    <w:rsid w:val="007774F8"/>
    <w:rsid w:val="0079008F"/>
    <w:rsid w:val="007A35F6"/>
    <w:rsid w:val="007B053A"/>
    <w:rsid w:val="007C52E5"/>
    <w:rsid w:val="007C5F79"/>
    <w:rsid w:val="007D0750"/>
    <w:rsid w:val="007D16A4"/>
    <w:rsid w:val="007D2AA9"/>
    <w:rsid w:val="007E0DEE"/>
    <w:rsid w:val="007F0729"/>
    <w:rsid w:val="008053B7"/>
    <w:rsid w:val="008105B2"/>
    <w:rsid w:val="00813EED"/>
    <w:rsid w:val="00824634"/>
    <w:rsid w:val="00824C6B"/>
    <w:rsid w:val="00825812"/>
    <w:rsid w:val="008349B3"/>
    <w:rsid w:val="00834A2D"/>
    <w:rsid w:val="0083568C"/>
    <w:rsid w:val="00846F7D"/>
    <w:rsid w:val="00856B69"/>
    <w:rsid w:val="00863F77"/>
    <w:rsid w:val="008644C0"/>
    <w:rsid w:val="00864DC1"/>
    <w:rsid w:val="00865907"/>
    <w:rsid w:val="00871017"/>
    <w:rsid w:val="008741BB"/>
    <w:rsid w:val="00883C0A"/>
    <w:rsid w:val="00886641"/>
    <w:rsid w:val="008908FC"/>
    <w:rsid w:val="008A1C67"/>
    <w:rsid w:val="008B71DB"/>
    <w:rsid w:val="008C6318"/>
    <w:rsid w:val="008D27F4"/>
    <w:rsid w:val="008E4926"/>
    <w:rsid w:val="008E7AA0"/>
    <w:rsid w:val="008F4F49"/>
    <w:rsid w:val="009318B8"/>
    <w:rsid w:val="009462E5"/>
    <w:rsid w:val="009563E8"/>
    <w:rsid w:val="009A5026"/>
    <w:rsid w:val="009B091D"/>
    <w:rsid w:val="009C09D8"/>
    <w:rsid w:val="009E1E59"/>
    <w:rsid w:val="009E262A"/>
    <w:rsid w:val="009F7B84"/>
    <w:rsid w:val="00A11AC1"/>
    <w:rsid w:val="00A3077F"/>
    <w:rsid w:val="00A330ED"/>
    <w:rsid w:val="00A40512"/>
    <w:rsid w:val="00A4068D"/>
    <w:rsid w:val="00A44D74"/>
    <w:rsid w:val="00A54964"/>
    <w:rsid w:val="00A574A9"/>
    <w:rsid w:val="00A83A9B"/>
    <w:rsid w:val="00AA42DB"/>
    <w:rsid w:val="00AA7025"/>
    <w:rsid w:val="00AD1B7E"/>
    <w:rsid w:val="00AD379D"/>
    <w:rsid w:val="00AE7557"/>
    <w:rsid w:val="00AF3E38"/>
    <w:rsid w:val="00B07860"/>
    <w:rsid w:val="00B13423"/>
    <w:rsid w:val="00B218CC"/>
    <w:rsid w:val="00B316F3"/>
    <w:rsid w:val="00B7182E"/>
    <w:rsid w:val="00B76F10"/>
    <w:rsid w:val="00B96660"/>
    <w:rsid w:val="00BA2589"/>
    <w:rsid w:val="00BA768D"/>
    <w:rsid w:val="00BB1369"/>
    <w:rsid w:val="00BC23BE"/>
    <w:rsid w:val="00BE379F"/>
    <w:rsid w:val="00BF14CF"/>
    <w:rsid w:val="00BF4CFA"/>
    <w:rsid w:val="00C148D5"/>
    <w:rsid w:val="00C2711B"/>
    <w:rsid w:val="00C43F4C"/>
    <w:rsid w:val="00C60E99"/>
    <w:rsid w:val="00C67C9D"/>
    <w:rsid w:val="00C737EA"/>
    <w:rsid w:val="00CA1D86"/>
    <w:rsid w:val="00CD3FD9"/>
    <w:rsid w:val="00CD61CC"/>
    <w:rsid w:val="00CF0E45"/>
    <w:rsid w:val="00CF2BF7"/>
    <w:rsid w:val="00D00DC6"/>
    <w:rsid w:val="00D17551"/>
    <w:rsid w:val="00D27E92"/>
    <w:rsid w:val="00D30DD8"/>
    <w:rsid w:val="00D53F27"/>
    <w:rsid w:val="00D732C7"/>
    <w:rsid w:val="00D733F1"/>
    <w:rsid w:val="00D9435D"/>
    <w:rsid w:val="00D9563B"/>
    <w:rsid w:val="00DB6570"/>
    <w:rsid w:val="00DC5960"/>
    <w:rsid w:val="00DD7791"/>
    <w:rsid w:val="00DE3314"/>
    <w:rsid w:val="00DE7F02"/>
    <w:rsid w:val="00E11B99"/>
    <w:rsid w:val="00E1686A"/>
    <w:rsid w:val="00E37109"/>
    <w:rsid w:val="00E703C2"/>
    <w:rsid w:val="00E82006"/>
    <w:rsid w:val="00E86411"/>
    <w:rsid w:val="00E91097"/>
    <w:rsid w:val="00E9485D"/>
    <w:rsid w:val="00E9704A"/>
    <w:rsid w:val="00EB5A7D"/>
    <w:rsid w:val="00EC5704"/>
    <w:rsid w:val="00EE1C5C"/>
    <w:rsid w:val="00EE46A2"/>
    <w:rsid w:val="00EE765D"/>
    <w:rsid w:val="00F41A91"/>
    <w:rsid w:val="00F453F4"/>
    <w:rsid w:val="00F577A7"/>
    <w:rsid w:val="00F63D60"/>
    <w:rsid w:val="00F74620"/>
    <w:rsid w:val="00F81B65"/>
    <w:rsid w:val="00F85BA5"/>
    <w:rsid w:val="00FD688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0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BE37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379F"/>
    <w:rPr>
      <w:sz w:val="20"/>
      <w:szCs w:val="20"/>
    </w:rPr>
  </w:style>
  <w:style w:type="character" w:styleId="FootnoteReference">
    <w:name w:val="footnote reference"/>
    <w:basedOn w:val="DefaultParagraphFont"/>
    <w:uiPriority w:val="99"/>
    <w:semiHidden/>
    <w:unhideWhenUsed/>
    <w:rsid w:val="00BE379F"/>
    <w:rPr>
      <w:vertAlign w:val="superscript"/>
    </w:rPr>
  </w:style>
  <w:style w:type="paragraph" w:styleId="Revision">
    <w:name w:val="Revision"/>
    <w:hidden/>
    <w:uiPriority w:val="99"/>
    <w:semiHidden/>
    <w:rsid w:val="001206D8"/>
    <w:pPr>
      <w:spacing w:after="0" w:line="240" w:lineRule="auto"/>
    </w:pPr>
  </w:style>
  <w:style w:type="paragraph" w:styleId="Caption">
    <w:name w:val="caption"/>
    <w:basedOn w:val="Normal"/>
    <w:next w:val="Normal"/>
    <w:uiPriority w:val="35"/>
    <w:unhideWhenUsed/>
    <w:qFormat/>
    <w:rsid w:val="00651C6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BE37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379F"/>
    <w:rPr>
      <w:sz w:val="20"/>
      <w:szCs w:val="20"/>
    </w:rPr>
  </w:style>
  <w:style w:type="character" w:styleId="FootnoteReference">
    <w:name w:val="footnote reference"/>
    <w:basedOn w:val="DefaultParagraphFont"/>
    <w:uiPriority w:val="99"/>
    <w:semiHidden/>
    <w:unhideWhenUsed/>
    <w:rsid w:val="00BE379F"/>
    <w:rPr>
      <w:vertAlign w:val="superscript"/>
    </w:rPr>
  </w:style>
  <w:style w:type="paragraph" w:styleId="Revision">
    <w:name w:val="Revision"/>
    <w:hidden/>
    <w:uiPriority w:val="99"/>
    <w:semiHidden/>
    <w:rsid w:val="001206D8"/>
    <w:pPr>
      <w:spacing w:after="0" w:line="240" w:lineRule="auto"/>
    </w:pPr>
  </w:style>
  <w:style w:type="paragraph" w:styleId="Caption">
    <w:name w:val="caption"/>
    <w:basedOn w:val="Normal"/>
    <w:next w:val="Normal"/>
    <w:uiPriority w:val="35"/>
    <w:unhideWhenUsed/>
    <w:qFormat/>
    <w:rsid w:val="00651C6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6016">
      <w:bodyDiv w:val="1"/>
      <w:marLeft w:val="0"/>
      <w:marRight w:val="0"/>
      <w:marTop w:val="0"/>
      <w:marBottom w:val="0"/>
      <w:divBdr>
        <w:top w:val="none" w:sz="0" w:space="0" w:color="auto"/>
        <w:left w:val="none" w:sz="0" w:space="0" w:color="auto"/>
        <w:bottom w:val="none" w:sz="0" w:space="0" w:color="auto"/>
        <w:right w:val="none" w:sz="0" w:space="0" w:color="auto"/>
      </w:divBdr>
    </w:div>
    <w:div w:id="148327312">
      <w:bodyDiv w:val="1"/>
      <w:marLeft w:val="0"/>
      <w:marRight w:val="0"/>
      <w:marTop w:val="0"/>
      <w:marBottom w:val="0"/>
      <w:divBdr>
        <w:top w:val="none" w:sz="0" w:space="0" w:color="auto"/>
        <w:left w:val="none" w:sz="0" w:space="0" w:color="auto"/>
        <w:bottom w:val="none" w:sz="0" w:space="0" w:color="auto"/>
        <w:right w:val="none" w:sz="0" w:space="0" w:color="auto"/>
      </w:divBdr>
    </w:div>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537400086">
          <w:marLeft w:val="806"/>
          <w:marRight w:val="0"/>
          <w:marTop w:val="72"/>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sChild>
    </w:div>
    <w:div w:id="866452554">
      <w:bodyDiv w:val="1"/>
      <w:marLeft w:val="0"/>
      <w:marRight w:val="0"/>
      <w:marTop w:val="0"/>
      <w:marBottom w:val="0"/>
      <w:divBdr>
        <w:top w:val="none" w:sz="0" w:space="0" w:color="auto"/>
        <w:left w:val="none" w:sz="0" w:space="0" w:color="auto"/>
        <w:bottom w:val="none" w:sz="0" w:space="0" w:color="auto"/>
        <w:right w:val="none" w:sz="0" w:space="0" w:color="auto"/>
      </w:divBdr>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316227436">
      <w:bodyDiv w:val="1"/>
      <w:marLeft w:val="0"/>
      <w:marRight w:val="0"/>
      <w:marTop w:val="0"/>
      <w:marBottom w:val="0"/>
      <w:divBdr>
        <w:top w:val="none" w:sz="0" w:space="0" w:color="auto"/>
        <w:left w:val="none" w:sz="0" w:space="0" w:color="auto"/>
        <w:bottom w:val="none" w:sz="0" w:space="0" w:color="auto"/>
        <w:right w:val="none" w:sz="0" w:space="0" w:color="auto"/>
      </w:divBdr>
    </w:div>
    <w:div w:id="1439250243">
      <w:bodyDiv w:val="1"/>
      <w:marLeft w:val="0"/>
      <w:marRight w:val="0"/>
      <w:marTop w:val="0"/>
      <w:marBottom w:val="0"/>
      <w:divBdr>
        <w:top w:val="none" w:sz="0" w:space="0" w:color="auto"/>
        <w:left w:val="none" w:sz="0" w:space="0" w:color="auto"/>
        <w:bottom w:val="none" w:sz="0" w:space="0" w:color="auto"/>
        <w:right w:val="none" w:sz="0" w:space="0" w:color="auto"/>
      </w:divBdr>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2050450190">
          <w:marLeft w:val="806"/>
          <w:marRight w:val="0"/>
          <w:marTop w:val="86"/>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59450289">
          <w:marLeft w:val="1440"/>
          <w:marRight w:val="0"/>
          <w:marTop w:val="72"/>
          <w:marBottom w:val="0"/>
          <w:divBdr>
            <w:top w:val="none" w:sz="0" w:space="0" w:color="auto"/>
            <w:left w:val="none" w:sz="0" w:space="0" w:color="auto"/>
            <w:bottom w:val="none" w:sz="0" w:space="0" w:color="auto"/>
            <w:right w:val="none" w:sz="0" w:space="0" w:color="auto"/>
          </w:divBdr>
        </w:div>
      </w:divsChild>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 w:id="213513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26"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hart" Target="charts/chart1.xml"/><Relationship Id="rId27" Type="http://schemas.microsoft.com/office/2011/relationships/people" Target="peop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DRC!$B$3</c:f>
              <c:strCache>
                <c:ptCount val="1"/>
                <c:pt idx="0">
                  <c:v>Vaccines</c:v>
                </c:pt>
              </c:strCache>
            </c:strRef>
          </c:tx>
          <c:spPr>
            <a:ln w="28575" cap="rnd">
              <a:solidFill>
                <a:srgbClr val="FF0000"/>
              </a:solidFill>
              <a:round/>
            </a:ln>
            <a:effectLst/>
          </c:spPr>
          <c:marker>
            <c:symbol val="circle"/>
            <c:size val="5"/>
            <c:spPr>
              <a:solidFill>
                <a:srgbClr val="FF0000"/>
              </a:solidFill>
              <a:ln w="9525">
                <a:solidFill>
                  <a:srgbClr val="FF0000"/>
                </a:solidFill>
              </a:ln>
              <a:effectLst/>
            </c:spPr>
          </c:marker>
          <c:cat>
            <c:numRef>
              <c:f>DRC!$A$4:$A$9</c:f>
              <c:numCache>
                <c:formatCode>General</c:formatCode>
                <c:ptCount val="6"/>
                <c:pt idx="0">
                  <c:v>2010</c:v>
                </c:pt>
                <c:pt idx="1">
                  <c:v>2011</c:v>
                </c:pt>
                <c:pt idx="2">
                  <c:v>2012</c:v>
                </c:pt>
                <c:pt idx="3">
                  <c:v>2013</c:v>
                </c:pt>
                <c:pt idx="4">
                  <c:v>2014</c:v>
                </c:pt>
                <c:pt idx="5">
                  <c:v>2015</c:v>
                </c:pt>
              </c:numCache>
            </c:numRef>
          </c:cat>
          <c:val>
            <c:numRef>
              <c:f>DRC!$B$4:$B$9</c:f>
              <c:numCache>
                <c:formatCode>_(* #,##0_);_(* \(#,##0\);_(* "-"??_);_(@_)</c:formatCode>
                <c:ptCount val="6"/>
                <c:pt idx="0">
                  <c:v>1625242</c:v>
                </c:pt>
                <c:pt idx="1">
                  <c:v>695881</c:v>
                </c:pt>
                <c:pt idx="2">
                  <c:v>4466399</c:v>
                </c:pt>
                <c:pt idx="3">
                  <c:v>3727193</c:v>
                </c:pt>
                <c:pt idx="4">
                  <c:v>2628012</c:v>
                </c:pt>
                <c:pt idx="5">
                  <c:v>2370993</c:v>
                </c:pt>
              </c:numCache>
            </c:numRef>
          </c:val>
          <c:smooth val="0"/>
        </c:ser>
        <c:ser>
          <c:idx val="2"/>
          <c:order val="1"/>
          <c:tx>
            <c:strRef>
              <c:f>DRC!$C$3</c:f>
              <c:strCache>
                <c:ptCount val="1"/>
                <c:pt idx="0">
                  <c:v>Total EPI expenditures including vaccines</c:v>
                </c:pt>
              </c:strCache>
            </c:strRef>
          </c:tx>
          <c:spPr>
            <a:ln w="28575" cap="rnd">
              <a:solidFill>
                <a:srgbClr val="002060"/>
              </a:solidFill>
              <a:round/>
            </a:ln>
            <a:effectLst/>
          </c:spPr>
          <c:marker>
            <c:symbol val="x"/>
            <c:size val="5"/>
            <c:spPr>
              <a:solidFill>
                <a:srgbClr val="002060"/>
              </a:solidFill>
              <a:ln w="9525">
                <a:solidFill>
                  <a:srgbClr val="002060"/>
                </a:solidFill>
              </a:ln>
              <a:effectLst/>
            </c:spPr>
          </c:marker>
          <c:cat>
            <c:numRef>
              <c:f>DRC!$A$4:$A$9</c:f>
              <c:numCache>
                <c:formatCode>General</c:formatCode>
                <c:ptCount val="6"/>
                <c:pt idx="0">
                  <c:v>2010</c:v>
                </c:pt>
                <c:pt idx="1">
                  <c:v>2011</c:v>
                </c:pt>
                <c:pt idx="2">
                  <c:v>2012</c:v>
                </c:pt>
                <c:pt idx="3">
                  <c:v>2013</c:v>
                </c:pt>
                <c:pt idx="4">
                  <c:v>2014</c:v>
                </c:pt>
                <c:pt idx="5">
                  <c:v>2015</c:v>
                </c:pt>
              </c:numCache>
            </c:numRef>
          </c:cat>
          <c:val>
            <c:numRef>
              <c:f>DRC!$C$4:$C$9</c:f>
              <c:numCache>
                <c:formatCode>_(* #,##0_);_(* \(#,##0\);_(* "-"??_);_(@_)</c:formatCode>
                <c:ptCount val="6"/>
                <c:pt idx="0">
                  <c:v>1849497</c:v>
                </c:pt>
                <c:pt idx="1">
                  <c:v>1828000</c:v>
                </c:pt>
                <c:pt idx="2">
                  <c:v>4469057</c:v>
                </c:pt>
                <c:pt idx="3">
                  <c:v>4999802</c:v>
                </c:pt>
                <c:pt idx="4">
                  <c:v>3845799</c:v>
                </c:pt>
                <c:pt idx="5">
                  <c:v>3158375</c:v>
                </c:pt>
              </c:numCache>
            </c:numRef>
          </c:val>
          <c:smooth val="0"/>
        </c:ser>
        <c:dLbls>
          <c:showLegendKey val="0"/>
          <c:showVal val="0"/>
          <c:showCatName val="0"/>
          <c:showSerName val="0"/>
          <c:showPercent val="0"/>
          <c:showBubbleSize val="0"/>
        </c:dLbls>
        <c:marker val="1"/>
        <c:smooth val="0"/>
        <c:axId val="272199680"/>
        <c:axId val="283911680"/>
        <c:extLst>
          <c:ext xmlns:c15="http://schemas.microsoft.com/office/drawing/2012/chart" uri="{02D57815-91ED-43cb-92C2-25804820EDAC}">
            <c15:filteredLineSeries>
              <c15:ser>
                <c:idx val="0"/>
                <c:order val="0"/>
                <c:tx>
                  <c:strRef>
                    <c:extLst>
                      <c:ext uri="{02D57815-91ED-43cb-92C2-25804820EDAC}">
                        <c15:formulaRef>
                          <c15:sqref>DRC!$A$3</c15:sqref>
                        </c15:formulaRef>
                      </c:ext>
                    </c:extLst>
                    <c:strCache>
                      <c:ptCount val="1"/>
                      <c:pt idx="0">
                        <c:v>Year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DRC!$A$4:$A$9</c15:sqref>
                        </c15:formulaRef>
                      </c:ext>
                    </c:extLst>
                    <c:numCache>
                      <c:formatCode>General</c:formatCode>
                      <c:ptCount val="6"/>
                      <c:pt idx="0">
                        <c:v>2010</c:v>
                      </c:pt>
                      <c:pt idx="1">
                        <c:v>2011</c:v>
                      </c:pt>
                      <c:pt idx="2">
                        <c:v>2012</c:v>
                      </c:pt>
                      <c:pt idx="3">
                        <c:v>2013</c:v>
                      </c:pt>
                      <c:pt idx="4">
                        <c:v>2014</c:v>
                      </c:pt>
                      <c:pt idx="5">
                        <c:v>2015</c:v>
                      </c:pt>
                    </c:numCache>
                  </c:numRef>
                </c:cat>
                <c:val>
                  <c:numRef>
                    <c:extLst>
                      <c:ext uri="{02D57815-91ED-43cb-92C2-25804820EDAC}">
                        <c15:formulaRef>
                          <c15:sqref>DRC!$A$4:$A$9</c15:sqref>
                        </c15:formulaRef>
                      </c:ext>
                    </c:extLst>
                    <c:numCache>
                      <c:formatCode>General</c:formatCode>
                      <c:ptCount val="6"/>
                      <c:pt idx="0">
                        <c:v>2010</c:v>
                      </c:pt>
                      <c:pt idx="1">
                        <c:v>2011</c:v>
                      </c:pt>
                      <c:pt idx="2">
                        <c:v>2012</c:v>
                      </c:pt>
                      <c:pt idx="3">
                        <c:v>2013</c:v>
                      </c:pt>
                      <c:pt idx="4">
                        <c:v>2014</c:v>
                      </c:pt>
                      <c:pt idx="5">
                        <c:v>2015</c:v>
                      </c:pt>
                    </c:numCache>
                  </c:numRef>
                </c:val>
                <c:smooth val="0"/>
              </c15:ser>
            </c15:filteredLineSeries>
          </c:ext>
        </c:extLst>
      </c:lineChart>
      <c:catAx>
        <c:axId val="272199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911680"/>
        <c:crosses val="autoZero"/>
        <c:auto val="1"/>
        <c:lblAlgn val="ctr"/>
        <c:lblOffset val="100"/>
        <c:noMultiLvlLbl val="0"/>
      </c:catAx>
      <c:valAx>
        <c:axId val="283911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 dollars</a:t>
                </a:r>
              </a:p>
            </c:rich>
          </c:tx>
          <c:overlay val="0"/>
          <c:spPr>
            <a:noFill/>
            <a:ln>
              <a:noFill/>
            </a:ln>
            <a:effectLst/>
          </c:sp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2199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rgbClr val="002060"/>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44C8B8DE-6162-416E-89DE-4E2E35EB3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Majumder, Anwesha</cp:lastModifiedBy>
  <cp:revision>2</cp:revision>
  <cp:lastPrinted>2016-06-28T06:36:00Z</cp:lastPrinted>
  <dcterms:created xsi:type="dcterms:W3CDTF">2016-08-25T12:26:00Z</dcterms:created>
  <dcterms:modified xsi:type="dcterms:W3CDTF">2016-08-25T12:26:00Z</dcterms:modified>
</cp:coreProperties>
</file>