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61BEB" w14:textId="77777777" w:rsidR="006A1FAD" w:rsidRPr="00C27BB5" w:rsidRDefault="006A1FAD" w:rsidP="006A1FAD">
      <w:pPr>
        <w:jc w:val="center"/>
        <w:rPr>
          <w:b/>
          <w:sz w:val="40"/>
          <w:szCs w:val="40"/>
        </w:rPr>
      </w:pPr>
      <w:r w:rsidRPr="00C27BB5">
        <w:rPr>
          <w:b/>
          <w:sz w:val="40"/>
          <w:szCs w:val="40"/>
        </w:rPr>
        <w:t>Global Vaccine Action Plan</w:t>
      </w:r>
    </w:p>
    <w:p w14:paraId="3A69E36F" w14:textId="77777777" w:rsidR="006A1FAD" w:rsidRDefault="006A1FAD" w:rsidP="006A1FAD">
      <w:pPr>
        <w:jc w:val="center"/>
        <w:rPr>
          <w:i/>
          <w:sz w:val="40"/>
          <w:szCs w:val="40"/>
        </w:rPr>
      </w:pPr>
      <w:r w:rsidRPr="00C27BB5">
        <w:rPr>
          <w:i/>
          <w:sz w:val="40"/>
          <w:szCs w:val="40"/>
        </w:rPr>
        <w:t>Secretariat Annual Report 2016</w:t>
      </w:r>
    </w:p>
    <w:p w14:paraId="0B46E3BB" w14:textId="77777777" w:rsidR="006A1FAD" w:rsidRDefault="006A1FAD" w:rsidP="006A1FAD">
      <w:pPr>
        <w:jc w:val="center"/>
        <w:rPr>
          <w:i/>
          <w:sz w:val="40"/>
          <w:szCs w:val="40"/>
        </w:rPr>
      </w:pPr>
      <w:r>
        <w:rPr>
          <w:i/>
          <w:sz w:val="40"/>
          <w:szCs w:val="40"/>
        </w:rPr>
        <w:t>Priority C</w:t>
      </w:r>
      <w:r w:rsidRPr="00C27BB5">
        <w:rPr>
          <w:i/>
          <w:sz w:val="40"/>
          <w:szCs w:val="40"/>
        </w:rPr>
        <w:t xml:space="preserve">ountry report on progress towards </w:t>
      </w:r>
    </w:p>
    <w:p w14:paraId="399B3E92" w14:textId="77777777" w:rsidR="006A1FAD" w:rsidRPr="00C27BB5" w:rsidRDefault="006A1FAD" w:rsidP="006A1FAD">
      <w:pPr>
        <w:jc w:val="center"/>
        <w:rPr>
          <w:i/>
          <w:sz w:val="40"/>
          <w:szCs w:val="40"/>
        </w:rPr>
      </w:pPr>
      <w:r>
        <w:rPr>
          <w:i/>
          <w:sz w:val="40"/>
          <w:szCs w:val="40"/>
        </w:rPr>
        <w:t>GVAP-RVAP</w:t>
      </w:r>
      <w:r w:rsidRPr="00C27BB5">
        <w:rPr>
          <w:i/>
          <w:sz w:val="40"/>
          <w:szCs w:val="40"/>
        </w:rPr>
        <w:t xml:space="preserve"> goals </w:t>
      </w:r>
    </w:p>
    <w:p w14:paraId="13BC4560" w14:textId="77777777" w:rsidR="006A1FAD" w:rsidRDefault="006A1FAD" w:rsidP="006A1FAD">
      <w:pPr>
        <w:jc w:val="center"/>
        <w:rPr>
          <w:rFonts w:ascii="Arial" w:hAnsi="Arial"/>
          <w:b/>
          <w:sz w:val="32"/>
        </w:rPr>
      </w:pPr>
    </w:p>
    <w:p w14:paraId="38BE41A7" w14:textId="0A7E8711" w:rsidR="006A1FAD" w:rsidRDefault="006A1FAD" w:rsidP="006A1FAD">
      <w:pPr>
        <w:jc w:val="center"/>
        <w:rPr>
          <w:rFonts w:ascii="Arial" w:hAnsi="Arial"/>
          <w:b/>
          <w:sz w:val="36"/>
        </w:rPr>
      </w:pPr>
      <w:r>
        <w:rPr>
          <w:rFonts w:ascii="Arial" w:hAnsi="Arial"/>
          <w:b/>
          <w:sz w:val="36"/>
        </w:rPr>
        <w:t>ETHIOPIA</w:t>
      </w:r>
    </w:p>
    <w:p w14:paraId="14D2E5E9" w14:textId="77777777" w:rsidR="006A1FAD" w:rsidRDefault="006A1FAD" w:rsidP="006A1FAD">
      <w:pPr>
        <w:jc w:val="center"/>
        <w:rPr>
          <w:rFonts w:ascii="Arial" w:hAnsi="Arial"/>
          <w:b/>
          <w:sz w:val="36"/>
        </w:rPr>
      </w:pPr>
    </w:p>
    <w:p w14:paraId="1BA8BDFA" w14:textId="77777777" w:rsidR="00ED73EE" w:rsidRPr="006140E6" w:rsidRDefault="00ED73EE" w:rsidP="00ED73EE">
      <w:pPr>
        <w:pStyle w:val="ListParagraph"/>
        <w:numPr>
          <w:ilvl w:val="0"/>
          <w:numId w:val="3"/>
        </w:numPr>
        <w:rPr>
          <w:rFonts w:ascii="Arial" w:hAnsi="Arial" w:cs="Arial"/>
          <w:b/>
          <w:sz w:val="26"/>
          <w:szCs w:val="26"/>
          <w:lang w:val="en-US"/>
        </w:rPr>
      </w:pPr>
      <w:r w:rsidRPr="006140E6">
        <w:rPr>
          <w:rFonts w:ascii="Arial" w:hAnsi="Arial" w:cs="Arial"/>
          <w:b/>
          <w:sz w:val="26"/>
          <w:szCs w:val="26"/>
          <w:lang w:val="en-US"/>
        </w:rPr>
        <w:t xml:space="preserve">Progress towards achievement of GVAP goals </w:t>
      </w:r>
    </w:p>
    <w:p w14:paraId="338CD3E6" w14:textId="77777777" w:rsidR="00ED73EE" w:rsidRPr="006140E6" w:rsidRDefault="00ED73EE" w:rsidP="00ED73EE">
      <w:pPr>
        <w:pStyle w:val="ListParagraph"/>
        <w:rPr>
          <w:rFonts w:ascii="Arial" w:hAnsi="Arial" w:cs="Arial"/>
          <w:b/>
          <w:lang w:val="en-US"/>
        </w:rPr>
      </w:pPr>
    </w:p>
    <w:p w14:paraId="3CA9DB3F" w14:textId="77777777" w:rsidR="00ED73EE" w:rsidRPr="006140E6" w:rsidRDefault="00ED73EE" w:rsidP="00ED73EE">
      <w:pPr>
        <w:pStyle w:val="ListParagraph"/>
        <w:numPr>
          <w:ilvl w:val="0"/>
          <w:numId w:val="1"/>
        </w:numPr>
        <w:rPr>
          <w:rFonts w:ascii="Arial" w:hAnsi="Arial" w:cs="Arial"/>
          <w:b/>
          <w:sz w:val="24"/>
          <w:szCs w:val="24"/>
          <w:lang w:val="en-US"/>
        </w:rPr>
      </w:pPr>
      <w:r w:rsidRPr="006140E6">
        <w:rPr>
          <w:rFonts w:ascii="Arial" w:hAnsi="Arial" w:cs="Arial"/>
          <w:b/>
          <w:sz w:val="24"/>
          <w:szCs w:val="24"/>
          <w:lang w:val="en-US"/>
        </w:rPr>
        <w:t xml:space="preserve">Summary </w:t>
      </w:r>
    </w:p>
    <w:p w14:paraId="2A48FB84" w14:textId="178C6855" w:rsidR="00BA2589" w:rsidRPr="006140E6" w:rsidRDefault="00BA2589" w:rsidP="005B635F">
      <w:pPr>
        <w:rPr>
          <w:rFonts w:ascii="Arial" w:hAnsi="Arial" w:cs="Arial"/>
          <w:lang w:val="en-US"/>
        </w:rPr>
      </w:pPr>
      <w:r w:rsidRPr="006140E6">
        <w:rPr>
          <w:rFonts w:ascii="Arial" w:hAnsi="Arial" w:cs="Arial"/>
          <w:lang w:val="en-US"/>
        </w:rPr>
        <w:t xml:space="preserve">This </w:t>
      </w:r>
      <w:r w:rsidR="006C334B" w:rsidRPr="006140E6">
        <w:rPr>
          <w:rFonts w:ascii="Arial" w:hAnsi="Arial" w:cs="Arial"/>
          <w:lang w:val="en-US"/>
        </w:rPr>
        <w:t xml:space="preserve">summary table describes </w:t>
      </w:r>
      <w:r w:rsidRPr="006140E6">
        <w:rPr>
          <w:rFonts w:ascii="Arial" w:hAnsi="Arial" w:cs="Arial"/>
          <w:lang w:val="en-US"/>
        </w:rPr>
        <w:t xml:space="preserve">the current situation in </w:t>
      </w:r>
      <w:r w:rsidR="005B635F" w:rsidRPr="006140E6">
        <w:rPr>
          <w:rFonts w:ascii="Arial" w:hAnsi="Arial" w:cs="Arial"/>
          <w:lang w:val="en-US"/>
        </w:rPr>
        <w:t xml:space="preserve">Ethiopia </w:t>
      </w:r>
      <w:r w:rsidRPr="006140E6">
        <w:rPr>
          <w:rFonts w:ascii="Arial" w:hAnsi="Arial" w:cs="Arial"/>
          <w:lang w:val="en-US"/>
        </w:rPr>
        <w:t>regarding achieving the GVAP goals.</w:t>
      </w:r>
      <w:r w:rsidR="00492F98" w:rsidRPr="006140E6">
        <w:rPr>
          <w:rFonts w:ascii="Arial" w:hAnsi="Arial" w:cs="Arial"/>
          <w:lang w:val="en-US"/>
        </w:rPr>
        <w:t xml:space="preserve"> </w:t>
      </w:r>
      <w:r w:rsidR="00500171" w:rsidRPr="006140E6">
        <w:rPr>
          <w:rFonts w:ascii="Arial" w:hAnsi="Arial" w:cs="Arial"/>
          <w:lang w:val="en-US"/>
        </w:rPr>
        <w:t>D</w:t>
      </w:r>
      <w:r w:rsidR="00696E6A" w:rsidRPr="006140E6">
        <w:rPr>
          <w:rFonts w:ascii="Arial" w:hAnsi="Arial" w:cs="Arial"/>
          <w:lang w:val="en-US"/>
        </w:rPr>
        <w:t xml:space="preserve">ata </w:t>
      </w:r>
      <w:r w:rsidR="00E11B99" w:rsidRPr="006140E6">
        <w:rPr>
          <w:rFonts w:ascii="Arial" w:hAnsi="Arial" w:cs="Arial"/>
          <w:lang w:val="en-US"/>
        </w:rPr>
        <w:t xml:space="preserve">used to assess progress towards achievement of </w:t>
      </w:r>
      <w:r w:rsidR="00696E6A" w:rsidRPr="006140E6">
        <w:rPr>
          <w:rFonts w:ascii="Arial" w:hAnsi="Arial" w:cs="Arial"/>
          <w:lang w:val="en-US"/>
        </w:rPr>
        <w:t xml:space="preserve">GVAP goals are included in the annex (Country </w:t>
      </w:r>
      <w:r w:rsidR="00D00DC6" w:rsidRPr="006140E6">
        <w:rPr>
          <w:rFonts w:ascii="Arial" w:hAnsi="Arial" w:cs="Arial"/>
          <w:lang w:val="en-US"/>
        </w:rPr>
        <w:t xml:space="preserve">immunization </w:t>
      </w:r>
      <w:r w:rsidR="00696E6A" w:rsidRPr="006140E6">
        <w:rPr>
          <w:rFonts w:ascii="Arial" w:hAnsi="Arial" w:cs="Arial"/>
          <w:lang w:val="en-US"/>
        </w:rPr>
        <w:t>profile).</w:t>
      </w:r>
    </w:p>
    <w:tbl>
      <w:tblPr>
        <w:tblW w:w="9452" w:type="dxa"/>
        <w:jc w:val="center"/>
        <w:tblLook w:val="04A0" w:firstRow="1" w:lastRow="0" w:firstColumn="1" w:lastColumn="0" w:noHBand="0" w:noVBand="1"/>
      </w:tblPr>
      <w:tblGrid>
        <w:gridCol w:w="3220"/>
        <w:gridCol w:w="3767"/>
        <w:gridCol w:w="2465"/>
      </w:tblGrid>
      <w:tr w:rsidR="004331C0" w:rsidRPr="006140E6" w14:paraId="7A0A3041" w14:textId="77777777" w:rsidTr="00AD65EC">
        <w:trPr>
          <w:trHeight w:val="413"/>
          <w:tblHeader/>
          <w:jc w:val="center"/>
        </w:trPr>
        <w:tc>
          <w:tcPr>
            <w:tcW w:w="3220" w:type="dxa"/>
            <w:tcBorders>
              <w:top w:val="single" w:sz="4" w:space="0" w:color="auto"/>
              <w:left w:val="single" w:sz="4" w:space="0" w:color="auto"/>
              <w:bottom w:val="single" w:sz="4" w:space="0" w:color="auto"/>
              <w:right w:val="single" w:sz="4" w:space="0" w:color="auto"/>
            </w:tcBorders>
            <w:shd w:val="clear" w:color="auto" w:fill="auto"/>
            <w:hideMark/>
          </w:tcPr>
          <w:p w14:paraId="17461B40" w14:textId="77777777" w:rsidR="004331C0" w:rsidRPr="006140E6" w:rsidRDefault="004331C0" w:rsidP="00352ED6">
            <w:pPr>
              <w:spacing w:after="0" w:line="240" w:lineRule="auto"/>
              <w:rPr>
                <w:rFonts w:ascii="Calibri" w:eastAsia="Times New Roman" w:hAnsi="Calibri" w:cs="Calibri"/>
                <w:b/>
                <w:bCs/>
                <w:color w:val="000000"/>
                <w:sz w:val="28"/>
                <w:szCs w:val="28"/>
                <w:lang w:val="en-US" w:eastAsia="en-GB"/>
              </w:rPr>
            </w:pPr>
            <w:r w:rsidRPr="006140E6">
              <w:rPr>
                <w:rFonts w:ascii="Calibri" w:eastAsia="Times New Roman" w:hAnsi="Calibri" w:cs="Calibri"/>
                <w:b/>
                <w:bCs/>
                <w:color w:val="000000"/>
                <w:sz w:val="28"/>
                <w:szCs w:val="28"/>
                <w:lang w:val="en-US" w:eastAsia="en-GB"/>
              </w:rPr>
              <w:t>Area</w:t>
            </w:r>
          </w:p>
        </w:tc>
        <w:tc>
          <w:tcPr>
            <w:tcW w:w="3767" w:type="dxa"/>
            <w:tcBorders>
              <w:top w:val="single" w:sz="4" w:space="0" w:color="auto"/>
              <w:left w:val="nil"/>
              <w:bottom w:val="single" w:sz="4" w:space="0" w:color="auto"/>
              <w:right w:val="single" w:sz="4" w:space="0" w:color="auto"/>
            </w:tcBorders>
            <w:shd w:val="clear" w:color="auto" w:fill="auto"/>
            <w:hideMark/>
          </w:tcPr>
          <w:p w14:paraId="7790299C" w14:textId="77777777" w:rsidR="004331C0" w:rsidRPr="006140E6" w:rsidRDefault="004331C0" w:rsidP="00352ED6">
            <w:pPr>
              <w:spacing w:after="0" w:line="240" w:lineRule="auto"/>
              <w:rPr>
                <w:rFonts w:ascii="Calibri" w:eastAsia="Times New Roman" w:hAnsi="Calibri" w:cs="Calibri"/>
                <w:b/>
                <w:bCs/>
                <w:color w:val="000000"/>
                <w:sz w:val="28"/>
                <w:szCs w:val="28"/>
                <w:lang w:val="en-US" w:eastAsia="en-GB"/>
              </w:rPr>
            </w:pPr>
            <w:r w:rsidRPr="006140E6">
              <w:rPr>
                <w:rFonts w:ascii="Calibri" w:eastAsia="Times New Roman" w:hAnsi="Calibri" w:cs="Calibri"/>
                <w:b/>
                <w:bCs/>
                <w:color w:val="000000"/>
                <w:sz w:val="28"/>
                <w:szCs w:val="28"/>
                <w:lang w:val="en-US" w:eastAsia="en-GB"/>
              </w:rPr>
              <w:t>Indicator</w:t>
            </w:r>
          </w:p>
        </w:tc>
        <w:tc>
          <w:tcPr>
            <w:tcW w:w="2465" w:type="dxa"/>
            <w:tcBorders>
              <w:top w:val="single" w:sz="4" w:space="0" w:color="auto"/>
              <w:left w:val="nil"/>
              <w:bottom w:val="single" w:sz="4" w:space="0" w:color="auto"/>
              <w:right w:val="single" w:sz="4" w:space="0" w:color="auto"/>
            </w:tcBorders>
            <w:shd w:val="clear" w:color="auto" w:fill="auto"/>
            <w:hideMark/>
          </w:tcPr>
          <w:p w14:paraId="38C85FA6" w14:textId="77777777" w:rsidR="004331C0" w:rsidRPr="006140E6" w:rsidRDefault="004331C0" w:rsidP="00352ED6">
            <w:pPr>
              <w:spacing w:after="0" w:line="240" w:lineRule="auto"/>
              <w:jc w:val="center"/>
              <w:rPr>
                <w:rFonts w:ascii="Calibri" w:eastAsia="Times New Roman" w:hAnsi="Calibri" w:cs="Calibri"/>
                <w:b/>
                <w:bCs/>
                <w:color w:val="000000"/>
                <w:sz w:val="28"/>
                <w:szCs w:val="28"/>
                <w:lang w:val="en-US" w:eastAsia="en-GB"/>
              </w:rPr>
            </w:pPr>
            <w:r w:rsidRPr="006140E6">
              <w:rPr>
                <w:rFonts w:ascii="Calibri" w:eastAsia="Times New Roman" w:hAnsi="Calibri" w:cs="Calibri"/>
                <w:b/>
                <w:bCs/>
                <w:color w:val="000000"/>
                <w:sz w:val="28"/>
                <w:szCs w:val="28"/>
                <w:lang w:val="en-US" w:eastAsia="en-GB"/>
              </w:rPr>
              <w:t>Ethiopia</w:t>
            </w:r>
          </w:p>
        </w:tc>
      </w:tr>
      <w:tr w:rsidR="00ED73EE" w:rsidRPr="006140E6" w14:paraId="208A953E" w14:textId="77777777" w:rsidTr="00AD65EC">
        <w:trPr>
          <w:trHeight w:val="300"/>
          <w:jc w:val="center"/>
        </w:trPr>
        <w:tc>
          <w:tcPr>
            <w:tcW w:w="3220" w:type="dxa"/>
            <w:vMerge w:val="restart"/>
            <w:tcBorders>
              <w:top w:val="nil"/>
              <w:left w:val="single" w:sz="4" w:space="0" w:color="auto"/>
              <w:right w:val="single" w:sz="4" w:space="0" w:color="auto"/>
            </w:tcBorders>
            <w:shd w:val="clear" w:color="auto" w:fill="auto"/>
            <w:hideMark/>
          </w:tcPr>
          <w:p w14:paraId="73EA1C5B"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Socio-demographic</w:t>
            </w:r>
          </w:p>
        </w:tc>
        <w:tc>
          <w:tcPr>
            <w:tcW w:w="3767" w:type="dxa"/>
            <w:tcBorders>
              <w:top w:val="nil"/>
              <w:left w:val="nil"/>
              <w:bottom w:val="single" w:sz="4" w:space="0" w:color="auto"/>
              <w:right w:val="single" w:sz="4" w:space="0" w:color="auto"/>
            </w:tcBorders>
            <w:shd w:val="clear" w:color="auto" w:fill="auto"/>
            <w:hideMark/>
          </w:tcPr>
          <w:p w14:paraId="774EBABA"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GNI 2014</w:t>
            </w:r>
          </w:p>
        </w:tc>
        <w:tc>
          <w:tcPr>
            <w:tcW w:w="2465" w:type="dxa"/>
            <w:tcBorders>
              <w:top w:val="nil"/>
              <w:left w:val="nil"/>
              <w:bottom w:val="single" w:sz="4" w:space="0" w:color="auto"/>
              <w:right w:val="single" w:sz="4" w:space="0" w:color="auto"/>
            </w:tcBorders>
            <w:shd w:val="clear" w:color="auto" w:fill="auto"/>
            <w:hideMark/>
          </w:tcPr>
          <w:p w14:paraId="685BB062"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550</w:t>
            </w:r>
          </w:p>
        </w:tc>
      </w:tr>
      <w:tr w:rsidR="00ED73EE" w:rsidRPr="006140E6" w14:paraId="59FDB426" w14:textId="77777777" w:rsidTr="00AD65EC">
        <w:trPr>
          <w:trHeight w:val="413"/>
          <w:jc w:val="center"/>
        </w:trPr>
        <w:tc>
          <w:tcPr>
            <w:tcW w:w="3220" w:type="dxa"/>
            <w:vMerge/>
            <w:tcBorders>
              <w:left w:val="single" w:sz="4" w:space="0" w:color="auto"/>
              <w:right w:val="single" w:sz="4" w:space="0" w:color="auto"/>
            </w:tcBorders>
            <w:shd w:val="clear" w:color="auto" w:fill="auto"/>
          </w:tcPr>
          <w:p w14:paraId="7F8C25BD" w14:textId="5B4CDEAB"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3E90C908" w14:textId="7D3D1955"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WB status</w:t>
            </w:r>
          </w:p>
        </w:tc>
        <w:tc>
          <w:tcPr>
            <w:tcW w:w="2465" w:type="dxa"/>
            <w:tcBorders>
              <w:top w:val="nil"/>
              <w:left w:val="nil"/>
              <w:bottom w:val="single" w:sz="4" w:space="0" w:color="auto"/>
              <w:right w:val="single" w:sz="4" w:space="0" w:color="auto"/>
            </w:tcBorders>
            <w:shd w:val="clear" w:color="auto" w:fill="auto"/>
            <w:hideMark/>
          </w:tcPr>
          <w:p w14:paraId="5ECC2D96"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Low Income</w:t>
            </w:r>
          </w:p>
        </w:tc>
      </w:tr>
      <w:tr w:rsidR="00ED73EE" w:rsidRPr="006140E6" w14:paraId="7D9B6895" w14:textId="77777777" w:rsidTr="00AD65EC">
        <w:trPr>
          <w:trHeight w:val="600"/>
          <w:jc w:val="center"/>
        </w:trPr>
        <w:tc>
          <w:tcPr>
            <w:tcW w:w="3220" w:type="dxa"/>
            <w:vMerge/>
            <w:tcBorders>
              <w:left w:val="single" w:sz="4" w:space="0" w:color="auto"/>
              <w:right w:val="single" w:sz="4" w:space="0" w:color="auto"/>
            </w:tcBorders>
            <w:shd w:val="clear" w:color="auto" w:fill="auto"/>
          </w:tcPr>
          <w:p w14:paraId="74F4FBC7" w14:textId="2F073DB5"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756C09A9" w14:textId="13A916D3"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Infant mortality (&lt;12 mo.) 2015 (UN IAG CME)</w:t>
            </w:r>
          </w:p>
        </w:tc>
        <w:tc>
          <w:tcPr>
            <w:tcW w:w="2465" w:type="dxa"/>
            <w:tcBorders>
              <w:top w:val="nil"/>
              <w:left w:val="nil"/>
              <w:bottom w:val="single" w:sz="4" w:space="0" w:color="auto"/>
              <w:right w:val="single" w:sz="4" w:space="0" w:color="auto"/>
            </w:tcBorders>
            <w:shd w:val="clear" w:color="auto" w:fill="auto"/>
            <w:hideMark/>
          </w:tcPr>
          <w:p w14:paraId="0A3DBD7F"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41</w:t>
            </w:r>
          </w:p>
        </w:tc>
      </w:tr>
      <w:tr w:rsidR="00ED73EE" w:rsidRPr="006140E6" w14:paraId="61E0F11D" w14:textId="77777777" w:rsidTr="00AD65EC">
        <w:trPr>
          <w:trHeight w:val="300"/>
          <w:jc w:val="center"/>
        </w:trPr>
        <w:tc>
          <w:tcPr>
            <w:tcW w:w="3220" w:type="dxa"/>
            <w:vMerge/>
            <w:tcBorders>
              <w:left w:val="single" w:sz="4" w:space="0" w:color="auto"/>
              <w:right w:val="single" w:sz="4" w:space="0" w:color="auto"/>
            </w:tcBorders>
            <w:shd w:val="clear" w:color="auto" w:fill="auto"/>
          </w:tcPr>
          <w:p w14:paraId="4E0805DA" w14:textId="43D71EB2"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24D5616D" w14:textId="059C3312"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GAVI status</w:t>
            </w:r>
          </w:p>
        </w:tc>
        <w:tc>
          <w:tcPr>
            <w:tcW w:w="2465" w:type="dxa"/>
            <w:tcBorders>
              <w:top w:val="nil"/>
              <w:left w:val="nil"/>
              <w:bottom w:val="single" w:sz="4" w:space="0" w:color="auto"/>
              <w:right w:val="single" w:sz="4" w:space="0" w:color="auto"/>
            </w:tcBorders>
            <w:shd w:val="clear" w:color="auto" w:fill="auto"/>
            <w:hideMark/>
          </w:tcPr>
          <w:p w14:paraId="153D0B23" w14:textId="23446979"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Eligible</w:t>
            </w:r>
            <w:r w:rsidR="0027046F">
              <w:rPr>
                <w:rFonts w:ascii="Calibri" w:eastAsia="Times New Roman" w:hAnsi="Calibri" w:cs="Calibri"/>
                <w:b/>
                <w:bCs/>
                <w:color w:val="000000"/>
                <w:lang w:val="en-US" w:eastAsia="en-GB"/>
              </w:rPr>
              <w:t xml:space="preserve">, </w:t>
            </w:r>
            <w:r w:rsidR="00177ED5">
              <w:rPr>
                <w:rFonts w:ascii="Calibri" w:eastAsia="Times New Roman" w:hAnsi="Calibri" w:cs="Calibri"/>
                <w:b/>
                <w:bCs/>
                <w:color w:val="000000"/>
                <w:lang w:val="en-US" w:eastAsia="en-GB"/>
              </w:rPr>
              <w:t xml:space="preserve">in </w:t>
            </w:r>
            <w:r w:rsidR="0027046F">
              <w:rPr>
                <w:rFonts w:ascii="Calibri" w:eastAsia="Times New Roman" w:hAnsi="Calibri" w:cs="Calibri"/>
                <w:b/>
                <w:bCs/>
                <w:color w:val="000000"/>
                <w:lang w:val="en-US" w:eastAsia="en-GB"/>
              </w:rPr>
              <w:t>p</w:t>
            </w:r>
            <w:r w:rsidR="0027046F" w:rsidRPr="0027046F">
              <w:rPr>
                <w:rFonts w:ascii="Calibri" w:eastAsia="Times New Roman" w:hAnsi="Calibri" w:cs="Calibri"/>
                <w:b/>
                <w:bCs/>
                <w:color w:val="000000"/>
                <w:lang w:val="en-US" w:eastAsia="en-GB"/>
              </w:rPr>
              <w:t>reparatory transition phase</w:t>
            </w:r>
          </w:p>
        </w:tc>
      </w:tr>
      <w:tr w:rsidR="00ED73EE" w:rsidRPr="006140E6" w14:paraId="72426880" w14:textId="77777777" w:rsidTr="00E4138E">
        <w:trPr>
          <w:trHeight w:val="350"/>
          <w:jc w:val="center"/>
        </w:trPr>
        <w:tc>
          <w:tcPr>
            <w:tcW w:w="3220" w:type="dxa"/>
            <w:vMerge/>
            <w:tcBorders>
              <w:left w:val="single" w:sz="4" w:space="0" w:color="auto"/>
              <w:right w:val="single" w:sz="4" w:space="0" w:color="auto"/>
            </w:tcBorders>
            <w:shd w:val="clear" w:color="auto" w:fill="auto"/>
          </w:tcPr>
          <w:p w14:paraId="0D8ED69B" w14:textId="2EC1799E"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3BCBAF75" w14:textId="5AA09B80"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Total population</w:t>
            </w:r>
          </w:p>
        </w:tc>
        <w:tc>
          <w:tcPr>
            <w:tcW w:w="2465" w:type="dxa"/>
            <w:tcBorders>
              <w:top w:val="nil"/>
              <w:left w:val="nil"/>
              <w:bottom w:val="single" w:sz="4" w:space="0" w:color="auto"/>
              <w:right w:val="single" w:sz="4" w:space="0" w:color="auto"/>
            </w:tcBorders>
            <w:shd w:val="clear" w:color="auto" w:fill="auto"/>
            <w:hideMark/>
          </w:tcPr>
          <w:p w14:paraId="5E22A5E0"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99,391,000</w:t>
            </w:r>
          </w:p>
        </w:tc>
      </w:tr>
      <w:tr w:rsidR="00ED73EE" w:rsidRPr="006140E6" w14:paraId="3B0255AD" w14:textId="77777777" w:rsidTr="00AD65EC">
        <w:trPr>
          <w:trHeight w:val="300"/>
          <w:jc w:val="center"/>
        </w:trPr>
        <w:tc>
          <w:tcPr>
            <w:tcW w:w="3220" w:type="dxa"/>
            <w:vMerge/>
            <w:tcBorders>
              <w:left w:val="single" w:sz="4" w:space="0" w:color="auto"/>
              <w:right w:val="single" w:sz="4" w:space="0" w:color="auto"/>
            </w:tcBorders>
            <w:shd w:val="clear" w:color="auto" w:fill="auto"/>
          </w:tcPr>
          <w:p w14:paraId="78AFE671" w14:textId="4F636BE7"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0F286521" w14:textId="0D40279A"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Birth cohort</w:t>
            </w:r>
          </w:p>
        </w:tc>
        <w:tc>
          <w:tcPr>
            <w:tcW w:w="2465" w:type="dxa"/>
            <w:tcBorders>
              <w:top w:val="nil"/>
              <w:left w:val="nil"/>
              <w:bottom w:val="single" w:sz="4" w:space="0" w:color="auto"/>
              <w:right w:val="single" w:sz="4" w:space="0" w:color="auto"/>
            </w:tcBorders>
            <w:shd w:val="clear" w:color="auto" w:fill="auto"/>
            <w:hideMark/>
          </w:tcPr>
          <w:p w14:paraId="58652326"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3,176,000</w:t>
            </w:r>
          </w:p>
        </w:tc>
      </w:tr>
      <w:tr w:rsidR="00ED73EE" w:rsidRPr="006140E6" w14:paraId="1CBE2269" w14:textId="77777777" w:rsidTr="00E4138E">
        <w:trPr>
          <w:trHeight w:val="350"/>
          <w:jc w:val="center"/>
        </w:trPr>
        <w:tc>
          <w:tcPr>
            <w:tcW w:w="3220" w:type="dxa"/>
            <w:vMerge/>
            <w:tcBorders>
              <w:left w:val="single" w:sz="4" w:space="0" w:color="auto"/>
              <w:bottom w:val="single" w:sz="4" w:space="0" w:color="auto"/>
              <w:right w:val="single" w:sz="4" w:space="0" w:color="auto"/>
            </w:tcBorders>
            <w:shd w:val="clear" w:color="auto" w:fill="auto"/>
          </w:tcPr>
          <w:p w14:paraId="639DA4C3" w14:textId="342F5E07"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auto" w:fill="auto"/>
            <w:hideMark/>
          </w:tcPr>
          <w:p w14:paraId="31C6C1A7" w14:textId="7688EAB6"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Surviving infants (JRF)</w:t>
            </w:r>
          </w:p>
        </w:tc>
        <w:tc>
          <w:tcPr>
            <w:tcW w:w="2465" w:type="dxa"/>
            <w:tcBorders>
              <w:top w:val="nil"/>
              <w:left w:val="nil"/>
              <w:bottom w:val="single" w:sz="4" w:space="0" w:color="auto"/>
              <w:right w:val="single" w:sz="4" w:space="0" w:color="auto"/>
            </w:tcBorders>
            <w:shd w:val="clear" w:color="auto" w:fill="auto"/>
            <w:hideMark/>
          </w:tcPr>
          <w:p w14:paraId="7F814196"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3,031,000</w:t>
            </w:r>
          </w:p>
        </w:tc>
      </w:tr>
      <w:tr w:rsidR="00ED73EE" w:rsidRPr="006140E6" w14:paraId="2AE5F537" w14:textId="77777777" w:rsidTr="00AD65EC">
        <w:trPr>
          <w:trHeight w:val="467"/>
          <w:jc w:val="center"/>
        </w:trPr>
        <w:tc>
          <w:tcPr>
            <w:tcW w:w="3220" w:type="dxa"/>
            <w:vMerge w:val="restart"/>
            <w:tcBorders>
              <w:top w:val="nil"/>
              <w:left w:val="single" w:sz="4" w:space="0" w:color="auto"/>
              <w:right w:val="single" w:sz="4" w:space="0" w:color="auto"/>
            </w:tcBorders>
            <w:shd w:val="clear" w:color="000000" w:fill="DDD9C4"/>
            <w:hideMark/>
          </w:tcPr>
          <w:p w14:paraId="453AE6D8"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1. Interrupt wild poliovirus transmission</w:t>
            </w:r>
            <w:bookmarkStart w:id="0" w:name="_GoBack"/>
            <w:bookmarkEnd w:id="0"/>
          </w:p>
        </w:tc>
        <w:tc>
          <w:tcPr>
            <w:tcW w:w="3767" w:type="dxa"/>
            <w:tcBorders>
              <w:top w:val="nil"/>
              <w:left w:val="nil"/>
              <w:bottom w:val="single" w:sz="4" w:space="0" w:color="auto"/>
              <w:right w:val="single" w:sz="4" w:space="0" w:color="auto"/>
            </w:tcBorders>
            <w:shd w:val="clear" w:color="000000" w:fill="DDD9C4"/>
            <w:hideMark/>
          </w:tcPr>
          <w:p w14:paraId="7FB6B7FE" w14:textId="02CD8C98"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Transmission interrupted</w:t>
            </w:r>
          </w:p>
        </w:tc>
        <w:tc>
          <w:tcPr>
            <w:tcW w:w="2465" w:type="dxa"/>
            <w:tcBorders>
              <w:top w:val="nil"/>
              <w:left w:val="nil"/>
              <w:bottom w:val="single" w:sz="4" w:space="0" w:color="auto"/>
              <w:right w:val="single" w:sz="4" w:space="0" w:color="auto"/>
            </w:tcBorders>
            <w:shd w:val="clear" w:color="000000" w:fill="00B050"/>
            <w:hideMark/>
          </w:tcPr>
          <w:p w14:paraId="43FBB89B" w14:textId="7F9BE12F" w:rsidR="00ED73EE" w:rsidRPr="006140E6" w:rsidRDefault="00ED73EE" w:rsidP="00AF0E45">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Yes</w:t>
            </w:r>
            <w:r w:rsidR="00AF0E45">
              <w:rPr>
                <w:rFonts w:ascii="Calibri" w:eastAsia="Times New Roman" w:hAnsi="Calibri" w:cs="Calibri"/>
                <w:b/>
                <w:bCs/>
                <w:color w:val="000000"/>
                <w:lang w:val="en-US" w:eastAsia="en-GB"/>
              </w:rPr>
              <w:t xml:space="preserve"> </w:t>
            </w:r>
          </w:p>
        </w:tc>
      </w:tr>
      <w:tr w:rsidR="00ED73EE" w:rsidRPr="006140E6" w14:paraId="7617E216" w14:textId="77777777" w:rsidTr="00AD65EC">
        <w:trPr>
          <w:trHeight w:val="800"/>
          <w:jc w:val="center"/>
        </w:trPr>
        <w:tc>
          <w:tcPr>
            <w:tcW w:w="3220" w:type="dxa"/>
            <w:vMerge/>
            <w:tcBorders>
              <w:left w:val="single" w:sz="4" w:space="0" w:color="auto"/>
              <w:right w:val="single" w:sz="4" w:space="0" w:color="auto"/>
            </w:tcBorders>
            <w:shd w:val="clear" w:color="000000" w:fill="DDD9C4"/>
          </w:tcPr>
          <w:p w14:paraId="52FD0FD4" w14:textId="7DA14000"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DDD9C4"/>
            <w:hideMark/>
          </w:tcPr>
          <w:p w14:paraId="5155117B" w14:textId="169DF53D" w:rsidR="00ED73EE" w:rsidRPr="006140E6" w:rsidRDefault="00ED73EE" w:rsidP="00352ED6">
            <w:pPr>
              <w:spacing w:after="0" w:line="240" w:lineRule="auto"/>
              <w:rPr>
                <w:rFonts w:ascii="Calibri" w:eastAsia="Times New Roman" w:hAnsi="Calibri" w:cs="Calibri"/>
                <w:b/>
                <w:bCs/>
                <w:lang w:val="en-US" w:eastAsia="en-GB"/>
              </w:rPr>
            </w:pPr>
            <w:r w:rsidRPr="006140E6">
              <w:rPr>
                <w:rFonts w:ascii="Calibri" w:eastAsia="Times New Roman" w:hAnsi="Calibri" w:cs="Calibri"/>
                <w:b/>
                <w:bCs/>
                <w:lang w:val="en-US" w:eastAsia="en-GB"/>
              </w:rPr>
              <w:t>Risk of late detection:</w:t>
            </w:r>
            <w:r w:rsidRPr="006140E6">
              <w:rPr>
                <w:rFonts w:ascii="Calibri" w:eastAsia="Times New Roman" w:hAnsi="Calibri" w:cs="Calibri"/>
                <w:b/>
                <w:bCs/>
                <w:lang w:val="en-US" w:eastAsia="en-GB"/>
              </w:rPr>
              <w:br/>
              <w:t>Percent of adequate stool specimens (rolling 12 mo.) (2015) Target &gt; 80%</w:t>
            </w:r>
          </w:p>
        </w:tc>
        <w:tc>
          <w:tcPr>
            <w:tcW w:w="2465" w:type="dxa"/>
            <w:tcBorders>
              <w:top w:val="nil"/>
              <w:left w:val="nil"/>
              <w:bottom w:val="single" w:sz="4" w:space="0" w:color="auto"/>
              <w:right w:val="single" w:sz="4" w:space="0" w:color="auto"/>
            </w:tcBorders>
            <w:shd w:val="clear" w:color="000000" w:fill="00B050"/>
            <w:hideMark/>
          </w:tcPr>
          <w:p w14:paraId="50B2CAB8"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93.1</w:t>
            </w:r>
          </w:p>
        </w:tc>
      </w:tr>
      <w:tr w:rsidR="00ED73EE" w:rsidRPr="006140E6" w14:paraId="7A6E58C0" w14:textId="77777777" w:rsidTr="00AD65EC">
        <w:trPr>
          <w:trHeight w:val="900"/>
          <w:jc w:val="center"/>
        </w:trPr>
        <w:tc>
          <w:tcPr>
            <w:tcW w:w="3220" w:type="dxa"/>
            <w:vMerge/>
            <w:tcBorders>
              <w:left w:val="single" w:sz="4" w:space="0" w:color="auto"/>
              <w:right w:val="single" w:sz="4" w:space="0" w:color="auto"/>
            </w:tcBorders>
            <w:shd w:val="clear" w:color="000000" w:fill="DDD9C4"/>
          </w:tcPr>
          <w:p w14:paraId="0D495FC1" w14:textId="2E2131D1"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DDD9C4"/>
            <w:hideMark/>
          </w:tcPr>
          <w:p w14:paraId="52EB2908" w14:textId="39374131" w:rsidR="00ED73EE" w:rsidRPr="006140E6" w:rsidRDefault="00ED73EE" w:rsidP="00352ED6">
            <w:pPr>
              <w:spacing w:after="0" w:line="240" w:lineRule="auto"/>
              <w:rPr>
                <w:rFonts w:ascii="Calibri" w:eastAsia="Times New Roman" w:hAnsi="Calibri" w:cs="Calibri"/>
                <w:b/>
                <w:bCs/>
                <w:lang w:val="en-US" w:eastAsia="en-GB"/>
              </w:rPr>
            </w:pPr>
            <w:r w:rsidRPr="006140E6">
              <w:rPr>
                <w:rFonts w:ascii="Calibri" w:eastAsia="Times New Roman" w:hAnsi="Calibri" w:cs="Calibri"/>
                <w:b/>
                <w:bCs/>
                <w:lang w:val="en-US" w:eastAsia="en-GB"/>
              </w:rPr>
              <w:t>Risk of late detection:</w:t>
            </w:r>
            <w:r w:rsidRPr="006140E6">
              <w:rPr>
                <w:rFonts w:ascii="Calibri" w:eastAsia="Times New Roman" w:hAnsi="Calibri" w:cs="Calibri"/>
                <w:b/>
                <w:bCs/>
                <w:lang w:val="en-US" w:eastAsia="en-GB"/>
              </w:rPr>
              <w:br/>
              <w:t>Non-polio AFP rate per 100,000 (rolling 12 mo.) (2015</w:t>
            </w:r>
            <w:r w:rsidR="00177ED5">
              <w:rPr>
                <w:rFonts w:ascii="Calibri" w:eastAsia="Times New Roman" w:hAnsi="Calibri" w:cs="Calibri"/>
                <w:b/>
                <w:bCs/>
                <w:lang w:val="en-US" w:eastAsia="en-GB"/>
              </w:rPr>
              <w:t>-2016</w:t>
            </w:r>
            <w:r w:rsidRPr="006140E6">
              <w:rPr>
                <w:rFonts w:ascii="Calibri" w:eastAsia="Times New Roman" w:hAnsi="Calibri" w:cs="Calibri"/>
                <w:b/>
                <w:bCs/>
                <w:lang w:val="en-US" w:eastAsia="en-GB"/>
              </w:rPr>
              <w:t>) Target &gt; 2/100,000</w:t>
            </w:r>
          </w:p>
        </w:tc>
        <w:tc>
          <w:tcPr>
            <w:tcW w:w="2465" w:type="dxa"/>
            <w:tcBorders>
              <w:top w:val="nil"/>
              <w:left w:val="nil"/>
              <w:bottom w:val="single" w:sz="4" w:space="0" w:color="auto"/>
              <w:right w:val="single" w:sz="4" w:space="0" w:color="auto"/>
            </w:tcBorders>
            <w:shd w:val="clear" w:color="000000" w:fill="00B050"/>
            <w:hideMark/>
          </w:tcPr>
          <w:p w14:paraId="6D9EA6B5"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2.5</w:t>
            </w:r>
          </w:p>
        </w:tc>
      </w:tr>
      <w:tr w:rsidR="00ED73EE" w:rsidRPr="006140E6" w14:paraId="0520BE8B" w14:textId="77777777" w:rsidTr="00AD65EC">
        <w:trPr>
          <w:trHeight w:val="1412"/>
          <w:jc w:val="center"/>
        </w:trPr>
        <w:tc>
          <w:tcPr>
            <w:tcW w:w="3220" w:type="dxa"/>
            <w:vMerge/>
            <w:tcBorders>
              <w:left w:val="single" w:sz="4" w:space="0" w:color="auto"/>
              <w:bottom w:val="single" w:sz="4" w:space="0" w:color="auto"/>
              <w:right w:val="single" w:sz="4" w:space="0" w:color="auto"/>
            </w:tcBorders>
            <w:shd w:val="clear" w:color="000000" w:fill="DDD9C4"/>
          </w:tcPr>
          <w:p w14:paraId="764FA646" w14:textId="4A80F578"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DDD9C4"/>
            <w:hideMark/>
          </w:tcPr>
          <w:p w14:paraId="68AAB441" w14:textId="5500FDB9" w:rsidR="00ED73EE" w:rsidRPr="006140E6" w:rsidRDefault="00ED73EE" w:rsidP="00352ED6">
            <w:pPr>
              <w:spacing w:after="0" w:line="240" w:lineRule="auto"/>
              <w:rPr>
                <w:rFonts w:ascii="Calibri" w:eastAsia="Times New Roman" w:hAnsi="Calibri" w:cs="Calibri"/>
                <w:b/>
                <w:bCs/>
                <w:lang w:val="en-US" w:eastAsia="en-GB"/>
              </w:rPr>
            </w:pPr>
            <w:r w:rsidRPr="006140E6">
              <w:rPr>
                <w:rFonts w:ascii="Calibri" w:eastAsia="Times New Roman" w:hAnsi="Calibri" w:cs="Calibri"/>
                <w:b/>
                <w:bCs/>
                <w:lang w:val="en-US" w:eastAsia="en-GB"/>
              </w:rPr>
              <w:t>Risk of spread after importation:</w:t>
            </w:r>
            <w:r w:rsidRPr="006140E6">
              <w:rPr>
                <w:rFonts w:ascii="Calibri" w:eastAsia="Times New Roman" w:hAnsi="Calibri" w:cs="Calibri"/>
                <w:b/>
                <w:bCs/>
                <w:lang w:val="en-US" w:eastAsia="en-GB"/>
              </w:rPr>
              <w:br/>
              <w:t xml:space="preserve">% of 6-59 month olds having received less than 3 doses in the last year before occurrence </w:t>
            </w:r>
            <w:r w:rsidR="00E65FBD">
              <w:rPr>
                <w:rFonts w:ascii="Calibri" w:eastAsia="Times New Roman" w:hAnsi="Calibri" w:cs="Calibri"/>
                <w:b/>
                <w:bCs/>
                <w:lang w:val="en-US" w:eastAsia="en-GB"/>
              </w:rPr>
              <w:t xml:space="preserve">of last </w:t>
            </w:r>
            <w:r w:rsidRPr="006140E6">
              <w:rPr>
                <w:rFonts w:ascii="Calibri" w:eastAsia="Times New Roman" w:hAnsi="Calibri" w:cs="Calibri"/>
                <w:b/>
                <w:bCs/>
                <w:lang w:val="en-US" w:eastAsia="en-GB"/>
              </w:rPr>
              <w:t>case/environmental positive)</w:t>
            </w:r>
          </w:p>
        </w:tc>
        <w:tc>
          <w:tcPr>
            <w:tcW w:w="2465" w:type="dxa"/>
            <w:tcBorders>
              <w:top w:val="nil"/>
              <w:left w:val="nil"/>
              <w:bottom w:val="single" w:sz="4" w:space="0" w:color="auto"/>
              <w:right w:val="single" w:sz="4" w:space="0" w:color="auto"/>
            </w:tcBorders>
            <w:shd w:val="clear" w:color="000000" w:fill="FF0000"/>
            <w:hideMark/>
          </w:tcPr>
          <w:p w14:paraId="30389108"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17</w:t>
            </w:r>
          </w:p>
        </w:tc>
      </w:tr>
      <w:tr w:rsidR="00ED73EE" w:rsidRPr="006140E6" w14:paraId="195C963B" w14:textId="77777777" w:rsidTr="00AD65EC">
        <w:trPr>
          <w:trHeight w:val="300"/>
          <w:jc w:val="center"/>
        </w:trPr>
        <w:tc>
          <w:tcPr>
            <w:tcW w:w="3220" w:type="dxa"/>
            <w:vMerge w:val="restart"/>
            <w:tcBorders>
              <w:top w:val="nil"/>
              <w:left w:val="single" w:sz="4" w:space="0" w:color="auto"/>
              <w:right w:val="single" w:sz="4" w:space="0" w:color="auto"/>
            </w:tcBorders>
            <w:shd w:val="clear" w:color="000000" w:fill="C5D9F1"/>
            <w:hideMark/>
          </w:tcPr>
          <w:p w14:paraId="23333FA7"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2. Neonatal tetanus elimination</w:t>
            </w:r>
          </w:p>
          <w:p w14:paraId="001DC070" w14:textId="77777777" w:rsidR="00ED73EE" w:rsidRPr="006140E6" w:rsidRDefault="00ED73EE" w:rsidP="00352ED6">
            <w:pPr>
              <w:spacing w:after="0" w:line="240" w:lineRule="auto"/>
              <w:rPr>
                <w:rFonts w:ascii="Calibri" w:eastAsia="Times New Roman" w:hAnsi="Calibri" w:cs="Calibri"/>
                <w:b/>
                <w:bCs/>
                <w:color w:val="000000"/>
                <w:lang w:val="en-US" w:eastAsia="en-GB"/>
              </w:rPr>
            </w:pPr>
          </w:p>
          <w:p w14:paraId="543A9DC8" w14:textId="77777777"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C5D9F1"/>
            <w:hideMark/>
          </w:tcPr>
          <w:p w14:paraId="67C3DFD7" w14:textId="77C0C936" w:rsidR="00ED73EE" w:rsidRPr="006140E6" w:rsidRDefault="00ED73EE" w:rsidP="00177ED5">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Coverage for TT (</w:t>
            </w:r>
            <w:r w:rsidR="00177ED5">
              <w:rPr>
                <w:rFonts w:ascii="Calibri" w:eastAsia="Times New Roman" w:hAnsi="Calibri" w:cs="Calibri"/>
                <w:b/>
                <w:bCs/>
                <w:color w:val="000000"/>
                <w:lang w:val="en-US" w:eastAsia="en-GB"/>
              </w:rPr>
              <w:t>official country estimate</w:t>
            </w:r>
            <w:r w:rsidRPr="006140E6">
              <w:rPr>
                <w:rFonts w:ascii="Calibri" w:eastAsia="Times New Roman" w:hAnsi="Calibri" w:cs="Calibri"/>
                <w:b/>
                <w:bCs/>
                <w:color w:val="000000"/>
                <w:lang w:val="en-US" w:eastAsia="en-GB"/>
              </w:rPr>
              <w:t xml:space="preserve"> 2015)</w:t>
            </w:r>
          </w:p>
        </w:tc>
        <w:tc>
          <w:tcPr>
            <w:tcW w:w="2465" w:type="dxa"/>
            <w:tcBorders>
              <w:top w:val="nil"/>
              <w:left w:val="nil"/>
              <w:bottom w:val="single" w:sz="4" w:space="0" w:color="auto"/>
              <w:right w:val="single" w:sz="4" w:space="0" w:color="auto"/>
            </w:tcBorders>
            <w:shd w:val="clear" w:color="000000" w:fill="00B050"/>
            <w:hideMark/>
          </w:tcPr>
          <w:p w14:paraId="3C5B65C9"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92%</w:t>
            </w:r>
          </w:p>
        </w:tc>
      </w:tr>
      <w:tr w:rsidR="00ED73EE" w:rsidRPr="006140E6" w14:paraId="5EEA0699" w14:textId="77777777" w:rsidTr="00AD65EC">
        <w:trPr>
          <w:trHeight w:val="593"/>
          <w:jc w:val="center"/>
        </w:trPr>
        <w:tc>
          <w:tcPr>
            <w:tcW w:w="3220" w:type="dxa"/>
            <w:vMerge/>
            <w:tcBorders>
              <w:left w:val="single" w:sz="4" w:space="0" w:color="auto"/>
              <w:right w:val="single" w:sz="4" w:space="0" w:color="auto"/>
            </w:tcBorders>
            <w:shd w:val="clear" w:color="000000" w:fill="C5D9F1"/>
            <w:hideMark/>
          </w:tcPr>
          <w:p w14:paraId="0FFC107B" w14:textId="776BAC1A"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C5D9F1"/>
            <w:hideMark/>
          </w:tcPr>
          <w:p w14:paraId="5410F741" w14:textId="4039CDB0"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Protection at birth against tetanus (WUENIC 2015)</w:t>
            </w:r>
          </w:p>
        </w:tc>
        <w:tc>
          <w:tcPr>
            <w:tcW w:w="2465" w:type="dxa"/>
            <w:tcBorders>
              <w:top w:val="nil"/>
              <w:left w:val="nil"/>
              <w:bottom w:val="single" w:sz="4" w:space="0" w:color="auto"/>
              <w:right w:val="single" w:sz="4" w:space="0" w:color="auto"/>
            </w:tcBorders>
            <w:shd w:val="clear" w:color="000000" w:fill="FFC000"/>
            <w:hideMark/>
          </w:tcPr>
          <w:p w14:paraId="07F1B644"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80%</w:t>
            </w:r>
          </w:p>
        </w:tc>
      </w:tr>
      <w:tr w:rsidR="00ED73EE" w:rsidRPr="006140E6" w14:paraId="1B6E4797" w14:textId="77777777" w:rsidTr="00AD65EC">
        <w:trPr>
          <w:trHeight w:val="1322"/>
          <w:jc w:val="center"/>
        </w:trPr>
        <w:tc>
          <w:tcPr>
            <w:tcW w:w="3220" w:type="dxa"/>
            <w:vMerge/>
            <w:tcBorders>
              <w:left w:val="single" w:sz="4" w:space="0" w:color="auto"/>
              <w:right w:val="single" w:sz="4" w:space="0" w:color="auto"/>
            </w:tcBorders>
            <w:shd w:val="clear" w:color="000000" w:fill="C5D9F1"/>
            <w:hideMark/>
          </w:tcPr>
          <w:p w14:paraId="530C08C0" w14:textId="4D30CF5E"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C5D9F1"/>
            <w:hideMark/>
          </w:tcPr>
          <w:p w14:paraId="0FB8A08B"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Last SIAs conducted in the country</w:t>
            </w:r>
          </w:p>
        </w:tc>
        <w:tc>
          <w:tcPr>
            <w:tcW w:w="2465" w:type="dxa"/>
            <w:tcBorders>
              <w:top w:val="nil"/>
              <w:left w:val="nil"/>
              <w:bottom w:val="single" w:sz="4" w:space="0" w:color="auto"/>
              <w:right w:val="single" w:sz="4" w:space="0" w:color="auto"/>
            </w:tcBorders>
            <w:shd w:val="clear" w:color="000000" w:fill="00B050"/>
            <w:hideMark/>
          </w:tcPr>
          <w:p w14:paraId="3A20E7ED" w14:textId="2968DB91" w:rsidR="00ED73EE" w:rsidRPr="006140E6" w:rsidRDefault="00ED73EE" w:rsidP="0019049C">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SIAs in 2015 in 4</w:t>
            </w:r>
            <w:r w:rsidR="0019049C">
              <w:rPr>
                <w:rFonts w:ascii="Calibri" w:eastAsia="Times New Roman" w:hAnsi="Calibri" w:cs="Calibri"/>
                <w:b/>
                <w:bCs/>
                <w:color w:val="000000"/>
                <w:lang w:val="en-US" w:eastAsia="en-GB"/>
              </w:rPr>
              <w:t>/103 zones</w:t>
            </w:r>
            <w:r w:rsidRPr="006140E6">
              <w:rPr>
                <w:rFonts w:ascii="Calibri" w:eastAsia="Times New Roman" w:hAnsi="Calibri" w:cs="Calibri"/>
                <w:b/>
                <w:bCs/>
                <w:color w:val="000000"/>
                <w:lang w:val="en-US" w:eastAsia="en-GB"/>
              </w:rPr>
              <w:t xml:space="preserve"> (3rd round of SIAs in high-risk districts that started in 2012.</w:t>
            </w:r>
          </w:p>
        </w:tc>
      </w:tr>
      <w:tr w:rsidR="00ED73EE" w:rsidRPr="006140E6" w14:paraId="4A04E7D9" w14:textId="77777777" w:rsidTr="00AD65EC">
        <w:trPr>
          <w:trHeight w:val="287"/>
          <w:jc w:val="center"/>
        </w:trPr>
        <w:tc>
          <w:tcPr>
            <w:tcW w:w="3220" w:type="dxa"/>
            <w:vMerge/>
            <w:tcBorders>
              <w:left w:val="single" w:sz="4" w:space="0" w:color="auto"/>
              <w:bottom w:val="single" w:sz="4" w:space="0" w:color="auto"/>
              <w:right w:val="single" w:sz="4" w:space="0" w:color="auto"/>
            </w:tcBorders>
            <w:shd w:val="clear" w:color="000000" w:fill="C5D9F1"/>
            <w:hideMark/>
          </w:tcPr>
          <w:p w14:paraId="70BD332F" w14:textId="11F8FFF9"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C5D9F1"/>
            <w:hideMark/>
          </w:tcPr>
          <w:p w14:paraId="25618F48"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Elimination validation date</w:t>
            </w:r>
          </w:p>
        </w:tc>
        <w:tc>
          <w:tcPr>
            <w:tcW w:w="2465" w:type="dxa"/>
            <w:tcBorders>
              <w:top w:val="nil"/>
              <w:left w:val="nil"/>
              <w:bottom w:val="single" w:sz="4" w:space="0" w:color="auto"/>
              <w:right w:val="single" w:sz="4" w:space="0" w:color="auto"/>
            </w:tcBorders>
            <w:shd w:val="clear" w:color="000000" w:fill="FFC000"/>
            <w:hideMark/>
          </w:tcPr>
          <w:p w14:paraId="7561F51A" w14:textId="3729116E"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Partial validation in 2011 (remaining Somali Region likely before the end of 2016 and national validation by 2018)</w:t>
            </w:r>
          </w:p>
        </w:tc>
      </w:tr>
      <w:tr w:rsidR="00ED73EE" w:rsidRPr="006140E6" w14:paraId="0493E1F3" w14:textId="77777777" w:rsidTr="00E4138E">
        <w:trPr>
          <w:trHeight w:val="368"/>
          <w:jc w:val="center"/>
        </w:trPr>
        <w:tc>
          <w:tcPr>
            <w:tcW w:w="3220" w:type="dxa"/>
            <w:vMerge w:val="restart"/>
            <w:tcBorders>
              <w:top w:val="nil"/>
              <w:left w:val="single" w:sz="4" w:space="0" w:color="auto"/>
              <w:right w:val="single" w:sz="4" w:space="0" w:color="auto"/>
            </w:tcBorders>
            <w:shd w:val="clear" w:color="000000" w:fill="F2DCDB"/>
            <w:hideMark/>
          </w:tcPr>
          <w:p w14:paraId="393F3DFC" w14:textId="70B427CB" w:rsidR="00ED73EE" w:rsidRPr="006140E6" w:rsidRDefault="00AD65EC"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3. Measles e</w:t>
            </w:r>
            <w:r w:rsidR="00ED73EE" w:rsidRPr="006140E6">
              <w:rPr>
                <w:rFonts w:ascii="Calibri" w:eastAsia="Times New Roman" w:hAnsi="Calibri" w:cs="Calibri"/>
                <w:b/>
                <w:bCs/>
                <w:color w:val="000000"/>
                <w:lang w:val="en-US" w:eastAsia="en-GB"/>
              </w:rPr>
              <w:t>limination</w:t>
            </w:r>
          </w:p>
        </w:tc>
        <w:tc>
          <w:tcPr>
            <w:tcW w:w="3767" w:type="dxa"/>
            <w:tcBorders>
              <w:top w:val="nil"/>
              <w:left w:val="nil"/>
              <w:bottom w:val="single" w:sz="4" w:space="0" w:color="auto"/>
              <w:right w:val="single" w:sz="4" w:space="0" w:color="auto"/>
            </w:tcBorders>
            <w:shd w:val="clear" w:color="000000" w:fill="F2DCDB"/>
            <w:hideMark/>
          </w:tcPr>
          <w:p w14:paraId="4A39B155" w14:textId="7EB4DE53"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Coverage MCV1 (201</w:t>
            </w:r>
            <w:r w:rsidR="00352ED6" w:rsidRPr="006140E6">
              <w:rPr>
                <w:rFonts w:ascii="Calibri" w:eastAsia="Times New Roman" w:hAnsi="Calibri" w:cs="Calibri"/>
                <w:b/>
                <w:bCs/>
                <w:color w:val="000000"/>
                <w:lang w:val="en-US" w:eastAsia="en-GB"/>
              </w:rPr>
              <w:t>5</w:t>
            </w:r>
            <w:r w:rsidRPr="006140E6">
              <w:rPr>
                <w:rFonts w:ascii="Calibri" w:eastAsia="Times New Roman" w:hAnsi="Calibri" w:cs="Calibri"/>
                <w:b/>
                <w:bCs/>
                <w:color w:val="000000"/>
                <w:lang w:val="en-US" w:eastAsia="en-GB"/>
              </w:rPr>
              <w:t xml:space="preserve"> WUENIC)</w:t>
            </w:r>
          </w:p>
        </w:tc>
        <w:tc>
          <w:tcPr>
            <w:tcW w:w="2465" w:type="dxa"/>
            <w:tcBorders>
              <w:top w:val="nil"/>
              <w:left w:val="nil"/>
              <w:bottom w:val="single" w:sz="4" w:space="0" w:color="auto"/>
              <w:right w:val="single" w:sz="4" w:space="0" w:color="auto"/>
            </w:tcBorders>
            <w:shd w:val="clear" w:color="000000" w:fill="FF0000"/>
            <w:hideMark/>
          </w:tcPr>
          <w:p w14:paraId="77A4B3D5" w14:textId="603C6EAA"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7</w:t>
            </w:r>
            <w:r w:rsidR="00352ED6" w:rsidRPr="006140E6">
              <w:rPr>
                <w:rFonts w:ascii="Calibri" w:eastAsia="Times New Roman" w:hAnsi="Calibri" w:cs="Calibri"/>
                <w:b/>
                <w:bCs/>
                <w:color w:val="000000"/>
                <w:lang w:val="en-US" w:eastAsia="en-GB"/>
              </w:rPr>
              <w:t>8</w:t>
            </w:r>
            <w:r w:rsidRPr="006140E6">
              <w:rPr>
                <w:rFonts w:ascii="Calibri" w:eastAsia="Times New Roman" w:hAnsi="Calibri" w:cs="Calibri"/>
                <w:b/>
                <w:bCs/>
                <w:color w:val="000000"/>
                <w:lang w:val="en-US" w:eastAsia="en-GB"/>
              </w:rPr>
              <w:t>%</w:t>
            </w:r>
          </w:p>
        </w:tc>
      </w:tr>
      <w:tr w:rsidR="00ED73EE" w:rsidRPr="006140E6" w14:paraId="71EFF644" w14:textId="77777777" w:rsidTr="00AD65EC">
        <w:trPr>
          <w:trHeight w:val="300"/>
          <w:jc w:val="center"/>
        </w:trPr>
        <w:tc>
          <w:tcPr>
            <w:tcW w:w="3220" w:type="dxa"/>
            <w:vMerge/>
            <w:tcBorders>
              <w:left w:val="single" w:sz="4" w:space="0" w:color="auto"/>
              <w:right w:val="single" w:sz="4" w:space="0" w:color="auto"/>
            </w:tcBorders>
            <w:shd w:val="clear" w:color="000000" w:fill="F2DCDB"/>
          </w:tcPr>
          <w:p w14:paraId="384FEC96" w14:textId="3D8E692D"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F2DCDB"/>
            <w:hideMark/>
          </w:tcPr>
          <w:p w14:paraId="6D341101"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Coverage MCV2 </w:t>
            </w:r>
          </w:p>
        </w:tc>
        <w:tc>
          <w:tcPr>
            <w:tcW w:w="2465" w:type="dxa"/>
            <w:tcBorders>
              <w:top w:val="nil"/>
              <w:left w:val="nil"/>
              <w:bottom w:val="single" w:sz="4" w:space="0" w:color="auto"/>
              <w:right w:val="single" w:sz="4" w:space="0" w:color="auto"/>
            </w:tcBorders>
            <w:shd w:val="clear" w:color="000000" w:fill="FF0000"/>
            <w:hideMark/>
          </w:tcPr>
          <w:p w14:paraId="1175DEC5"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Not in schedule</w:t>
            </w:r>
          </w:p>
        </w:tc>
      </w:tr>
      <w:tr w:rsidR="00ED73EE" w:rsidRPr="006140E6" w14:paraId="65ED4478" w14:textId="77777777" w:rsidTr="00AD65EC">
        <w:trPr>
          <w:trHeight w:val="600"/>
          <w:jc w:val="center"/>
        </w:trPr>
        <w:tc>
          <w:tcPr>
            <w:tcW w:w="3220" w:type="dxa"/>
            <w:vMerge/>
            <w:tcBorders>
              <w:left w:val="single" w:sz="4" w:space="0" w:color="auto"/>
              <w:right w:val="single" w:sz="4" w:space="0" w:color="auto"/>
            </w:tcBorders>
            <w:shd w:val="clear" w:color="000000" w:fill="F2DCDB"/>
          </w:tcPr>
          <w:p w14:paraId="1DC79294" w14:textId="1B65B060"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F2DCDB"/>
            <w:hideMark/>
          </w:tcPr>
          <w:p w14:paraId="0C4F059F" w14:textId="6B4313A0"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Percentage of districts with MCV1 coverage </w:t>
            </w:r>
            <w:r w:rsidR="00352ED6" w:rsidRPr="006140E6">
              <w:rPr>
                <w:rFonts w:ascii="Calibri" w:eastAsia="Times New Roman" w:hAnsi="Calibri" w:cs="Calibri"/>
                <w:b/>
                <w:bCs/>
                <w:color w:val="000000"/>
                <w:lang w:val="en-US" w:eastAsia="en-GB"/>
              </w:rPr>
              <w:t>≥</w:t>
            </w:r>
            <w:r w:rsidRPr="006140E6">
              <w:rPr>
                <w:rFonts w:ascii="Calibri" w:eastAsia="Times New Roman" w:hAnsi="Calibri" w:cs="Calibri"/>
                <w:b/>
                <w:bCs/>
                <w:color w:val="000000"/>
                <w:lang w:val="en-US" w:eastAsia="en-GB"/>
              </w:rPr>
              <w:t>95% (2015 JRF)</w:t>
            </w:r>
          </w:p>
        </w:tc>
        <w:tc>
          <w:tcPr>
            <w:tcW w:w="2465" w:type="dxa"/>
            <w:tcBorders>
              <w:top w:val="nil"/>
              <w:left w:val="nil"/>
              <w:bottom w:val="single" w:sz="4" w:space="0" w:color="auto"/>
              <w:right w:val="single" w:sz="4" w:space="0" w:color="auto"/>
            </w:tcBorders>
            <w:shd w:val="clear" w:color="000000" w:fill="FF0000"/>
            <w:hideMark/>
          </w:tcPr>
          <w:p w14:paraId="61507033"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30%</w:t>
            </w:r>
          </w:p>
        </w:tc>
      </w:tr>
      <w:tr w:rsidR="00ED73EE" w:rsidRPr="006140E6" w14:paraId="271091A3" w14:textId="77777777" w:rsidTr="00AD65EC">
        <w:trPr>
          <w:trHeight w:val="300"/>
          <w:jc w:val="center"/>
        </w:trPr>
        <w:tc>
          <w:tcPr>
            <w:tcW w:w="3220" w:type="dxa"/>
            <w:vMerge/>
            <w:tcBorders>
              <w:left w:val="single" w:sz="4" w:space="0" w:color="auto"/>
              <w:right w:val="single" w:sz="4" w:space="0" w:color="auto"/>
            </w:tcBorders>
            <w:shd w:val="clear" w:color="000000" w:fill="F2DCDB"/>
          </w:tcPr>
          <w:p w14:paraId="5A6897AB" w14:textId="272C223A"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F2DCDB"/>
            <w:hideMark/>
          </w:tcPr>
          <w:p w14:paraId="798F606C"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Last national SIA</w:t>
            </w:r>
          </w:p>
        </w:tc>
        <w:tc>
          <w:tcPr>
            <w:tcW w:w="2465" w:type="dxa"/>
            <w:tcBorders>
              <w:top w:val="nil"/>
              <w:left w:val="nil"/>
              <w:bottom w:val="single" w:sz="4" w:space="0" w:color="auto"/>
              <w:right w:val="single" w:sz="4" w:space="0" w:color="auto"/>
            </w:tcBorders>
            <w:shd w:val="clear" w:color="000000" w:fill="FF0000"/>
            <w:hideMark/>
          </w:tcPr>
          <w:p w14:paraId="17AEC6E2" w14:textId="77777777" w:rsidR="00ED73EE" w:rsidRPr="006140E6" w:rsidRDefault="00ED73EE"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2013</w:t>
            </w:r>
          </w:p>
        </w:tc>
      </w:tr>
      <w:tr w:rsidR="00ED73EE" w:rsidRPr="006140E6" w14:paraId="4D6B3204" w14:textId="77777777" w:rsidTr="00E4138E">
        <w:trPr>
          <w:trHeight w:val="300"/>
          <w:jc w:val="center"/>
        </w:trPr>
        <w:tc>
          <w:tcPr>
            <w:tcW w:w="3220" w:type="dxa"/>
            <w:vMerge/>
            <w:tcBorders>
              <w:left w:val="single" w:sz="4" w:space="0" w:color="auto"/>
              <w:bottom w:val="single" w:sz="4" w:space="0" w:color="auto"/>
              <w:right w:val="single" w:sz="4" w:space="0" w:color="auto"/>
            </w:tcBorders>
            <w:shd w:val="clear" w:color="000000" w:fill="F2DCDB"/>
          </w:tcPr>
          <w:p w14:paraId="41AFE345" w14:textId="6329CC42" w:rsidR="00ED73EE" w:rsidRPr="006140E6" w:rsidRDefault="00ED73EE"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F2DCDB"/>
            <w:hideMark/>
          </w:tcPr>
          <w:p w14:paraId="13AEABBB" w14:textId="77777777" w:rsidR="00ED73EE" w:rsidRPr="006140E6" w:rsidRDefault="00ED73EE"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Post SIA coverage survey conducted</w:t>
            </w:r>
          </w:p>
        </w:tc>
        <w:tc>
          <w:tcPr>
            <w:tcW w:w="2465" w:type="dxa"/>
            <w:tcBorders>
              <w:top w:val="nil"/>
              <w:left w:val="nil"/>
              <w:bottom w:val="single" w:sz="4" w:space="0" w:color="auto"/>
              <w:right w:val="single" w:sz="4" w:space="0" w:color="auto"/>
            </w:tcBorders>
            <w:shd w:val="clear" w:color="auto" w:fill="00B050"/>
            <w:hideMark/>
          </w:tcPr>
          <w:p w14:paraId="7A84A2EC" w14:textId="1921ECCF" w:rsidR="00ED73EE" w:rsidRPr="006140E6" w:rsidRDefault="00E4138E" w:rsidP="00352ED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Yes</w:t>
            </w:r>
          </w:p>
        </w:tc>
      </w:tr>
      <w:tr w:rsidR="00352ED6" w:rsidRPr="006140E6" w14:paraId="0828772C" w14:textId="77777777" w:rsidTr="00AD65EC">
        <w:trPr>
          <w:trHeight w:val="323"/>
          <w:jc w:val="center"/>
        </w:trPr>
        <w:tc>
          <w:tcPr>
            <w:tcW w:w="3220" w:type="dxa"/>
            <w:vMerge w:val="restart"/>
            <w:tcBorders>
              <w:top w:val="nil"/>
              <w:left w:val="single" w:sz="4" w:space="0" w:color="auto"/>
              <w:right w:val="single" w:sz="4" w:space="0" w:color="auto"/>
            </w:tcBorders>
            <w:shd w:val="clear" w:color="000000" w:fill="F2DCDB"/>
            <w:hideMark/>
          </w:tcPr>
          <w:p w14:paraId="246AAE14" w14:textId="018FCB9E" w:rsidR="00352ED6" w:rsidRPr="006140E6" w:rsidRDefault="00352ED6"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4. </w:t>
            </w:r>
            <w:r w:rsidR="00AD65EC" w:rsidRPr="006140E6">
              <w:rPr>
                <w:rFonts w:ascii="Calibri" w:eastAsia="Times New Roman" w:hAnsi="Calibri" w:cs="Calibri"/>
                <w:b/>
                <w:bCs/>
                <w:color w:val="000000"/>
                <w:lang w:val="en-US" w:eastAsia="en-GB"/>
              </w:rPr>
              <w:t>Rubella/CRS e</w:t>
            </w:r>
            <w:r w:rsidRPr="006140E6">
              <w:rPr>
                <w:rFonts w:ascii="Calibri" w:eastAsia="Times New Roman" w:hAnsi="Calibri" w:cs="Calibri"/>
                <w:b/>
                <w:bCs/>
                <w:color w:val="000000"/>
                <w:lang w:val="en-US" w:eastAsia="en-GB"/>
              </w:rPr>
              <w:t>limination</w:t>
            </w:r>
          </w:p>
        </w:tc>
        <w:tc>
          <w:tcPr>
            <w:tcW w:w="3767" w:type="dxa"/>
            <w:tcBorders>
              <w:top w:val="nil"/>
              <w:left w:val="nil"/>
              <w:bottom w:val="single" w:sz="4" w:space="0" w:color="auto"/>
              <w:right w:val="single" w:sz="4" w:space="0" w:color="auto"/>
            </w:tcBorders>
            <w:shd w:val="clear" w:color="000000" w:fill="F2DCDB"/>
            <w:hideMark/>
          </w:tcPr>
          <w:p w14:paraId="2BA4FAF3" w14:textId="6D85F447" w:rsidR="00352ED6" w:rsidRPr="006140E6" w:rsidRDefault="00352ED6"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Coverage rubella vaccine </w:t>
            </w:r>
          </w:p>
        </w:tc>
        <w:tc>
          <w:tcPr>
            <w:tcW w:w="2465" w:type="dxa"/>
            <w:tcBorders>
              <w:top w:val="nil"/>
              <w:left w:val="nil"/>
              <w:bottom w:val="single" w:sz="4" w:space="0" w:color="auto"/>
              <w:right w:val="single" w:sz="4" w:space="0" w:color="auto"/>
            </w:tcBorders>
            <w:shd w:val="clear" w:color="000000" w:fill="FF0000"/>
            <w:hideMark/>
          </w:tcPr>
          <w:p w14:paraId="2D07327C" w14:textId="6A7E6FE6" w:rsidR="00352ED6" w:rsidRPr="006140E6" w:rsidRDefault="00352ED6"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Not introduced</w:t>
            </w:r>
          </w:p>
        </w:tc>
      </w:tr>
      <w:tr w:rsidR="00352ED6" w:rsidRPr="006140E6" w14:paraId="6764CDA1" w14:textId="77777777" w:rsidTr="00AD65EC">
        <w:trPr>
          <w:trHeight w:val="350"/>
          <w:jc w:val="center"/>
        </w:trPr>
        <w:tc>
          <w:tcPr>
            <w:tcW w:w="3220" w:type="dxa"/>
            <w:vMerge/>
            <w:tcBorders>
              <w:left w:val="single" w:sz="4" w:space="0" w:color="auto"/>
              <w:bottom w:val="single" w:sz="4" w:space="0" w:color="auto"/>
              <w:right w:val="single" w:sz="4" w:space="0" w:color="auto"/>
            </w:tcBorders>
            <w:shd w:val="clear" w:color="000000" w:fill="F2DCDB"/>
            <w:hideMark/>
          </w:tcPr>
          <w:p w14:paraId="13708856" w14:textId="32A0D0EF" w:rsidR="00352ED6" w:rsidRPr="006140E6" w:rsidRDefault="00352ED6"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F2DCDB"/>
            <w:hideMark/>
          </w:tcPr>
          <w:p w14:paraId="5F2B0B4E" w14:textId="77777777" w:rsidR="00352ED6" w:rsidRPr="006140E6" w:rsidRDefault="00352ED6"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SIAs planned?</w:t>
            </w:r>
          </w:p>
        </w:tc>
        <w:tc>
          <w:tcPr>
            <w:tcW w:w="2465" w:type="dxa"/>
            <w:tcBorders>
              <w:top w:val="nil"/>
              <w:left w:val="nil"/>
              <w:bottom w:val="single" w:sz="4" w:space="0" w:color="auto"/>
              <w:right w:val="single" w:sz="4" w:space="0" w:color="auto"/>
            </w:tcBorders>
            <w:shd w:val="clear" w:color="000000" w:fill="FFC000"/>
            <w:hideMark/>
          </w:tcPr>
          <w:p w14:paraId="6B77A0E8" w14:textId="70B0BF08" w:rsidR="00352ED6" w:rsidRPr="006140E6" w:rsidRDefault="00352ED6"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SIAs planned for 2019</w:t>
            </w:r>
          </w:p>
        </w:tc>
      </w:tr>
      <w:tr w:rsidR="00352ED6" w:rsidRPr="006140E6" w14:paraId="240C2A09" w14:textId="77777777" w:rsidTr="00AD65EC">
        <w:trPr>
          <w:trHeight w:val="350"/>
          <w:jc w:val="center"/>
        </w:trPr>
        <w:tc>
          <w:tcPr>
            <w:tcW w:w="3220" w:type="dxa"/>
            <w:vMerge w:val="restart"/>
            <w:tcBorders>
              <w:top w:val="nil"/>
              <w:left w:val="single" w:sz="4" w:space="0" w:color="auto"/>
              <w:right w:val="single" w:sz="4" w:space="0" w:color="auto"/>
            </w:tcBorders>
            <w:shd w:val="clear" w:color="000000" w:fill="EBF1DE"/>
            <w:hideMark/>
          </w:tcPr>
          <w:p w14:paraId="2131822A" w14:textId="4C4F551A" w:rsidR="00352ED6" w:rsidRPr="006140E6" w:rsidRDefault="00352ED6"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5. Reach 90% national coverage and 80% in every district with 3 doses of DTP-containing vaccine</w:t>
            </w:r>
          </w:p>
        </w:tc>
        <w:tc>
          <w:tcPr>
            <w:tcW w:w="3767" w:type="dxa"/>
            <w:tcBorders>
              <w:top w:val="nil"/>
              <w:left w:val="nil"/>
              <w:bottom w:val="single" w:sz="4" w:space="0" w:color="auto"/>
              <w:right w:val="single" w:sz="4" w:space="0" w:color="auto"/>
            </w:tcBorders>
            <w:shd w:val="clear" w:color="000000" w:fill="EBF1DE"/>
            <w:hideMark/>
          </w:tcPr>
          <w:p w14:paraId="035B5596" w14:textId="004104F5" w:rsidR="00352ED6" w:rsidRPr="006140E6" w:rsidRDefault="00352ED6" w:rsidP="005B00C9">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National coverage (</w:t>
            </w:r>
            <w:r w:rsidR="005B00C9" w:rsidRPr="006140E6">
              <w:rPr>
                <w:rFonts w:ascii="Calibri" w:eastAsia="Times New Roman" w:hAnsi="Calibri" w:cs="Calibri"/>
                <w:b/>
                <w:bCs/>
                <w:color w:val="000000"/>
                <w:lang w:val="en-US" w:eastAsia="en-GB"/>
              </w:rPr>
              <w:t>2015 WUENIC</w:t>
            </w:r>
            <w:r w:rsidRPr="006140E6">
              <w:rPr>
                <w:rFonts w:ascii="Calibri" w:eastAsia="Times New Roman" w:hAnsi="Calibri" w:cs="Calibri"/>
                <w:b/>
                <w:bCs/>
                <w:color w:val="000000"/>
                <w:lang w:val="en-US" w:eastAsia="en-GB"/>
              </w:rPr>
              <w:t>)</w:t>
            </w:r>
          </w:p>
        </w:tc>
        <w:tc>
          <w:tcPr>
            <w:tcW w:w="2465" w:type="dxa"/>
            <w:tcBorders>
              <w:top w:val="nil"/>
              <w:left w:val="nil"/>
              <w:bottom w:val="single" w:sz="4" w:space="0" w:color="auto"/>
              <w:right w:val="single" w:sz="4" w:space="0" w:color="auto"/>
            </w:tcBorders>
            <w:shd w:val="clear" w:color="000000" w:fill="FF0000"/>
            <w:hideMark/>
          </w:tcPr>
          <w:p w14:paraId="1F05293F" w14:textId="77D0DB30" w:rsidR="00352ED6" w:rsidRPr="006140E6" w:rsidRDefault="005B00C9"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86</w:t>
            </w:r>
            <w:r w:rsidR="00352ED6" w:rsidRPr="006140E6">
              <w:rPr>
                <w:rFonts w:ascii="Calibri" w:eastAsia="Times New Roman" w:hAnsi="Calibri" w:cs="Calibri"/>
                <w:b/>
                <w:bCs/>
                <w:color w:val="000000"/>
                <w:lang w:val="en-US" w:eastAsia="en-GB"/>
              </w:rPr>
              <w:t>%</w:t>
            </w:r>
          </w:p>
        </w:tc>
      </w:tr>
      <w:tr w:rsidR="00352ED6" w:rsidRPr="006140E6" w14:paraId="648755C1" w14:textId="77777777" w:rsidTr="00AD65EC">
        <w:trPr>
          <w:trHeight w:val="530"/>
          <w:jc w:val="center"/>
        </w:trPr>
        <w:tc>
          <w:tcPr>
            <w:tcW w:w="3220" w:type="dxa"/>
            <w:vMerge/>
            <w:tcBorders>
              <w:left w:val="single" w:sz="4" w:space="0" w:color="auto"/>
              <w:right w:val="single" w:sz="4" w:space="0" w:color="auto"/>
            </w:tcBorders>
            <w:shd w:val="clear" w:color="000000" w:fill="EBF1DE"/>
          </w:tcPr>
          <w:p w14:paraId="01B54E13" w14:textId="1A55231F" w:rsidR="00352ED6" w:rsidRPr="006140E6" w:rsidRDefault="00352ED6"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EBF1DE"/>
            <w:hideMark/>
          </w:tcPr>
          <w:p w14:paraId="2380E839" w14:textId="772EC56B" w:rsidR="00352ED6" w:rsidRPr="006140E6" w:rsidRDefault="00352ED6" w:rsidP="005B00C9">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Drop-out rate DTP1 </w:t>
            </w:r>
            <w:r w:rsidR="005B00C9" w:rsidRPr="006140E6">
              <w:rPr>
                <w:rFonts w:ascii="Calibri" w:eastAsia="Times New Roman" w:hAnsi="Calibri" w:cs="Calibri"/>
                <w:b/>
                <w:bCs/>
                <w:color w:val="000000"/>
                <w:lang w:val="en-US" w:eastAsia="en-GB"/>
              </w:rPr>
              <w:t xml:space="preserve">to </w:t>
            </w:r>
            <w:r w:rsidRPr="006140E6">
              <w:rPr>
                <w:rFonts w:ascii="Calibri" w:eastAsia="Times New Roman" w:hAnsi="Calibri" w:cs="Calibri"/>
                <w:b/>
                <w:bCs/>
                <w:color w:val="000000"/>
                <w:lang w:val="en-US" w:eastAsia="en-GB"/>
              </w:rPr>
              <w:t>DTP3 (2</w:t>
            </w:r>
            <w:r w:rsidR="005B00C9" w:rsidRPr="006140E6">
              <w:rPr>
                <w:rFonts w:ascii="Calibri" w:eastAsia="Times New Roman" w:hAnsi="Calibri" w:cs="Calibri"/>
                <w:b/>
                <w:bCs/>
                <w:color w:val="000000"/>
                <w:lang w:val="en-US" w:eastAsia="en-GB"/>
              </w:rPr>
              <w:t>015 WUENIC)</w:t>
            </w:r>
          </w:p>
        </w:tc>
        <w:tc>
          <w:tcPr>
            <w:tcW w:w="2465" w:type="dxa"/>
            <w:tcBorders>
              <w:top w:val="nil"/>
              <w:left w:val="nil"/>
              <w:bottom w:val="single" w:sz="4" w:space="0" w:color="auto"/>
              <w:right w:val="single" w:sz="4" w:space="0" w:color="auto"/>
            </w:tcBorders>
            <w:shd w:val="clear" w:color="000000" w:fill="FFC000"/>
            <w:hideMark/>
          </w:tcPr>
          <w:p w14:paraId="4FB4C21B" w14:textId="59BCC0FE" w:rsidR="00352ED6" w:rsidRPr="006140E6" w:rsidRDefault="005B00C9"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8.5</w:t>
            </w:r>
            <w:r w:rsidR="00352ED6" w:rsidRPr="006140E6">
              <w:rPr>
                <w:rFonts w:ascii="Calibri" w:eastAsia="Times New Roman" w:hAnsi="Calibri" w:cs="Calibri"/>
                <w:b/>
                <w:bCs/>
                <w:color w:val="000000"/>
                <w:lang w:val="en-US" w:eastAsia="en-GB"/>
              </w:rPr>
              <w:t>%</w:t>
            </w:r>
          </w:p>
        </w:tc>
      </w:tr>
      <w:tr w:rsidR="00352ED6" w:rsidRPr="006140E6" w14:paraId="02C08011" w14:textId="77777777" w:rsidTr="00AD65EC">
        <w:trPr>
          <w:trHeight w:val="620"/>
          <w:jc w:val="center"/>
        </w:trPr>
        <w:tc>
          <w:tcPr>
            <w:tcW w:w="3220" w:type="dxa"/>
            <w:vMerge/>
            <w:tcBorders>
              <w:left w:val="single" w:sz="4" w:space="0" w:color="auto"/>
              <w:right w:val="single" w:sz="4" w:space="0" w:color="auto"/>
            </w:tcBorders>
            <w:shd w:val="clear" w:color="000000" w:fill="EBF1DE"/>
          </w:tcPr>
          <w:p w14:paraId="36F1C60C" w14:textId="4F31205F" w:rsidR="00352ED6" w:rsidRPr="006140E6" w:rsidRDefault="00352ED6"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EBF1DE"/>
            <w:hideMark/>
          </w:tcPr>
          <w:p w14:paraId="74479AA4" w14:textId="3452D004" w:rsidR="00352ED6" w:rsidRPr="006140E6" w:rsidRDefault="00352ED6" w:rsidP="005B00C9">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Actual numbers of children </w:t>
            </w:r>
            <w:r w:rsidR="005B00C9" w:rsidRPr="006140E6">
              <w:rPr>
                <w:rFonts w:ascii="Calibri" w:eastAsia="Times New Roman" w:hAnsi="Calibri" w:cs="Calibri"/>
                <w:b/>
                <w:bCs/>
                <w:color w:val="000000"/>
                <w:lang w:val="en-US" w:eastAsia="en-GB"/>
              </w:rPr>
              <w:t>who</w:t>
            </w:r>
            <w:r w:rsidRPr="006140E6">
              <w:rPr>
                <w:rFonts w:ascii="Calibri" w:eastAsia="Times New Roman" w:hAnsi="Calibri" w:cs="Calibri"/>
                <w:b/>
                <w:bCs/>
                <w:color w:val="000000"/>
                <w:lang w:val="en-US" w:eastAsia="en-GB"/>
              </w:rPr>
              <w:t xml:space="preserve"> dropped out (201</w:t>
            </w:r>
            <w:r w:rsidR="005B00C9" w:rsidRPr="006140E6">
              <w:rPr>
                <w:rFonts w:ascii="Calibri" w:eastAsia="Times New Roman" w:hAnsi="Calibri" w:cs="Calibri"/>
                <w:b/>
                <w:bCs/>
                <w:color w:val="000000"/>
                <w:lang w:val="en-US" w:eastAsia="en-GB"/>
              </w:rPr>
              <w:t>5</w:t>
            </w:r>
            <w:r w:rsidRPr="006140E6">
              <w:rPr>
                <w:rFonts w:ascii="Calibri" w:eastAsia="Times New Roman" w:hAnsi="Calibri" w:cs="Calibri"/>
                <w:b/>
                <w:bCs/>
                <w:color w:val="000000"/>
                <w:lang w:val="en-US" w:eastAsia="en-GB"/>
              </w:rPr>
              <w:t xml:space="preserve"> WUENIC)</w:t>
            </w:r>
          </w:p>
        </w:tc>
        <w:tc>
          <w:tcPr>
            <w:tcW w:w="2465" w:type="dxa"/>
            <w:tcBorders>
              <w:top w:val="nil"/>
              <w:left w:val="nil"/>
              <w:bottom w:val="single" w:sz="4" w:space="0" w:color="auto"/>
              <w:right w:val="single" w:sz="4" w:space="0" w:color="auto"/>
            </w:tcBorders>
            <w:shd w:val="clear" w:color="000000" w:fill="FFC000"/>
            <w:hideMark/>
          </w:tcPr>
          <w:p w14:paraId="7D500AEF" w14:textId="6D6DAAF5" w:rsidR="00352ED6" w:rsidRPr="006140E6" w:rsidRDefault="00706FB3" w:rsidP="00706FB3">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242,480</w:t>
            </w:r>
          </w:p>
        </w:tc>
      </w:tr>
      <w:tr w:rsidR="00352ED6" w:rsidRPr="006140E6" w14:paraId="0C57550A" w14:textId="77777777" w:rsidTr="00AD65EC">
        <w:trPr>
          <w:trHeight w:val="900"/>
          <w:jc w:val="center"/>
        </w:trPr>
        <w:tc>
          <w:tcPr>
            <w:tcW w:w="3220" w:type="dxa"/>
            <w:vMerge/>
            <w:tcBorders>
              <w:left w:val="single" w:sz="4" w:space="0" w:color="auto"/>
              <w:right w:val="single" w:sz="4" w:space="0" w:color="auto"/>
            </w:tcBorders>
            <w:shd w:val="clear" w:color="000000" w:fill="EBF1DE"/>
          </w:tcPr>
          <w:p w14:paraId="2DFDCECA" w14:textId="2AB3BAA0" w:rsidR="00352ED6" w:rsidRPr="006140E6" w:rsidRDefault="00352ED6"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EBF1DE"/>
            <w:hideMark/>
          </w:tcPr>
          <w:p w14:paraId="7CF2E137" w14:textId="447B3AAE" w:rsidR="00352ED6" w:rsidRPr="006140E6" w:rsidRDefault="00352ED6" w:rsidP="00B56AF8">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Difference </w:t>
            </w:r>
            <w:r w:rsidR="005B00C9" w:rsidRPr="006140E6">
              <w:rPr>
                <w:rFonts w:ascii="Calibri" w:eastAsia="Times New Roman" w:hAnsi="Calibri" w:cs="Calibri"/>
                <w:b/>
                <w:bCs/>
                <w:color w:val="000000"/>
                <w:lang w:val="en-US" w:eastAsia="en-GB"/>
              </w:rPr>
              <w:t xml:space="preserve">in DPT3 coverage </w:t>
            </w:r>
            <w:r w:rsidRPr="006140E6">
              <w:rPr>
                <w:rFonts w:ascii="Calibri" w:eastAsia="Times New Roman" w:hAnsi="Calibri" w:cs="Calibri"/>
                <w:b/>
                <w:bCs/>
                <w:color w:val="000000"/>
                <w:lang w:val="en-US" w:eastAsia="en-GB"/>
              </w:rPr>
              <w:t>betwe</w:t>
            </w:r>
            <w:r w:rsidR="005B00C9" w:rsidRPr="006140E6">
              <w:rPr>
                <w:rFonts w:ascii="Calibri" w:eastAsia="Times New Roman" w:hAnsi="Calibri" w:cs="Calibri"/>
                <w:b/>
                <w:bCs/>
                <w:color w:val="000000"/>
                <w:lang w:val="en-US" w:eastAsia="en-GB"/>
              </w:rPr>
              <w:t xml:space="preserve">en poorest and richest quintile </w:t>
            </w:r>
            <w:r w:rsidRPr="006140E6">
              <w:rPr>
                <w:rFonts w:ascii="Calibri" w:eastAsia="Times New Roman" w:hAnsi="Calibri" w:cs="Calibri"/>
                <w:b/>
                <w:bCs/>
                <w:color w:val="000000"/>
                <w:lang w:val="en-US" w:eastAsia="en-GB"/>
              </w:rPr>
              <w:t>(201</w:t>
            </w:r>
            <w:r w:rsidR="00B56AF8">
              <w:rPr>
                <w:rFonts w:ascii="Calibri" w:eastAsia="Times New Roman" w:hAnsi="Calibri" w:cs="Calibri"/>
                <w:b/>
                <w:bCs/>
                <w:color w:val="000000"/>
                <w:lang w:val="en-US" w:eastAsia="en-GB"/>
              </w:rPr>
              <w:t>0</w:t>
            </w:r>
            <w:r w:rsidRPr="006140E6">
              <w:rPr>
                <w:rFonts w:ascii="Calibri" w:eastAsia="Times New Roman" w:hAnsi="Calibri" w:cs="Calibri"/>
                <w:b/>
                <w:bCs/>
                <w:color w:val="000000"/>
                <w:lang w:val="en-US" w:eastAsia="en-GB"/>
              </w:rPr>
              <w:t xml:space="preserve"> data</w:t>
            </w:r>
            <w:r w:rsidR="00177ED5">
              <w:rPr>
                <w:rFonts w:ascii="Calibri" w:eastAsia="Times New Roman" w:hAnsi="Calibri" w:cs="Calibri"/>
                <w:b/>
                <w:bCs/>
                <w:color w:val="000000"/>
                <w:lang w:val="en-US" w:eastAsia="en-GB"/>
              </w:rPr>
              <w:t xml:space="preserve"> from WHO Health Equity Monitor Database</w:t>
            </w:r>
            <w:r w:rsidRPr="006140E6">
              <w:rPr>
                <w:rFonts w:ascii="Calibri" w:eastAsia="Times New Roman" w:hAnsi="Calibri" w:cs="Calibri"/>
                <w:b/>
                <w:bCs/>
                <w:color w:val="000000"/>
                <w:lang w:val="en-US" w:eastAsia="en-GB"/>
              </w:rPr>
              <w:t>)</w:t>
            </w:r>
          </w:p>
        </w:tc>
        <w:tc>
          <w:tcPr>
            <w:tcW w:w="2465" w:type="dxa"/>
            <w:tcBorders>
              <w:top w:val="nil"/>
              <w:left w:val="nil"/>
              <w:bottom w:val="single" w:sz="4" w:space="0" w:color="auto"/>
              <w:right w:val="single" w:sz="4" w:space="0" w:color="auto"/>
            </w:tcBorders>
            <w:shd w:val="clear" w:color="000000" w:fill="FF0000"/>
            <w:hideMark/>
          </w:tcPr>
          <w:p w14:paraId="09BBFFF7" w14:textId="1275B842" w:rsidR="00352ED6" w:rsidRPr="006140E6" w:rsidRDefault="00352ED6"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37.5</w:t>
            </w:r>
            <w:r w:rsidR="005B00C9" w:rsidRPr="006140E6">
              <w:rPr>
                <w:rFonts w:ascii="Calibri" w:eastAsia="Times New Roman" w:hAnsi="Calibri" w:cs="Calibri"/>
                <w:b/>
                <w:bCs/>
                <w:color w:val="000000"/>
                <w:lang w:val="en-US" w:eastAsia="en-GB"/>
              </w:rPr>
              <w:t xml:space="preserve"> percentage points</w:t>
            </w:r>
          </w:p>
        </w:tc>
      </w:tr>
      <w:tr w:rsidR="00352ED6" w:rsidRPr="006140E6" w14:paraId="2E375310" w14:textId="77777777" w:rsidTr="00AD65EC">
        <w:trPr>
          <w:trHeight w:val="512"/>
          <w:jc w:val="center"/>
        </w:trPr>
        <w:tc>
          <w:tcPr>
            <w:tcW w:w="3220" w:type="dxa"/>
            <w:vMerge/>
            <w:tcBorders>
              <w:left w:val="single" w:sz="4" w:space="0" w:color="auto"/>
              <w:bottom w:val="single" w:sz="4" w:space="0" w:color="auto"/>
              <w:right w:val="single" w:sz="4" w:space="0" w:color="auto"/>
            </w:tcBorders>
            <w:shd w:val="clear" w:color="000000" w:fill="EBF1DE"/>
          </w:tcPr>
          <w:p w14:paraId="0D661DDA" w14:textId="4C0B44FF" w:rsidR="00352ED6" w:rsidRPr="006140E6" w:rsidRDefault="00352ED6" w:rsidP="00352ED6">
            <w:pPr>
              <w:spacing w:after="0" w:line="240" w:lineRule="auto"/>
              <w:rPr>
                <w:rFonts w:ascii="Calibri" w:eastAsia="Times New Roman" w:hAnsi="Calibri" w:cs="Calibri"/>
                <w:b/>
                <w:bCs/>
                <w:color w:val="000000"/>
                <w:lang w:val="en-US" w:eastAsia="en-GB"/>
              </w:rPr>
            </w:pPr>
          </w:p>
        </w:tc>
        <w:tc>
          <w:tcPr>
            <w:tcW w:w="3767" w:type="dxa"/>
            <w:tcBorders>
              <w:top w:val="nil"/>
              <w:left w:val="nil"/>
              <w:bottom w:val="single" w:sz="4" w:space="0" w:color="auto"/>
              <w:right w:val="single" w:sz="4" w:space="0" w:color="auto"/>
            </w:tcBorders>
            <w:shd w:val="clear" w:color="000000" w:fill="EBF1DE"/>
            <w:hideMark/>
          </w:tcPr>
          <w:p w14:paraId="2193F709" w14:textId="6DC37168" w:rsidR="00352ED6" w:rsidRPr="006140E6" w:rsidRDefault="005B00C9" w:rsidP="005B00C9">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of di</w:t>
            </w:r>
            <w:r w:rsidR="00352ED6" w:rsidRPr="006140E6">
              <w:rPr>
                <w:rFonts w:ascii="Calibri" w:eastAsia="Times New Roman" w:hAnsi="Calibri" w:cs="Calibri"/>
                <w:b/>
                <w:bCs/>
                <w:color w:val="000000"/>
                <w:lang w:val="en-US" w:eastAsia="en-GB"/>
              </w:rPr>
              <w:t>strict</w:t>
            </w:r>
            <w:r w:rsidRPr="006140E6">
              <w:rPr>
                <w:rFonts w:ascii="Calibri" w:eastAsia="Times New Roman" w:hAnsi="Calibri" w:cs="Calibri"/>
                <w:b/>
                <w:bCs/>
                <w:color w:val="000000"/>
                <w:lang w:val="en-US" w:eastAsia="en-GB"/>
              </w:rPr>
              <w:t>s achieving</w:t>
            </w:r>
            <w:r w:rsidR="00352ED6" w:rsidRPr="006140E6">
              <w:rPr>
                <w:rFonts w:ascii="Calibri" w:eastAsia="Times New Roman" w:hAnsi="Calibri" w:cs="Calibri"/>
                <w:b/>
                <w:bCs/>
                <w:color w:val="000000"/>
                <w:lang w:val="en-US" w:eastAsia="en-GB"/>
              </w:rPr>
              <w:t xml:space="preserve"> </w:t>
            </w:r>
            <w:r w:rsidRPr="006140E6">
              <w:rPr>
                <w:rFonts w:ascii="Calibri" w:eastAsia="Times New Roman" w:hAnsi="Calibri" w:cs="Calibri"/>
                <w:b/>
                <w:bCs/>
                <w:color w:val="000000"/>
                <w:lang w:val="en-US" w:eastAsia="en-GB"/>
              </w:rPr>
              <w:t>≥80% coverage for DPT3 (</w:t>
            </w:r>
            <w:r w:rsidR="00352ED6" w:rsidRPr="006140E6">
              <w:rPr>
                <w:rFonts w:ascii="Calibri" w:eastAsia="Times New Roman" w:hAnsi="Calibri" w:cs="Calibri"/>
                <w:b/>
                <w:bCs/>
                <w:color w:val="000000"/>
                <w:lang w:val="en-US" w:eastAsia="en-GB"/>
              </w:rPr>
              <w:t>2015 JRF</w:t>
            </w:r>
            <w:r w:rsidRPr="006140E6">
              <w:rPr>
                <w:rFonts w:ascii="Calibri" w:eastAsia="Times New Roman" w:hAnsi="Calibri" w:cs="Calibri"/>
                <w:b/>
                <w:bCs/>
                <w:color w:val="000000"/>
                <w:lang w:val="en-US" w:eastAsia="en-GB"/>
              </w:rPr>
              <w:t>)</w:t>
            </w:r>
          </w:p>
        </w:tc>
        <w:tc>
          <w:tcPr>
            <w:tcW w:w="2465" w:type="dxa"/>
            <w:tcBorders>
              <w:top w:val="nil"/>
              <w:left w:val="nil"/>
              <w:bottom w:val="single" w:sz="4" w:space="0" w:color="auto"/>
              <w:right w:val="single" w:sz="4" w:space="0" w:color="auto"/>
            </w:tcBorders>
            <w:shd w:val="clear" w:color="000000" w:fill="FF0000"/>
            <w:hideMark/>
          </w:tcPr>
          <w:p w14:paraId="46971CC4" w14:textId="46870C16" w:rsidR="00352ED6" w:rsidRPr="006140E6" w:rsidRDefault="00B56AF8" w:rsidP="00B56AF8">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74</w:t>
            </w:r>
            <w:r w:rsidR="00352ED6" w:rsidRPr="006140E6">
              <w:rPr>
                <w:rFonts w:ascii="Calibri" w:eastAsia="Times New Roman" w:hAnsi="Calibri" w:cs="Calibri"/>
                <w:b/>
                <w:bCs/>
                <w:color w:val="000000"/>
                <w:lang w:val="en-US" w:eastAsia="en-GB"/>
              </w:rPr>
              <w:t>%</w:t>
            </w:r>
          </w:p>
        </w:tc>
      </w:tr>
      <w:tr w:rsidR="004331C0" w:rsidRPr="006140E6" w14:paraId="2677BED7" w14:textId="77777777" w:rsidTr="00AD65EC">
        <w:trPr>
          <w:trHeight w:val="1862"/>
          <w:jc w:val="center"/>
        </w:trPr>
        <w:tc>
          <w:tcPr>
            <w:tcW w:w="3220" w:type="dxa"/>
            <w:tcBorders>
              <w:top w:val="nil"/>
              <w:left w:val="single" w:sz="4" w:space="0" w:color="auto"/>
              <w:bottom w:val="single" w:sz="4" w:space="0" w:color="auto"/>
              <w:right w:val="single" w:sz="4" w:space="0" w:color="auto"/>
            </w:tcBorders>
            <w:shd w:val="clear" w:color="000000" w:fill="EBF1DE"/>
            <w:hideMark/>
          </w:tcPr>
          <w:p w14:paraId="1B7A47B5" w14:textId="464F6453" w:rsidR="004331C0" w:rsidRPr="006140E6" w:rsidRDefault="004331C0" w:rsidP="00E4138E">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6. Reach 90%</w:t>
            </w:r>
            <w:r w:rsidR="00E4138E">
              <w:rPr>
                <w:rFonts w:ascii="Calibri" w:eastAsia="Times New Roman" w:hAnsi="Calibri" w:cs="Calibri"/>
                <w:b/>
                <w:bCs/>
                <w:color w:val="000000"/>
                <w:lang w:val="en-US" w:eastAsia="en-GB"/>
              </w:rPr>
              <w:t xml:space="preserve"> national coverage</w:t>
            </w:r>
            <w:r w:rsidRPr="006140E6">
              <w:rPr>
                <w:rFonts w:ascii="Calibri" w:eastAsia="Times New Roman" w:hAnsi="Calibri" w:cs="Calibri"/>
                <w:b/>
                <w:bCs/>
                <w:color w:val="000000"/>
                <w:lang w:val="en-US" w:eastAsia="en-GB"/>
              </w:rPr>
              <w:t xml:space="preserve"> and 80% coverage </w:t>
            </w:r>
            <w:r w:rsidR="00E4138E">
              <w:rPr>
                <w:rFonts w:ascii="Calibri" w:eastAsia="Times New Roman" w:hAnsi="Calibri" w:cs="Calibri"/>
                <w:b/>
                <w:bCs/>
                <w:color w:val="000000"/>
                <w:lang w:val="en-US" w:eastAsia="en-GB"/>
              </w:rPr>
              <w:t xml:space="preserve">in every district </w:t>
            </w:r>
            <w:r w:rsidRPr="006140E6">
              <w:rPr>
                <w:rFonts w:ascii="Calibri" w:eastAsia="Times New Roman" w:hAnsi="Calibri" w:cs="Calibri"/>
                <w:b/>
                <w:bCs/>
                <w:color w:val="000000"/>
                <w:lang w:val="en-US" w:eastAsia="en-GB"/>
              </w:rPr>
              <w:t xml:space="preserve">with all vaccines in </w:t>
            </w:r>
            <w:r w:rsidR="00E4138E">
              <w:rPr>
                <w:rFonts w:ascii="Calibri" w:eastAsia="Times New Roman" w:hAnsi="Calibri" w:cs="Calibri"/>
                <w:b/>
                <w:bCs/>
                <w:color w:val="000000"/>
                <w:lang w:val="en-US" w:eastAsia="en-GB"/>
              </w:rPr>
              <w:t xml:space="preserve">the </w:t>
            </w:r>
            <w:r w:rsidRPr="006140E6">
              <w:rPr>
                <w:rFonts w:ascii="Calibri" w:eastAsia="Times New Roman" w:hAnsi="Calibri" w:cs="Calibri"/>
                <w:b/>
                <w:bCs/>
                <w:color w:val="000000"/>
                <w:lang w:val="en-US" w:eastAsia="en-GB"/>
              </w:rPr>
              <w:t>national immunization program</w:t>
            </w:r>
          </w:p>
        </w:tc>
        <w:tc>
          <w:tcPr>
            <w:tcW w:w="3767" w:type="dxa"/>
            <w:tcBorders>
              <w:top w:val="nil"/>
              <w:left w:val="nil"/>
              <w:bottom w:val="single" w:sz="4" w:space="0" w:color="auto"/>
              <w:right w:val="single" w:sz="4" w:space="0" w:color="auto"/>
            </w:tcBorders>
            <w:shd w:val="clear" w:color="000000" w:fill="EBF1DE"/>
            <w:hideMark/>
          </w:tcPr>
          <w:p w14:paraId="3D1DBBC0" w14:textId="23E13D8A" w:rsidR="004331C0" w:rsidRPr="006140E6" w:rsidRDefault="005B00C9" w:rsidP="005B00C9">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National c</w:t>
            </w:r>
            <w:r w:rsidR="004331C0" w:rsidRPr="006140E6">
              <w:rPr>
                <w:rFonts w:ascii="Calibri" w:eastAsia="Times New Roman" w:hAnsi="Calibri" w:cs="Calibri"/>
                <w:b/>
                <w:bCs/>
                <w:color w:val="000000"/>
                <w:lang w:val="en-US" w:eastAsia="en-GB"/>
              </w:rPr>
              <w:t xml:space="preserve">overage </w:t>
            </w:r>
            <w:r w:rsidRPr="006140E6">
              <w:rPr>
                <w:rFonts w:ascii="Calibri" w:eastAsia="Times New Roman" w:hAnsi="Calibri" w:cs="Calibri"/>
                <w:b/>
                <w:bCs/>
                <w:color w:val="000000"/>
                <w:lang w:val="en-US" w:eastAsia="en-GB"/>
              </w:rPr>
              <w:t>(%)</w:t>
            </w:r>
            <w:r w:rsidR="004331C0" w:rsidRPr="006140E6">
              <w:rPr>
                <w:rFonts w:ascii="Calibri" w:eastAsia="Times New Roman" w:hAnsi="Calibri" w:cs="Calibri"/>
                <w:b/>
                <w:bCs/>
                <w:color w:val="000000"/>
                <w:lang w:val="en-US" w:eastAsia="en-GB"/>
              </w:rPr>
              <w:t xml:space="preserve"> (201</w:t>
            </w:r>
            <w:r w:rsidRPr="006140E6">
              <w:rPr>
                <w:rFonts w:ascii="Calibri" w:eastAsia="Times New Roman" w:hAnsi="Calibri" w:cs="Calibri"/>
                <w:b/>
                <w:bCs/>
                <w:color w:val="000000"/>
                <w:lang w:val="en-US" w:eastAsia="en-GB"/>
              </w:rPr>
              <w:t>5</w:t>
            </w:r>
            <w:r w:rsidR="004331C0" w:rsidRPr="006140E6">
              <w:rPr>
                <w:rFonts w:ascii="Calibri" w:eastAsia="Times New Roman" w:hAnsi="Calibri" w:cs="Calibri"/>
                <w:b/>
                <w:bCs/>
                <w:color w:val="000000"/>
                <w:lang w:val="en-US" w:eastAsia="en-GB"/>
              </w:rPr>
              <w:t xml:space="preserve"> WUENIC)</w:t>
            </w:r>
          </w:p>
        </w:tc>
        <w:tc>
          <w:tcPr>
            <w:tcW w:w="2465" w:type="dxa"/>
            <w:tcBorders>
              <w:top w:val="nil"/>
              <w:left w:val="nil"/>
              <w:bottom w:val="single" w:sz="4" w:space="0" w:color="auto"/>
              <w:right w:val="single" w:sz="4" w:space="0" w:color="auto"/>
            </w:tcBorders>
            <w:shd w:val="clear" w:color="000000" w:fill="FF0000"/>
            <w:hideMark/>
          </w:tcPr>
          <w:p w14:paraId="1097B141" w14:textId="22E5F97D" w:rsidR="004331C0" w:rsidRPr="006140E6" w:rsidRDefault="004331C0" w:rsidP="005B00C9">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BCG</w:t>
            </w:r>
            <w:r w:rsidR="005B00C9" w:rsidRPr="006140E6">
              <w:rPr>
                <w:rFonts w:ascii="Calibri" w:eastAsia="Times New Roman" w:hAnsi="Calibri" w:cs="Calibri"/>
                <w:b/>
                <w:bCs/>
                <w:color w:val="000000"/>
                <w:lang w:val="en-US" w:eastAsia="en-GB"/>
              </w:rPr>
              <w:t>:</w:t>
            </w:r>
            <w:r w:rsidRPr="006140E6">
              <w:rPr>
                <w:rFonts w:ascii="Calibri" w:eastAsia="Times New Roman" w:hAnsi="Calibri" w:cs="Calibri"/>
                <w:b/>
                <w:bCs/>
                <w:color w:val="000000"/>
                <w:lang w:val="en-US" w:eastAsia="en-GB"/>
              </w:rPr>
              <w:t xml:space="preserve"> 75</w:t>
            </w:r>
            <w:r w:rsidRPr="006140E6">
              <w:rPr>
                <w:rFonts w:ascii="Calibri" w:eastAsia="Times New Roman" w:hAnsi="Calibri" w:cs="Calibri"/>
                <w:b/>
                <w:bCs/>
                <w:color w:val="000000"/>
                <w:lang w:val="en-US" w:eastAsia="en-GB"/>
              </w:rPr>
              <w:br/>
            </w:r>
            <w:r w:rsidR="005B00C9" w:rsidRPr="006140E6">
              <w:rPr>
                <w:rFonts w:ascii="Calibri" w:eastAsia="Times New Roman" w:hAnsi="Calibri" w:cs="Calibri"/>
                <w:b/>
                <w:bCs/>
                <w:color w:val="000000"/>
                <w:lang w:val="en-US" w:eastAsia="en-GB"/>
              </w:rPr>
              <w:t>Penta</w:t>
            </w:r>
            <w:r w:rsidRPr="006140E6">
              <w:rPr>
                <w:rFonts w:ascii="Calibri" w:eastAsia="Times New Roman" w:hAnsi="Calibri" w:cs="Calibri"/>
                <w:b/>
                <w:bCs/>
                <w:color w:val="000000"/>
                <w:lang w:val="en-US" w:eastAsia="en-GB"/>
              </w:rPr>
              <w:t>1</w:t>
            </w:r>
            <w:r w:rsidR="005B00C9" w:rsidRPr="006140E6">
              <w:rPr>
                <w:rFonts w:ascii="Calibri" w:eastAsia="Times New Roman" w:hAnsi="Calibri" w:cs="Calibri"/>
                <w:b/>
                <w:bCs/>
                <w:color w:val="000000"/>
                <w:lang w:val="en-US" w:eastAsia="en-GB"/>
              </w:rPr>
              <w:t>:94</w:t>
            </w:r>
            <w:r w:rsidRPr="006140E6">
              <w:rPr>
                <w:rFonts w:ascii="Calibri" w:eastAsia="Times New Roman" w:hAnsi="Calibri" w:cs="Calibri"/>
                <w:b/>
                <w:bCs/>
                <w:color w:val="000000"/>
                <w:lang w:val="en-US" w:eastAsia="en-GB"/>
              </w:rPr>
              <w:br/>
            </w:r>
            <w:r w:rsidR="005B00C9" w:rsidRPr="006140E6">
              <w:rPr>
                <w:rFonts w:ascii="Calibri" w:eastAsia="Times New Roman" w:hAnsi="Calibri" w:cs="Calibri"/>
                <w:b/>
                <w:bCs/>
                <w:color w:val="000000"/>
                <w:lang w:val="en-US" w:eastAsia="en-GB"/>
              </w:rPr>
              <w:t>Penta3:</w:t>
            </w:r>
            <w:r w:rsidRPr="006140E6">
              <w:rPr>
                <w:rFonts w:ascii="Calibri" w:eastAsia="Times New Roman" w:hAnsi="Calibri" w:cs="Calibri"/>
                <w:b/>
                <w:bCs/>
                <w:color w:val="000000"/>
                <w:lang w:val="en-US" w:eastAsia="en-GB"/>
              </w:rPr>
              <w:t xml:space="preserve"> </w:t>
            </w:r>
            <w:r w:rsidR="005B00C9" w:rsidRPr="006140E6">
              <w:rPr>
                <w:rFonts w:ascii="Calibri" w:eastAsia="Times New Roman" w:hAnsi="Calibri" w:cs="Calibri"/>
                <w:b/>
                <w:bCs/>
                <w:color w:val="000000"/>
                <w:lang w:val="en-US" w:eastAsia="en-GB"/>
              </w:rPr>
              <w:t>86</w:t>
            </w:r>
            <w:r w:rsidRPr="006140E6">
              <w:rPr>
                <w:rFonts w:ascii="Calibri" w:eastAsia="Times New Roman" w:hAnsi="Calibri" w:cs="Calibri"/>
                <w:b/>
                <w:bCs/>
                <w:color w:val="000000"/>
                <w:lang w:val="en-US" w:eastAsia="en-GB"/>
              </w:rPr>
              <w:br/>
              <w:t>MCV1</w:t>
            </w:r>
            <w:r w:rsidR="005B00C9" w:rsidRPr="006140E6">
              <w:rPr>
                <w:rFonts w:ascii="Calibri" w:eastAsia="Times New Roman" w:hAnsi="Calibri" w:cs="Calibri"/>
                <w:b/>
                <w:bCs/>
                <w:color w:val="000000"/>
                <w:lang w:val="en-US" w:eastAsia="en-GB"/>
              </w:rPr>
              <w:t>:</w:t>
            </w:r>
            <w:r w:rsidRPr="006140E6">
              <w:rPr>
                <w:rFonts w:ascii="Calibri" w:eastAsia="Times New Roman" w:hAnsi="Calibri" w:cs="Calibri"/>
                <w:b/>
                <w:bCs/>
                <w:color w:val="000000"/>
                <w:lang w:val="en-US" w:eastAsia="en-GB"/>
              </w:rPr>
              <w:t xml:space="preserve"> 7</w:t>
            </w:r>
            <w:r w:rsidR="005B00C9" w:rsidRPr="006140E6">
              <w:rPr>
                <w:rFonts w:ascii="Calibri" w:eastAsia="Times New Roman" w:hAnsi="Calibri" w:cs="Calibri"/>
                <w:b/>
                <w:bCs/>
                <w:color w:val="000000"/>
                <w:lang w:val="en-US" w:eastAsia="en-GB"/>
              </w:rPr>
              <w:t>8</w:t>
            </w:r>
            <w:r w:rsidRPr="006140E6">
              <w:rPr>
                <w:rFonts w:ascii="Calibri" w:eastAsia="Times New Roman" w:hAnsi="Calibri" w:cs="Calibri"/>
                <w:b/>
                <w:bCs/>
                <w:color w:val="000000"/>
                <w:lang w:val="en-US" w:eastAsia="en-GB"/>
              </w:rPr>
              <w:br/>
              <w:t>PCV3</w:t>
            </w:r>
            <w:r w:rsidR="005B00C9" w:rsidRPr="006140E6">
              <w:rPr>
                <w:rFonts w:ascii="Calibri" w:eastAsia="Times New Roman" w:hAnsi="Calibri" w:cs="Calibri"/>
                <w:b/>
                <w:bCs/>
                <w:color w:val="000000"/>
                <w:lang w:val="en-US" w:eastAsia="en-GB"/>
              </w:rPr>
              <w:t>:</w:t>
            </w:r>
            <w:r w:rsidRPr="006140E6">
              <w:rPr>
                <w:rFonts w:ascii="Calibri" w:eastAsia="Times New Roman" w:hAnsi="Calibri" w:cs="Calibri"/>
                <w:b/>
                <w:bCs/>
                <w:color w:val="000000"/>
                <w:lang w:val="en-US" w:eastAsia="en-GB"/>
              </w:rPr>
              <w:t xml:space="preserve"> </w:t>
            </w:r>
            <w:r w:rsidR="005B00C9" w:rsidRPr="006140E6">
              <w:rPr>
                <w:rFonts w:ascii="Calibri" w:eastAsia="Times New Roman" w:hAnsi="Calibri" w:cs="Calibri"/>
                <w:b/>
                <w:bCs/>
                <w:color w:val="000000"/>
                <w:lang w:val="en-US" w:eastAsia="en-GB"/>
              </w:rPr>
              <w:t>85</w:t>
            </w:r>
            <w:r w:rsidRPr="006140E6">
              <w:rPr>
                <w:rFonts w:ascii="Calibri" w:eastAsia="Times New Roman" w:hAnsi="Calibri" w:cs="Calibri"/>
                <w:b/>
                <w:bCs/>
                <w:color w:val="000000"/>
                <w:lang w:val="en-US" w:eastAsia="en-GB"/>
              </w:rPr>
              <w:br/>
            </w:r>
            <w:r w:rsidRPr="006140E6">
              <w:rPr>
                <w:rFonts w:ascii="Calibri" w:eastAsia="Times New Roman" w:hAnsi="Calibri" w:cs="Calibri"/>
                <w:b/>
                <w:bCs/>
                <w:lang w:val="en-US" w:eastAsia="en-GB"/>
              </w:rPr>
              <w:t>Pol</w:t>
            </w:r>
            <w:r w:rsidR="005B00C9" w:rsidRPr="006140E6">
              <w:rPr>
                <w:rFonts w:ascii="Calibri" w:eastAsia="Times New Roman" w:hAnsi="Calibri" w:cs="Calibri"/>
                <w:b/>
                <w:bCs/>
                <w:lang w:val="en-US" w:eastAsia="en-GB"/>
              </w:rPr>
              <w:t>io</w:t>
            </w:r>
            <w:r w:rsidRPr="006140E6">
              <w:rPr>
                <w:rFonts w:ascii="Calibri" w:eastAsia="Times New Roman" w:hAnsi="Calibri" w:cs="Calibri"/>
                <w:b/>
                <w:bCs/>
                <w:lang w:val="en-US" w:eastAsia="en-GB"/>
              </w:rPr>
              <w:t>3</w:t>
            </w:r>
            <w:r w:rsidR="00E4138E">
              <w:rPr>
                <w:rFonts w:ascii="Calibri" w:eastAsia="Times New Roman" w:hAnsi="Calibri" w:cs="Calibri"/>
                <w:b/>
                <w:bCs/>
                <w:lang w:val="en-US" w:eastAsia="en-GB"/>
              </w:rPr>
              <w:t>:</w:t>
            </w:r>
            <w:r w:rsidRPr="006140E6">
              <w:rPr>
                <w:rFonts w:ascii="Calibri" w:eastAsia="Times New Roman" w:hAnsi="Calibri" w:cs="Calibri"/>
                <w:b/>
                <w:bCs/>
                <w:lang w:val="en-US" w:eastAsia="en-GB"/>
              </w:rPr>
              <w:t xml:space="preserve"> </w:t>
            </w:r>
            <w:r w:rsidR="005B00C9" w:rsidRPr="006140E6">
              <w:rPr>
                <w:rFonts w:ascii="Calibri" w:eastAsia="Times New Roman" w:hAnsi="Calibri" w:cs="Calibri"/>
                <w:b/>
                <w:bCs/>
                <w:lang w:val="en-US" w:eastAsia="en-GB"/>
              </w:rPr>
              <w:t>85</w:t>
            </w:r>
            <w:r w:rsidR="005B00C9" w:rsidRPr="006140E6">
              <w:rPr>
                <w:rFonts w:ascii="Calibri" w:eastAsia="Times New Roman" w:hAnsi="Calibri" w:cs="Calibri"/>
                <w:b/>
                <w:bCs/>
                <w:color w:val="000000"/>
                <w:lang w:val="en-US" w:eastAsia="en-GB"/>
              </w:rPr>
              <w:br/>
              <w:t>Rota</w:t>
            </w:r>
            <w:r w:rsidR="00E4138E">
              <w:rPr>
                <w:rFonts w:ascii="Calibri" w:eastAsia="Times New Roman" w:hAnsi="Calibri" w:cs="Calibri"/>
                <w:b/>
                <w:bCs/>
                <w:color w:val="000000"/>
                <w:lang w:val="en-US" w:eastAsia="en-GB"/>
              </w:rPr>
              <w:t>virus:</w:t>
            </w:r>
            <w:r w:rsidR="005B00C9" w:rsidRPr="006140E6">
              <w:rPr>
                <w:rFonts w:ascii="Calibri" w:eastAsia="Times New Roman" w:hAnsi="Calibri" w:cs="Calibri"/>
                <w:b/>
                <w:bCs/>
                <w:color w:val="000000"/>
                <w:lang w:val="en-US" w:eastAsia="en-GB"/>
              </w:rPr>
              <w:t xml:space="preserve"> 8</w:t>
            </w:r>
            <w:r w:rsidRPr="006140E6">
              <w:rPr>
                <w:rFonts w:ascii="Calibri" w:eastAsia="Times New Roman" w:hAnsi="Calibri" w:cs="Calibri"/>
                <w:b/>
                <w:bCs/>
                <w:color w:val="000000"/>
                <w:lang w:val="en-US" w:eastAsia="en-GB"/>
              </w:rPr>
              <w:t>3</w:t>
            </w:r>
          </w:p>
        </w:tc>
      </w:tr>
      <w:tr w:rsidR="004331C0" w:rsidRPr="006140E6" w14:paraId="1E889F87" w14:textId="77777777" w:rsidTr="00AD65EC">
        <w:trPr>
          <w:trHeight w:val="900"/>
          <w:jc w:val="center"/>
        </w:trPr>
        <w:tc>
          <w:tcPr>
            <w:tcW w:w="3220" w:type="dxa"/>
            <w:tcBorders>
              <w:top w:val="nil"/>
              <w:left w:val="single" w:sz="4" w:space="0" w:color="auto"/>
              <w:bottom w:val="single" w:sz="4" w:space="0" w:color="auto"/>
              <w:right w:val="single" w:sz="4" w:space="0" w:color="auto"/>
            </w:tcBorders>
            <w:shd w:val="clear" w:color="000000" w:fill="E4DFEC"/>
            <w:hideMark/>
          </w:tcPr>
          <w:p w14:paraId="5AE108BC" w14:textId="77777777" w:rsidR="004331C0" w:rsidRPr="006140E6" w:rsidRDefault="004331C0"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lastRenderedPageBreak/>
              <w:t>7. Introduction of new vaccines</w:t>
            </w:r>
          </w:p>
        </w:tc>
        <w:tc>
          <w:tcPr>
            <w:tcW w:w="3767" w:type="dxa"/>
            <w:tcBorders>
              <w:top w:val="nil"/>
              <w:left w:val="nil"/>
              <w:bottom w:val="single" w:sz="4" w:space="0" w:color="auto"/>
              <w:right w:val="single" w:sz="4" w:space="0" w:color="auto"/>
            </w:tcBorders>
            <w:shd w:val="clear" w:color="000000" w:fill="E4DFEC"/>
            <w:hideMark/>
          </w:tcPr>
          <w:p w14:paraId="0618EAD8" w14:textId="1A8B0661" w:rsidR="004331C0" w:rsidRPr="006140E6" w:rsidRDefault="005B00C9"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New v</w:t>
            </w:r>
            <w:r w:rsidR="004331C0" w:rsidRPr="006140E6">
              <w:rPr>
                <w:rFonts w:ascii="Calibri" w:eastAsia="Times New Roman" w:hAnsi="Calibri" w:cs="Calibri"/>
                <w:b/>
                <w:bCs/>
                <w:color w:val="000000"/>
                <w:lang w:val="en-US" w:eastAsia="en-GB"/>
              </w:rPr>
              <w:t>accines introduced</w:t>
            </w:r>
          </w:p>
        </w:tc>
        <w:tc>
          <w:tcPr>
            <w:tcW w:w="2465" w:type="dxa"/>
            <w:tcBorders>
              <w:top w:val="nil"/>
              <w:left w:val="nil"/>
              <w:bottom w:val="single" w:sz="4" w:space="0" w:color="auto"/>
              <w:right w:val="single" w:sz="4" w:space="0" w:color="auto"/>
            </w:tcBorders>
            <w:shd w:val="clear" w:color="000000" w:fill="00B050"/>
            <w:hideMark/>
          </w:tcPr>
          <w:p w14:paraId="1CB9CA0A" w14:textId="1283CFE9" w:rsidR="004331C0" w:rsidRPr="006140E6" w:rsidRDefault="00AD65EC" w:rsidP="00AD65EC">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PCV in 2011; r</w:t>
            </w:r>
            <w:r w:rsidR="004331C0" w:rsidRPr="006140E6">
              <w:rPr>
                <w:rFonts w:ascii="Calibri" w:eastAsia="Times New Roman" w:hAnsi="Calibri" w:cs="Calibri"/>
                <w:b/>
                <w:bCs/>
                <w:color w:val="000000"/>
                <w:lang w:val="en-US" w:eastAsia="en-GB"/>
              </w:rPr>
              <w:t>ota</w:t>
            </w:r>
            <w:r w:rsidRPr="006140E6">
              <w:rPr>
                <w:rFonts w:ascii="Calibri" w:eastAsia="Times New Roman" w:hAnsi="Calibri" w:cs="Calibri"/>
                <w:b/>
                <w:bCs/>
                <w:color w:val="000000"/>
                <w:lang w:val="en-US" w:eastAsia="en-GB"/>
              </w:rPr>
              <w:t>virus</w:t>
            </w:r>
            <w:r w:rsidR="004331C0" w:rsidRPr="006140E6">
              <w:rPr>
                <w:rFonts w:ascii="Calibri" w:eastAsia="Times New Roman" w:hAnsi="Calibri" w:cs="Calibri"/>
                <w:b/>
                <w:bCs/>
                <w:color w:val="000000"/>
                <w:lang w:val="en-US" w:eastAsia="en-GB"/>
              </w:rPr>
              <w:t xml:space="preserve"> in 2013; </w:t>
            </w:r>
            <w:r w:rsidRPr="006140E6">
              <w:rPr>
                <w:rFonts w:ascii="Calibri" w:eastAsia="Times New Roman" w:hAnsi="Calibri" w:cs="Calibri"/>
                <w:b/>
                <w:bCs/>
                <w:color w:val="000000"/>
                <w:lang w:val="en-US" w:eastAsia="en-GB"/>
              </w:rPr>
              <w:t xml:space="preserve">MenA SIAs (2013-15); </w:t>
            </w:r>
            <w:r w:rsidR="00E4138E">
              <w:rPr>
                <w:rFonts w:ascii="Calibri" w:eastAsia="Times New Roman" w:hAnsi="Calibri" w:cs="Calibri"/>
                <w:b/>
                <w:bCs/>
                <w:color w:val="000000"/>
                <w:lang w:val="en-US" w:eastAsia="en-GB"/>
              </w:rPr>
              <w:t xml:space="preserve">IPV and </w:t>
            </w:r>
            <w:r w:rsidRPr="006140E6">
              <w:rPr>
                <w:rFonts w:ascii="Calibri" w:eastAsia="Times New Roman" w:hAnsi="Calibri" w:cs="Calibri"/>
                <w:b/>
                <w:bCs/>
                <w:color w:val="000000"/>
                <w:lang w:val="en-US" w:eastAsia="en-GB"/>
              </w:rPr>
              <w:t>HPV d</w:t>
            </w:r>
            <w:r w:rsidR="004331C0" w:rsidRPr="006140E6">
              <w:rPr>
                <w:rFonts w:ascii="Calibri" w:eastAsia="Times New Roman" w:hAnsi="Calibri" w:cs="Calibri"/>
                <w:b/>
                <w:bCs/>
                <w:color w:val="000000"/>
                <w:lang w:val="en-US" w:eastAsia="en-GB"/>
              </w:rPr>
              <w:t>emo</w:t>
            </w:r>
            <w:r w:rsidRPr="006140E6">
              <w:rPr>
                <w:rFonts w:ascii="Calibri" w:eastAsia="Times New Roman" w:hAnsi="Calibri" w:cs="Calibri"/>
                <w:b/>
                <w:bCs/>
                <w:color w:val="000000"/>
                <w:lang w:val="en-US" w:eastAsia="en-GB"/>
              </w:rPr>
              <w:t>nstration</w:t>
            </w:r>
            <w:r w:rsidR="004331C0" w:rsidRPr="006140E6">
              <w:rPr>
                <w:rFonts w:ascii="Calibri" w:eastAsia="Times New Roman" w:hAnsi="Calibri" w:cs="Calibri"/>
                <w:b/>
                <w:bCs/>
                <w:color w:val="000000"/>
                <w:lang w:val="en-US" w:eastAsia="en-GB"/>
              </w:rPr>
              <w:t xml:space="preserve"> in 2015</w:t>
            </w:r>
          </w:p>
        </w:tc>
      </w:tr>
      <w:tr w:rsidR="004331C0" w:rsidRPr="006140E6" w14:paraId="4CADD0E2" w14:textId="77777777" w:rsidTr="00AD65EC">
        <w:trPr>
          <w:trHeight w:val="900"/>
          <w:jc w:val="center"/>
        </w:trPr>
        <w:tc>
          <w:tcPr>
            <w:tcW w:w="3220" w:type="dxa"/>
            <w:tcBorders>
              <w:top w:val="nil"/>
              <w:left w:val="single" w:sz="4" w:space="0" w:color="auto"/>
              <w:bottom w:val="single" w:sz="4" w:space="0" w:color="auto"/>
              <w:right w:val="single" w:sz="4" w:space="0" w:color="auto"/>
            </w:tcBorders>
            <w:shd w:val="clear" w:color="000000" w:fill="DAEEF3"/>
            <w:hideMark/>
          </w:tcPr>
          <w:p w14:paraId="7A5CB2DD" w14:textId="77777777" w:rsidR="004331C0" w:rsidRPr="006140E6" w:rsidRDefault="004331C0"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8. Reduction in under 5 mortality rate</w:t>
            </w:r>
          </w:p>
        </w:tc>
        <w:tc>
          <w:tcPr>
            <w:tcW w:w="3767" w:type="dxa"/>
            <w:tcBorders>
              <w:top w:val="nil"/>
              <w:left w:val="nil"/>
              <w:bottom w:val="single" w:sz="4" w:space="0" w:color="auto"/>
              <w:right w:val="single" w:sz="4" w:space="0" w:color="auto"/>
            </w:tcBorders>
            <w:shd w:val="clear" w:color="000000" w:fill="DAEEF3"/>
            <w:hideMark/>
          </w:tcPr>
          <w:p w14:paraId="5146CAA9" w14:textId="4A27F5BB" w:rsidR="004331C0" w:rsidRPr="006140E6" w:rsidRDefault="00AD65EC" w:rsidP="00AD65EC">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Percent reduction from 2010 to</w:t>
            </w:r>
            <w:r w:rsidR="004331C0" w:rsidRPr="006140E6">
              <w:rPr>
                <w:rFonts w:ascii="Calibri" w:eastAsia="Times New Roman" w:hAnsi="Calibri" w:cs="Calibri"/>
                <w:b/>
                <w:bCs/>
                <w:color w:val="000000"/>
                <w:lang w:val="en-US" w:eastAsia="en-GB"/>
              </w:rPr>
              <w:t xml:space="preserve"> 2015 </w:t>
            </w:r>
          </w:p>
        </w:tc>
        <w:tc>
          <w:tcPr>
            <w:tcW w:w="2465" w:type="dxa"/>
            <w:tcBorders>
              <w:top w:val="nil"/>
              <w:left w:val="nil"/>
              <w:bottom w:val="single" w:sz="4" w:space="0" w:color="auto"/>
              <w:right w:val="single" w:sz="4" w:space="0" w:color="auto"/>
            </w:tcBorders>
            <w:shd w:val="clear" w:color="000000" w:fill="FF0000"/>
            <w:hideMark/>
          </w:tcPr>
          <w:p w14:paraId="3C20AD86" w14:textId="06EC414F" w:rsidR="004331C0" w:rsidRPr="006140E6" w:rsidRDefault="00AD65EC" w:rsidP="00AD65EC">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21.8% (from</w:t>
            </w:r>
            <w:r w:rsidR="004331C0" w:rsidRPr="006140E6">
              <w:rPr>
                <w:rFonts w:ascii="Calibri" w:eastAsia="Times New Roman" w:hAnsi="Calibri" w:cs="Calibri"/>
                <w:b/>
                <w:bCs/>
                <w:color w:val="000000"/>
                <w:lang w:val="en-US" w:eastAsia="en-GB"/>
              </w:rPr>
              <w:t xml:space="preserve"> 75.7</w:t>
            </w:r>
            <w:r w:rsidRPr="006140E6">
              <w:rPr>
                <w:rFonts w:ascii="Calibri" w:eastAsia="Times New Roman" w:hAnsi="Calibri" w:cs="Calibri"/>
                <w:b/>
                <w:bCs/>
                <w:color w:val="000000"/>
                <w:lang w:val="en-US" w:eastAsia="en-GB"/>
              </w:rPr>
              <w:t xml:space="preserve">/1,000 live births in 2010 to </w:t>
            </w:r>
            <w:r w:rsidR="004331C0" w:rsidRPr="006140E6">
              <w:rPr>
                <w:rFonts w:ascii="Calibri" w:eastAsia="Times New Roman" w:hAnsi="Calibri" w:cs="Calibri"/>
                <w:b/>
                <w:bCs/>
                <w:color w:val="000000"/>
                <w:lang w:val="en-US" w:eastAsia="en-GB"/>
              </w:rPr>
              <w:t>59.2</w:t>
            </w:r>
            <w:r w:rsidRPr="006140E6">
              <w:rPr>
                <w:rFonts w:ascii="Calibri" w:eastAsia="Times New Roman" w:hAnsi="Calibri" w:cs="Calibri"/>
                <w:b/>
                <w:bCs/>
                <w:color w:val="000000"/>
                <w:lang w:val="en-US" w:eastAsia="en-GB"/>
              </w:rPr>
              <w:t xml:space="preserve"> in 2015)</w:t>
            </w:r>
          </w:p>
        </w:tc>
      </w:tr>
      <w:tr w:rsidR="004331C0" w:rsidRPr="006140E6" w14:paraId="7AEB05B3" w14:textId="77777777" w:rsidTr="001461BD">
        <w:trPr>
          <w:trHeight w:val="323"/>
          <w:jc w:val="center"/>
        </w:trPr>
        <w:tc>
          <w:tcPr>
            <w:tcW w:w="3220" w:type="dxa"/>
            <w:tcBorders>
              <w:top w:val="nil"/>
              <w:left w:val="single" w:sz="4" w:space="0" w:color="auto"/>
              <w:bottom w:val="single" w:sz="4" w:space="0" w:color="auto"/>
              <w:right w:val="single" w:sz="4" w:space="0" w:color="auto"/>
            </w:tcBorders>
            <w:shd w:val="clear" w:color="000000" w:fill="FDE9D9"/>
            <w:hideMark/>
          </w:tcPr>
          <w:p w14:paraId="43335AD3" w14:textId="77777777" w:rsidR="004331C0" w:rsidRPr="006140E6" w:rsidRDefault="004331C0"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9. NITAG</w:t>
            </w:r>
          </w:p>
        </w:tc>
        <w:tc>
          <w:tcPr>
            <w:tcW w:w="3767" w:type="dxa"/>
            <w:tcBorders>
              <w:top w:val="nil"/>
              <w:left w:val="nil"/>
              <w:bottom w:val="single" w:sz="4" w:space="0" w:color="auto"/>
              <w:right w:val="single" w:sz="4" w:space="0" w:color="auto"/>
            </w:tcBorders>
            <w:shd w:val="clear" w:color="000000" w:fill="FDE9D9"/>
            <w:hideMark/>
          </w:tcPr>
          <w:p w14:paraId="243019A2" w14:textId="77777777" w:rsidR="004331C0" w:rsidRPr="006140E6" w:rsidRDefault="004331C0" w:rsidP="00352ED6">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NITAG established?</w:t>
            </w:r>
          </w:p>
        </w:tc>
        <w:tc>
          <w:tcPr>
            <w:tcW w:w="2465" w:type="dxa"/>
            <w:tcBorders>
              <w:top w:val="nil"/>
              <w:left w:val="nil"/>
              <w:bottom w:val="single" w:sz="4" w:space="0" w:color="auto"/>
              <w:right w:val="single" w:sz="4" w:space="0" w:color="auto"/>
            </w:tcBorders>
            <w:shd w:val="clear" w:color="auto" w:fill="00B050"/>
            <w:hideMark/>
          </w:tcPr>
          <w:p w14:paraId="1822678B" w14:textId="2190A0F2" w:rsidR="004331C0" w:rsidRPr="006140E6" w:rsidRDefault="00AD65EC" w:rsidP="00352ED6">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Yes: in 2016</w:t>
            </w:r>
            <w:r w:rsidR="00177ED5">
              <w:rPr>
                <w:rFonts w:ascii="Calibri" w:eastAsia="Times New Roman" w:hAnsi="Calibri" w:cs="Calibri"/>
                <w:b/>
                <w:bCs/>
                <w:color w:val="000000"/>
                <w:lang w:val="en-US" w:eastAsia="en-GB"/>
              </w:rPr>
              <w:t xml:space="preserve"> (no meeting has yet taken place)</w:t>
            </w:r>
          </w:p>
        </w:tc>
      </w:tr>
      <w:tr w:rsidR="004331C0" w:rsidRPr="006140E6" w14:paraId="09463B80" w14:textId="77777777" w:rsidTr="00AD65EC">
        <w:trPr>
          <w:trHeight w:val="900"/>
          <w:jc w:val="center"/>
        </w:trPr>
        <w:tc>
          <w:tcPr>
            <w:tcW w:w="3220" w:type="dxa"/>
            <w:tcBorders>
              <w:top w:val="nil"/>
              <w:left w:val="single" w:sz="4" w:space="0" w:color="auto"/>
              <w:bottom w:val="single" w:sz="4" w:space="0" w:color="auto"/>
              <w:right w:val="single" w:sz="4" w:space="0" w:color="auto"/>
            </w:tcBorders>
            <w:shd w:val="clear" w:color="000000" w:fill="FDE9D9"/>
            <w:hideMark/>
          </w:tcPr>
          <w:p w14:paraId="2546ABCD" w14:textId="1B8E0663" w:rsidR="004331C0" w:rsidRPr="006140E6" w:rsidRDefault="004331C0" w:rsidP="001461BD">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10. Government expenditure on routine immunization per live birth </w:t>
            </w:r>
            <w:r w:rsidR="001461BD">
              <w:rPr>
                <w:rFonts w:ascii="Calibri" w:eastAsia="Times New Roman" w:hAnsi="Calibri" w:cs="Calibri"/>
                <w:b/>
                <w:bCs/>
                <w:color w:val="000000"/>
                <w:lang w:val="en-US" w:eastAsia="en-GB"/>
              </w:rPr>
              <w:t>(</w:t>
            </w:r>
            <w:r w:rsidRPr="006140E6">
              <w:rPr>
                <w:rFonts w:ascii="Calibri" w:eastAsia="Times New Roman" w:hAnsi="Calibri" w:cs="Calibri"/>
                <w:b/>
                <w:bCs/>
                <w:color w:val="000000"/>
                <w:lang w:val="en-US" w:eastAsia="en-GB"/>
              </w:rPr>
              <w:t>US</w:t>
            </w:r>
            <w:r w:rsidR="001461BD">
              <w:rPr>
                <w:rFonts w:ascii="Calibri" w:eastAsia="Times New Roman" w:hAnsi="Calibri" w:cs="Calibri"/>
                <w:b/>
                <w:bCs/>
                <w:color w:val="000000"/>
                <w:lang w:val="en-US" w:eastAsia="en-GB"/>
              </w:rPr>
              <w:t>$)</w:t>
            </w:r>
          </w:p>
        </w:tc>
        <w:tc>
          <w:tcPr>
            <w:tcW w:w="3767" w:type="dxa"/>
            <w:tcBorders>
              <w:top w:val="nil"/>
              <w:left w:val="nil"/>
              <w:bottom w:val="single" w:sz="4" w:space="0" w:color="auto"/>
              <w:right w:val="single" w:sz="4" w:space="0" w:color="auto"/>
            </w:tcBorders>
            <w:shd w:val="clear" w:color="000000" w:fill="FDE9D9"/>
            <w:hideMark/>
          </w:tcPr>
          <w:p w14:paraId="2339900C" w14:textId="60A1BFBC" w:rsidR="004331C0" w:rsidRPr="006140E6" w:rsidRDefault="00AD65EC" w:rsidP="00526AA3">
            <w:pPr>
              <w:spacing w:after="0" w:line="240" w:lineRule="auto"/>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 xml:space="preserve">Average for 2013-15 </w:t>
            </w:r>
            <w:r w:rsidR="00526AA3">
              <w:rPr>
                <w:rFonts w:ascii="Calibri" w:eastAsia="Times New Roman" w:hAnsi="Calibri" w:cs="Calibri"/>
                <w:b/>
                <w:bCs/>
                <w:color w:val="000000"/>
                <w:lang w:val="en-US" w:eastAsia="en-GB"/>
              </w:rPr>
              <w:t>and 2010-2011</w:t>
            </w:r>
            <w:r w:rsidR="001461BD">
              <w:rPr>
                <w:rFonts w:ascii="Calibri" w:eastAsia="Times New Roman" w:hAnsi="Calibri" w:cs="Calibri"/>
                <w:b/>
                <w:bCs/>
                <w:color w:val="000000"/>
                <w:lang w:val="en-US" w:eastAsia="en-GB"/>
              </w:rPr>
              <w:t xml:space="preserve"> </w:t>
            </w:r>
            <w:r w:rsidRPr="006140E6">
              <w:rPr>
                <w:rFonts w:ascii="Calibri" w:eastAsia="Times New Roman" w:hAnsi="Calibri" w:cs="Calibri"/>
                <w:b/>
                <w:bCs/>
                <w:color w:val="000000"/>
                <w:lang w:val="en-US" w:eastAsia="en-GB"/>
              </w:rPr>
              <w:t>(% change)</w:t>
            </w:r>
            <w:r w:rsidR="00071321">
              <w:rPr>
                <w:rFonts w:ascii="Calibri" w:eastAsia="Times New Roman" w:hAnsi="Calibri" w:cs="Calibri"/>
                <w:b/>
                <w:bCs/>
                <w:color w:val="000000"/>
                <w:lang w:val="en-US" w:eastAsia="en-GB"/>
              </w:rPr>
              <w:t xml:space="preserve"> (JFR 2015)</w:t>
            </w:r>
          </w:p>
        </w:tc>
        <w:tc>
          <w:tcPr>
            <w:tcW w:w="2465" w:type="dxa"/>
            <w:tcBorders>
              <w:top w:val="nil"/>
              <w:left w:val="nil"/>
              <w:bottom w:val="single" w:sz="4" w:space="0" w:color="auto"/>
              <w:right w:val="single" w:sz="4" w:space="0" w:color="auto"/>
            </w:tcBorders>
            <w:shd w:val="clear" w:color="000000" w:fill="FF0000"/>
            <w:hideMark/>
          </w:tcPr>
          <w:p w14:paraId="6BD2990B" w14:textId="44181B64" w:rsidR="004331C0" w:rsidRPr="006140E6" w:rsidRDefault="004331C0" w:rsidP="00526AA3">
            <w:pPr>
              <w:spacing w:after="0" w:line="240" w:lineRule="auto"/>
              <w:jc w:val="center"/>
              <w:rPr>
                <w:rFonts w:ascii="Calibri" w:eastAsia="Times New Roman" w:hAnsi="Calibri" w:cs="Calibri"/>
                <w:b/>
                <w:bCs/>
                <w:color w:val="000000"/>
                <w:lang w:val="en-US" w:eastAsia="en-GB"/>
              </w:rPr>
            </w:pPr>
            <w:r w:rsidRPr="006140E6">
              <w:rPr>
                <w:rFonts w:ascii="Calibri" w:eastAsia="Times New Roman" w:hAnsi="Calibri" w:cs="Calibri"/>
                <w:b/>
                <w:bCs/>
                <w:color w:val="000000"/>
                <w:lang w:val="en-US" w:eastAsia="en-GB"/>
              </w:rPr>
              <w:t>1</w:t>
            </w:r>
            <w:r w:rsidR="00526AA3">
              <w:rPr>
                <w:rFonts w:ascii="Calibri" w:eastAsia="Times New Roman" w:hAnsi="Calibri" w:cs="Calibri"/>
                <w:b/>
                <w:bCs/>
                <w:color w:val="000000"/>
                <w:lang w:val="en-US" w:eastAsia="en-GB"/>
              </w:rPr>
              <w:t>3</w:t>
            </w:r>
            <w:r w:rsidRPr="006140E6">
              <w:rPr>
                <w:rFonts w:ascii="Calibri" w:eastAsia="Times New Roman" w:hAnsi="Calibri" w:cs="Calibri"/>
                <w:b/>
                <w:bCs/>
                <w:color w:val="000000"/>
                <w:lang w:val="en-US" w:eastAsia="en-GB"/>
              </w:rPr>
              <w:t>.8 to 1</w:t>
            </w:r>
            <w:r w:rsidR="00526AA3">
              <w:rPr>
                <w:rFonts w:ascii="Calibri" w:eastAsia="Times New Roman" w:hAnsi="Calibri" w:cs="Calibri"/>
                <w:b/>
                <w:bCs/>
                <w:color w:val="000000"/>
                <w:lang w:val="en-US" w:eastAsia="en-GB"/>
              </w:rPr>
              <w:t>1</w:t>
            </w:r>
            <w:r w:rsidRPr="006140E6">
              <w:rPr>
                <w:rFonts w:ascii="Calibri" w:eastAsia="Times New Roman" w:hAnsi="Calibri" w:cs="Calibri"/>
                <w:b/>
                <w:bCs/>
                <w:color w:val="000000"/>
                <w:lang w:val="en-US" w:eastAsia="en-GB"/>
              </w:rPr>
              <w:t>.</w:t>
            </w:r>
            <w:r w:rsidR="00526AA3">
              <w:rPr>
                <w:rFonts w:ascii="Calibri" w:eastAsia="Times New Roman" w:hAnsi="Calibri" w:cs="Calibri"/>
                <w:b/>
                <w:bCs/>
                <w:color w:val="000000"/>
                <w:lang w:val="en-US" w:eastAsia="en-GB"/>
              </w:rPr>
              <w:t>5</w:t>
            </w:r>
            <w:r w:rsidRPr="006140E6">
              <w:rPr>
                <w:rFonts w:ascii="Calibri" w:eastAsia="Times New Roman" w:hAnsi="Calibri" w:cs="Calibri"/>
                <w:b/>
                <w:bCs/>
                <w:color w:val="000000"/>
                <w:lang w:val="en-US" w:eastAsia="en-GB"/>
              </w:rPr>
              <w:t xml:space="preserve"> (-1</w:t>
            </w:r>
            <w:r w:rsidR="00526AA3">
              <w:rPr>
                <w:rFonts w:ascii="Calibri" w:eastAsia="Times New Roman" w:hAnsi="Calibri" w:cs="Calibri"/>
                <w:b/>
                <w:bCs/>
                <w:color w:val="000000"/>
                <w:lang w:val="en-US" w:eastAsia="en-GB"/>
              </w:rPr>
              <w:t>6</w:t>
            </w:r>
            <w:r w:rsidRPr="006140E6">
              <w:rPr>
                <w:rFonts w:ascii="Calibri" w:eastAsia="Times New Roman" w:hAnsi="Calibri" w:cs="Calibri"/>
                <w:b/>
                <w:bCs/>
                <w:color w:val="000000"/>
                <w:lang w:val="en-US" w:eastAsia="en-GB"/>
              </w:rPr>
              <w:t>%)</w:t>
            </w:r>
          </w:p>
        </w:tc>
      </w:tr>
    </w:tbl>
    <w:p w14:paraId="1C312608" w14:textId="77777777" w:rsidR="00914A96" w:rsidRDefault="00914A96" w:rsidP="00914A96">
      <w:pPr>
        <w:rPr>
          <w:rFonts w:ascii="Arial" w:hAnsi="Arial" w:cs="Arial"/>
          <w:lang w:val="en-US"/>
        </w:rPr>
      </w:pPr>
    </w:p>
    <w:p w14:paraId="0A47E381" w14:textId="77777777" w:rsidR="00071321" w:rsidRDefault="00071321" w:rsidP="00914A96">
      <w:pPr>
        <w:rPr>
          <w:rFonts w:ascii="Arial" w:hAnsi="Arial" w:cs="Arial"/>
          <w:lang w:val="en-US"/>
        </w:rPr>
      </w:pPr>
    </w:p>
    <w:p w14:paraId="02EF7C0C" w14:textId="77777777" w:rsidR="00071321" w:rsidRDefault="00071321" w:rsidP="00914A96">
      <w:pPr>
        <w:rPr>
          <w:rFonts w:ascii="Arial" w:hAnsi="Arial" w:cs="Arial"/>
          <w:lang w:val="en-US"/>
        </w:rPr>
      </w:pPr>
    </w:p>
    <w:p w14:paraId="45192376" w14:textId="559B7585" w:rsidR="00914A96" w:rsidRPr="006140E6" w:rsidRDefault="00914A96" w:rsidP="00FA641C">
      <w:pPr>
        <w:pStyle w:val="ListParagraph"/>
        <w:numPr>
          <w:ilvl w:val="0"/>
          <w:numId w:val="1"/>
        </w:numPr>
        <w:contextualSpacing w:val="0"/>
        <w:rPr>
          <w:rFonts w:ascii="Arial" w:hAnsi="Arial" w:cs="Arial"/>
          <w:b/>
          <w:sz w:val="24"/>
          <w:szCs w:val="24"/>
          <w:lang w:val="en-US"/>
        </w:rPr>
      </w:pPr>
      <w:r w:rsidRPr="006140E6">
        <w:rPr>
          <w:rFonts w:ascii="Arial" w:hAnsi="Arial" w:cs="Arial"/>
          <w:b/>
          <w:sz w:val="24"/>
          <w:szCs w:val="24"/>
          <w:lang w:val="en-US"/>
        </w:rPr>
        <w:t>Country ownership of the immunization program</w:t>
      </w:r>
    </w:p>
    <w:p w14:paraId="6D1A197F" w14:textId="5E621119" w:rsidR="00FA641C" w:rsidRPr="006140E6" w:rsidRDefault="00FA641C" w:rsidP="00FA641C">
      <w:pPr>
        <w:pStyle w:val="ListParagraph"/>
        <w:numPr>
          <w:ilvl w:val="1"/>
          <w:numId w:val="28"/>
        </w:numPr>
        <w:rPr>
          <w:rFonts w:ascii="Arial" w:hAnsi="Arial" w:cs="Arial"/>
          <w:b/>
          <w:lang w:val="en-US"/>
        </w:rPr>
      </w:pPr>
      <w:r w:rsidRPr="006140E6">
        <w:rPr>
          <w:rFonts w:ascii="Arial" w:hAnsi="Arial" w:cs="Arial"/>
          <w:b/>
          <w:lang w:val="en-US"/>
        </w:rPr>
        <w:t>Overview o</w:t>
      </w:r>
      <w:r w:rsidR="006140E6">
        <w:rPr>
          <w:rFonts w:ascii="Arial" w:hAnsi="Arial" w:cs="Arial"/>
          <w:b/>
          <w:lang w:val="en-US"/>
        </w:rPr>
        <w:t>f</w:t>
      </w:r>
      <w:r w:rsidRPr="006140E6">
        <w:rPr>
          <w:rFonts w:ascii="Arial" w:hAnsi="Arial" w:cs="Arial"/>
          <w:b/>
          <w:lang w:val="en-US"/>
        </w:rPr>
        <w:t xml:space="preserve"> country ownership in its primary health care system, including immunization</w:t>
      </w:r>
    </w:p>
    <w:p w14:paraId="79E6DDBE" w14:textId="53CB2E25" w:rsidR="00FA641C" w:rsidRDefault="006140E6" w:rsidP="00FA641C">
      <w:pPr>
        <w:rPr>
          <w:rFonts w:ascii="Arial" w:hAnsi="Arial" w:cs="Arial"/>
          <w:lang w:val="en-US"/>
        </w:rPr>
      </w:pPr>
      <w:r w:rsidRPr="006140E6">
        <w:rPr>
          <w:rFonts w:ascii="Arial" w:hAnsi="Arial" w:cs="Arial"/>
          <w:lang w:val="en-US"/>
        </w:rPr>
        <w:t>The Ethiopian government has made a significant commitment to increase access to primary health care services for its nearly 100 million people in the past 12 years or so, with the construction of more than 16,000 new health posts in order to bring health services to where people live. The health care delivery system now consists of a three-tiered Primary Health Care Unit in each of the country’s 914 districts – each comprising a primary care hospital, health centers (serving 15,000 – 25,000 people) and five satellite health posts for each health center (serving 3,000 – 5,000 people)</w:t>
      </w:r>
      <w:r>
        <w:rPr>
          <w:rFonts w:ascii="Arial" w:hAnsi="Arial" w:cs="Arial"/>
          <w:lang w:val="en-US"/>
        </w:rPr>
        <w:t xml:space="preserve"> – all connected by a referral system. Approximately 90% of the population now lives within 10 kilometers of a health facility, even if rudimentary.</w:t>
      </w:r>
      <w:r w:rsidR="001461BD">
        <w:rPr>
          <w:rStyle w:val="FootnoteReference"/>
          <w:rFonts w:ascii="Arial" w:hAnsi="Arial" w:cs="Arial"/>
          <w:lang w:val="en-US"/>
        </w:rPr>
        <w:footnoteReference w:id="1"/>
      </w:r>
      <w:r>
        <w:rPr>
          <w:rFonts w:ascii="Arial" w:hAnsi="Arial" w:cs="Arial"/>
          <w:lang w:val="en-US"/>
        </w:rPr>
        <w:t xml:space="preserve"> Concurrently, the </w:t>
      </w:r>
      <w:r w:rsidR="008F0A50">
        <w:rPr>
          <w:rFonts w:ascii="Arial" w:hAnsi="Arial" w:cs="Arial"/>
          <w:lang w:val="en-US"/>
        </w:rPr>
        <w:t>G</w:t>
      </w:r>
      <w:r>
        <w:rPr>
          <w:rFonts w:ascii="Arial" w:hAnsi="Arial" w:cs="Arial"/>
          <w:lang w:val="en-US"/>
        </w:rPr>
        <w:t>overnment has rapidly scaled up its workforce of health extension workers (HEWs) – created in 2004 as part of its Health Extension Program – to staff the new health posts, and created a Health Development Army of c</w:t>
      </w:r>
      <w:r w:rsidR="008F0A50">
        <w:rPr>
          <w:rFonts w:ascii="Arial" w:hAnsi="Arial" w:cs="Arial"/>
          <w:lang w:val="en-US"/>
        </w:rPr>
        <w:t>ommunity-based volunteers to further increase population access to health care services (both are further described in Section 2.4 below).</w:t>
      </w:r>
    </w:p>
    <w:p w14:paraId="49C29389" w14:textId="181B123E" w:rsidR="008F0A50" w:rsidRDefault="008F0A50" w:rsidP="00F045B5">
      <w:pPr>
        <w:rPr>
          <w:rFonts w:ascii="Arial" w:hAnsi="Arial" w:cs="Arial"/>
          <w:lang w:val="en-US"/>
        </w:rPr>
      </w:pPr>
      <w:r>
        <w:rPr>
          <w:rFonts w:ascii="Arial" w:hAnsi="Arial" w:cs="Arial"/>
          <w:lang w:val="en-US"/>
        </w:rPr>
        <w:t xml:space="preserve">Country ownership of the immunization program, including response to infectious disease outbreaks, such as measles, was described by one informant, as “strong, almost to a fault”. Plans for vaccination campaigns in response to outbreaks are not always shared with partners; the lack of a detailed proposal to GAVI for a measles campaign resulted in GAVI delaying its release of funds for this purpose. At the local level, with the devolution of power to the 11 regions and city administrations, ownership of the EPI is demonstrated by the fact </w:t>
      </w:r>
      <w:r>
        <w:rPr>
          <w:rFonts w:ascii="Arial" w:hAnsi="Arial" w:cs="Arial"/>
          <w:lang w:val="en-US"/>
        </w:rPr>
        <w:lastRenderedPageBreak/>
        <w:t>that some regions and districts (</w:t>
      </w:r>
      <w:r w:rsidRPr="00E01945">
        <w:rPr>
          <w:rFonts w:ascii="Arial" w:hAnsi="Arial" w:cs="Arial"/>
          <w:i/>
          <w:lang w:val="en-US"/>
        </w:rPr>
        <w:t>woredas</w:t>
      </w:r>
      <w:r>
        <w:rPr>
          <w:rFonts w:ascii="Arial" w:hAnsi="Arial" w:cs="Arial"/>
          <w:lang w:val="en-US"/>
        </w:rPr>
        <w:t>) are starting to allocate funds from their budgets for immunization operational costs</w:t>
      </w:r>
      <w:r w:rsidR="001461BD">
        <w:rPr>
          <w:rFonts w:ascii="Arial" w:hAnsi="Arial" w:cs="Arial"/>
          <w:lang w:val="en-US"/>
        </w:rPr>
        <w:t>.</w:t>
      </w:r>
      <w:r w:rsidR="001461BD">
        <w:rPr>
          <w:rStyle w:val="FootnoteReference"/>
          <w:rFonts w:ascii="Arial" w:hAnsi="Arial" w:cs="Arial"/>
          <w:lang w:val="en-US"/>
        </w:rPr>
        <w:footnoteReference w:id="2"/>
      </w:r>
    </w:p>
    <w:p w14:paraId="70725249" w14:textId="70FE0E1F" w:rsidR="00914A96" w:rsidRPr="006140E6" w:rsidRDefault="00914A96" w:rsidP="00FA641C">
      <w:pPr>
        <w:pStyle w:val="ListParagraph"/>
        <w:numPr>
          <w:ilvl w:val="1"/>
          <w:numId w:val="28"/>
        </w:numPr>
        <w:rPr>
          <w:rFonts w:ascii="Arial" w:hAnsi="Arial" w:cs="Arial"/>
          <w:b/>
          <w:lang w:val="en-US"/>
        </w:rPr>
      </w:pPr>
      <w:r w:rsidRPr="006140E6">
        <w:rPr>
          <w:rFonts w:ascii="Arial" w:hAnsi="Arial" w:cs="Arial"/>
          <w:b/>
          <w:lang w:val="en-US"/>
        </w:rPr>
        <w:t>Immunization policy decision-making capacity</w:t>
      </w:r>
    </w:p>
    <w:p w14:paraId="31471643" w14:textId="18FDEE0A" w:rsidR="00914A96" w:rsidRDefault="008F0A50" w:rsidP="00F045B5">
      <w:pPr>
        <w:rPr>
          <w:rFonts w:ascii="Arial" w:hAnsi="Arial" w:cs="Arial"/>
          <w:lang w:val="en-US"/>
        </w:rPr>
      </w:pPr>
      <w:r>
        <w:rPr>
          <w:rFonts w:ascii="Arial" w:hAnsi="Arial" w:cs="Arial"/>
          <w:lang w:val="en-US"/>
        </w:rPr>
        <w:t xml:space="preserve">The ICC has been the </w:t>
      </w:r>
      <w:r w:rsidR="00F045B5">
        <w:rPr>
          <w:rFonts w:ascii="Arial" w:hAnsi="Arial" w:cs="Arial"/>
          <w:lang w:val="en-US"/>
        </w:rPr>
        <w:t xml:space="preserve">principal </w:t>
      </w:r>
      <w:r>
        <w:rPr>
          <w:rFonts w:ascii="Arial" w:hAnsi="Arial" w:cs="Arial"/>
          <w:lang w:val="en-US"/>
        </w:rPr>
        <w:t xml:space="preserve">group advising the Government on immunization and in assisting with resource mobilization and advocacy, as well as with the preparation of new vaccine introductions. </w:t>
      </w:r>
      <w:r w:rsidR="00E01945">
        <w:rPr>
          <w:rFonts w:ascii="Arial" w:hAnsi="Arial" w:cs="Arial"/>
          <w:lang w:val="en-US"/>
        </w:rPr>
        <w:t>The</w:t>
      </w:r>
      <w:r>
        <w:rPr>
          <w:rFonts w:ascii="Arial" w:hAnsi="Arial" w:cs="Arial"/>
          <w:lang w:val="en-US"/>
        </w:rPr>
        <w:t xml:space="preserve"> </w:t>
      </w:r>
      <w:r w:rsidR="00071321">
        <w:rPr>
          <w:rFonts w:ascii="Arial" w:hAnsi="Arial" w:cs="Arial"/>
          <w:lang w:val="en-US"/>
        </w:rPr>
        <w:t>main</w:t>
      </w:r>
      <w:r w:rsidR="001461BD">
        <w:rPr>
          <w:rFonts w:ascii="Arial" w:hAnsi="Arial" w:cs="Arial"/>
          <w:lang w:val="en-US"/>
        </w:rPr>
        <w:t xml:space="preserve"> </w:t>
      </w:r>
      <w:r>
        <w:rPr>
          <w:rFonts w:ascii="Arial" w:hAnsi="Arial" w:cs="Arial"/>
          <w:lang w:val="en-US"/>
        </w:rPr>
        <w:t>ICC meets twice a year</w:t>
      </w:r>
      <w:r w:rsidR="00E01945">
        <w:rPr>
          <w:rFonts w:ascii="Arial" w:hAnsi="Arial" w:cs="Arial"/>
          <w:lang w:val="en-US"/>
        </w:rPr>
        <w:t>,</w:t>
      </w:r>
      <w:r>
        <w:rPr>
          <w:rFonts w:ascii="Arial" w:hAnsi="Arial" w:cs="Arial"/>
          <w:lang w:val="en-US"/>
        </w:rPr>
        <w:t xml:space="preserve"> is chaired by State Minist</w:t>
      </w:r>
      <w:r w:rsidR="001461BD">
        <w:rPr>
          <w:rFonts w:ascii="Arial" w:hAnsi="Arial" w:cs="Arial"/>
          <w:lang w:val="en-US"/>
        </w:rPr>
        <w:t>er</w:t>
      </w:r>
      <w:r>
        <w:rPr>
          <w:rFonts w:ascii="Arial" w:hAnsi="Arial" w:cs="Arial"/>
          <w:lang w:val="en-US"/>
        </w:rPr>
        <w:t xml:space="preserve"> of Health</w:t>
      </w:r>
      <w:r w:rsidR="00E01945">
        <w:rPr>
          <w:rFonts w:ascii="Arial" w:hAnsi="Arial" w:cs="Arial"/>
          <w:lang w:val="en-US"/>
        </w:rPr>
        <w:t xml:space="preserve"> and includes members from UN agencies, NGOs, Directorates of the Federal Ministry of Health and civil society organizations. The ICC also has a technical sub-committee that meets quarterly</w:t>
      </w:r>
      <w:r w:rsidR="00515073">
        <w:rPr>
          <w:rFonts w:ascii="Arial" w:hAnsi="Arial" w:cs="Arial"/>
          <w:lang w:val="en-US"/>
        </w:rPr>
        <w:t xml:space="preserve"> (see Figure 1)</w:t>
      </w:r>
      <w:r w:rsidR="00E01945">
        <w:rPr>
          <w:rFonts w:ascii="Arial" w:hAnsi="Arial" w:cs="Arial"/>
          <w:lang w:val="en-US"/>
        </w:rPr>
        <w:t>. Under the technical sub-committee is a Nation</w:t>
      </w:r>
      <w:r w:rsidR="00515073">
        <w:rPr>
          <w:rFonts w:ascii="Arial" w:hAnsi="Arial" w:cs="Arial"/>
          <w:lang w:val="en-US"/>
        </w:rPr>
        <w:t>al EPI</w:t>
      </w:r>
      <w:r w:rsidR="00E01945">
        <w:rPr>
          <w:rFonts w:ascii="Arial" w:hAnsi="Arial" w:cs="Arial"/>
          <w:lang w:val="en-US"/>
        </w:rPr>
        <w:t xml:space="preserve"> Task Force, which meets every two weeks, and along with technical working groups, is responsible for preparing and overseeing</w:t>
      </w:r>
      <w:r w:rsidR="00515073">
        <w:rPr>
          <w:rFonts w:ascii="Arial" w:hAnsi="Arial" w:cs="Arial"/>
          <w:lang w:val="en-US"/>
        </w:rPr>
        <w:t xml:space="preserve"> new vaccine introductions</w:t>
      </w:r>
      <w:r w:rsidR="001461BD">
        <w:rPr>
          <w:rFonts w:ascii="Arial" w:hAnsi="Arial" w:cs="Arial"/>
          <w:lang w:val="en-US"/>
        </w:rPr>
        <w:t>, vaccination campaigns, and improvements with the routine immunization program</w:t>
      </w:r>
      <w:r w:rsidR="00515073">
        <w:rPr>
          <w:rFonts w:ascii="Arial" w:hAnsi="Arial" w:cs="Arial"/>
          <w:lang w:val="en-US"/>
        </w:rPr>
        <w:t>. In the absence of a NITAG, the ICC has made recommendations on the introduction of new vaccines.</w:t>
      </w:r>
    </w:p>
    <w:p w14:paraId="16B713A1" w14:textId="5B4A6D08" w:rsidR="00D6260F" w:rsidRDefault="00D6260F" w:rsidP="00D6260F">
      <w:pPr>
        <w:rPr>
          <w:rFonts w:ascii="Arial" w:hAnsi="Arial" w:cs="Arial"/>
          <w:lang w:val="en-US"/>
        </w:rPr>
      </w:pPr>
      <w:r>
        <w:rPr>
          <w:rFonts w:ascii="Arial" w:hAnsi="Arial" w:cs="Arial"/>
          <w:lang w:val="en-US"/>
        </w:rPr>
        <w:t>A NITAG has only recently been established, with WHO and SIVAC assistance. Its first meeting ha</w:t>
      </w:r>
      <w:r w:rsidR="00071321">
        <w:rPr>
          <w:rFonts w:ascii="Arial" w:hAnsi="Arial" w:cs="Arial"/>
          <w:lang w:val="en-US"/>
        </w:rPr>
        <w:t>d not yet taken place as of mid-July</w:t>
      </w:r>
      <w:r>
        <w:rPr>
          <w:rFonts w:ascii="Arial" w:hAnsi="Arial" w:cs="Arial"/>
          <w:lang w:val="en-US"/>
        </w:rPr>
        <w:t xml:space="preserve"> 2016</w:t>
      </w:r>
      <w:r w:rsidRPr="00D6260F">
        <w:rPr>
          <w:rFonts w:ascii="Arial" w:hAnsi="Arial" w:cs="Arial"/>
          <w:color w:val="FF0000"/>
          <w:lang w:val="en-US"/>
        </w:rPr>
        <w:t>.</w:t>
      </w:r>
      <w:r>
        <w:rPr>
          <w:rFonts w:ascii="Arial" w:hAnsi="Arial" w:cs="Arial"/>
          <w:lang w:val="en-US"/>
        </w:rPr>
        <w:t xml:space="preserve"> It took some time for government officials to understand the role and importance of having an advisory group independent of both the Government and development partners. The newly-formed NITAG consists of professionals with strong and diverse skills.</w:t>
      </w:r>
    </w:p>
    <w:p w14:paraId="0878C4EF" w14:textId="5309FAA0" w:rsidR="00D6260F" w:rsidRPr="008F0A50" w:rsidRDefault="00D6260F" w:rsidP="00D6260F">
      <w:pPr>
        <w:rPr>
          <w:rFonts w:ascii="Arial" w:hAnsi="Arial" w:cs="Arial"/>
          <w:lang w:val="en-US"/>
        </w:rPr>
      </w:pPr>
      <w:r>
        <w:rPr>
          <w:rFonts w:ascii="Arial" w:hAnsi="Arial" w:cs="Arial"/>
          <w:lang w:val="en-US"/>
        </w:rPr>
        <w:t>The FMOH has also established a Ministerial Delivery Unit to strengthen leadership in the immunization program and to make immunization a regular agenda item in key policymaker meetings.</w:t>
      </w:r>
    </w:p>
    <w:p w14:paraId="3B5287D4" w14:textId="463B7170" w:rsidR="00D6260F" w:rsidRPr="001A55DB" w:rsidRDefault="001A55DB" w:rsidP="001A55DB">
      <w:pPr>
        <w:pStyle w:val="Caption"/>
        <w:rPr>
          <w:rFonts w:ascii="Arial" w:hAnsi="Arial" w:cs="Arial"/>
          <w:b w:val="0"/>
          <w:color w:val="auto"/>
          <w:sz w:val="22"/>
          <w:lang w:val="en-US"/>
        </w:rPr>
      </w:pPr>
      <w:r w:rsidRPr="001A55DB">
        <w:rPr>
          <w:rFonts w:ascii="Arial" w:hAnsi="Arial" w:cs="Arial"/>
          <w:color w:val="auto"/>
          <w:sz w:val="22"/>
        </w:rPr>
        <w:t xml:space="preserve">Figure </w:t>
      </w:r>
      <w:r w:rsidRPr="001A55DB">
        <w:rPr>
          <w:rFonts w:ascii="Arial" w:hAnsi="Arial" w:cs="Arial"/>
          <w:color w:val="auto"/>
          <w:sz w:val="22"/>
        </w:rPr>
        <w:fldChar w:fldCharType="begin"/>
      </w:r>
      <w:r w:rsidRPr="001A55DB">
        <w:rPr>
          <w:rFonts w:ascii="Arial" w:hAnsi="Arial" w:cs="Arial"/>
          <w:color w:val="auto"/>
          <w:sz w:val="22"/>
        </w:rPr>
        <w:instrText xml:space="preserve"> SEQ Figure \* ARABIC </w:instrText>
      </w:r>
      <w:r w:rsidRPr="001A55DB">
        <w:rPr>
          <w:rFonts w:ascii="Arial" w:hAnsi="Arial" w:cs="Arial"/>
          <w:color w:val="auto"/>
          <w:sz w:val="22"/>
        </w:rPr>
        <w:fldChar w:fldCharType="separate"/>
      </w:r>
      <w:r w:rsidR="00651A7C">
        <w:rPr>
          <w:rFonts w:ascii="Arial" w:hAnsi="Arial" w:cs="Arial"/>
          <w:noProof/>
          <w:color w:val="auto"/>
          <w:sz w:val="22"/>
        </w:rPr>
        <w:t>1</w:t>
      </w:r>
      <w:r w:rsidRPr="001A55DB">
        <w:rPr>
          <w:rFonts w:ascii="Arial" w:hAnsi="Arial" w:cs="Arial"/>
          <w:color w:val="auto"/>
          <w:sz w:val="22"/>
        </w:rPr>
        <w:fldChar w:fldCharType="end"/>
      </w:r>
      <w:r w:rsidRPr="001A55DB">
        <w:rPr>
          <w:rFonts w:ascii="Arial" w:hAnsi="Arial" w:cs="Arial"/>
          <w:color w:val="auto"/>
          <w:sz w:val="22"/>
        </w:rPr>
        <w:t>:</w:t>
      </w:r>
      <w:r w:rsidR="00D6260F" w:rsidRPr="001A55DB">
        <w:rPr>
          <w:rFonts w:ascii="Arial" w:hAnsi="Arial" w:cs="Arial"/>
          <w:color w:val="auto"/>
          <w:sz w:val="22"/>
          <w:lang w:val="en-US"/>
        </w:rPr>
        <w:t xml:space="preserve"> The ICC structure in Ethiopia</w:t>
      </w:r>
    </w:p>
    <w:p w14:paraId="68319CF7" w14:textId="10D112F5" w:rsidR="00D6260F" w:rsidRDefault="00D6260F" w:rsidP="00D6260F">
      <w:pPr>
        <w:jc w:val="center"/>
        <w:rPr>
          <w:rFonts w:ascii="Arial" w:hAnsi="Arial" w:cs="Arial"/>
          <w:lang w:val="en-US"/>
        </w:rPr>
      </w:pPr>
      <w:r w:rsidRPr="00D6260F">
        <w:rPr>
          <w:rFonts w:ascii="Arial" w:hAnsi="Arial" w:cs="Arial"/>
          <w:noProof/>
          <w:lang w:eastAsia="zh-CN"/>
        </w:rPr>
        <w:drawing>
          <wp:inline distT="0" distB="0" distL="0" distR="0" wp14:anchorId="3FD10590" wp14:editId="23364B42">
            <wp:extent cx="4559299" cy="3419475"/>
            <wp:effectExtent l="19050" t="19050" r="133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8483" cy="3471363"/>
                    </a:xfrm>
                    <a:prstGeom prst="rect">
                      <a:avLst/>
                    </a:prstGeom>
                    <a:ln>
                      <a:solidFill>
                        <a:schemeClr val="tx1"/>
                      </a:solidFill>
                    </a:ln>
                  </pic:spPr>
                </pic:pic>
              </a:graphicData>
            </a:graphic>
          </wp:inline>
        </w:drawing>
      </w:r>
    </w:p>
    <w:p w14:paraId="0F2DC76F" w14:textId="1BEBE748" w:rsidR="00914A96" w:rsidRPr="00515073" w:rsidRDefault="00914A96" w:rsidP="00777C17">
      <w:pPr>
        <w:pStyle w:val="ListParagraph"/>
        <w:numPr>
          <w:ilvl w:val="1"/>
          <w:numId w:val="28"/>
        </w:numPr>
        <w:contextualSpacing w:val="0"/>
        <w:rPr>
          <w:rFonts w:ascii="Arial" w:hAnsi="Arial" w:cs="Arial"/>
          <w:b/>
          <w:lang w:val="en-US"/>
        </w:rPr>
      </w:pPr>
      <w:r w:rsidRPr="00515073">
        <w:rPr>
          <w:rFonts w:ascii="Arial" w:hAnsi="Arial" w:cs="Arial"/>
          <w:b/>
          <w:lang w:val="en-US"/>
        </w:rPr>
        <w:lastRenderedPageBreak/>
        <w:t>Government Financing of Immunization</w:t>
      </w:r>
    </w:p>
    <w:p w14:paraId="7D50710E" w14:textId="77777777" w:rsidR="00EE76C4" w:rsidRDefault="00777C17" w:rsidP="00EE76C4">
      <w:pPr>
        <w:pStyle w:val="ListParagraph"/>
        <w:ind w:left="0"/>
        <w:contextualSpacing w:val="0"/>
        <w:rPr>
          <w:rFonts w:ascii="Arial" w:hAnsi="Arial" w:cs="Arial"/>
          <w:lang w:val="en-US"/>
        </w:rPr>
      </w:pPr>
      <w:r>
        <w:rPr>
          <w:rFonts w:ascii="Arial" w:hAnsi="Arial" w:cs="Arial"/>
          <w:lang w:val="en-US"/>
        </w:rPr>
        <w:t>The Government has a pooled funding mechanism – the MDG Performance Fund</w:t>
      </w:r>
      <w:r>
        <w:rPr>
          <w:rStyle w:val="FootnoteReference"/>
          <w:rFonts w:ascii="Arial" w:hAnsi="Arial" w:cs="Arial"/>
          <w:lang w:val="en-US"/>
        </w:rPr>
        <w:footnoteReference w:id="3"/>
      </w:r>
      <w:r>
        <w:rPr>
          <w:rFonts w:ascii="Arial" w:hAnsi="Arial" w:cs="Arial"/>
          <w:lang w:val="en-US"/>
        </w:rPr>
        <w:t xml:space="preserve"> – into which funds from the Government and develop</w:t>
      </w:r>
      <w:r w:rsidR="00460D76">
        <w:rPr>
          <w:rFonts w:ascii="Arial" w:hAnsi="Arial" w:cs="Arial"/>
          <w:lang w:val="en-US"/>
        </w:rPr>
        <w:t>ment</w:t>
      </w:r>
      <w:r>
        <w:rPr>
          <w:rFonts w:ascii="Arial" w:hAnsi="Arial" w:cs="Arial"/>
          <w:lang w:val="en-US"/>
        </w:rPr>
        <w:t xml:space="preserve"> partners, including GAVI HSS funding – are </w:t>
      </w:r>
      <w:r w:rsidR="00460D76">
        <w:rPr>
          <w:rFonts w:ascii="Arial" w:hAnsi="Arial" w:cs="Arial"/>
          <w:lang w:val="en-US"/>
        </w:rPr>
        <w:t>placed to finance</w:t>
      </w:r>
      <w:r>
        <w:rPr>
          <w:rFonts w:ascii="Arial" w:hAnsi="Arial" w:cs="Arial"/>
          <w:lang w:val="en-US"/>
        </w:rPr>
        <w:t xml:space="preserve"> </w:t>
      </w:r>
      <w:r w:rsidR="00460D76">
        <w:rPr>
          <w:rFonts w:ascii="Arial" w:hAnsi="Arial" w:cs="Arial"/>
          <w:lang w:val="en-US"/>
        </w:rPr>
        <w:t xml:space="preserve">health programs and </w:t>
      </w:r>
      <w:r>
        <w:rPr>
          <w:rFonts w:ascii="Arial" w:hAnsi="Arial" w:cs="Arial"/>
          <w:lang w:val="en-US"/>
        </w:rPr>
        <w:t xml:space="preserve">health </w:t>
      </w:r>
      <w:r w:rsidR="00460D76">
        <w:rPr>
          <w:rFonts w:ascii="Arial" w:hAnsi="Arial" w:cs="Arial"/>
          <w:lang w:val="en-US"/>
        </w:rPr>
        <w:t>system strengthening. The Fund, established as part of the country’s Joint Financing Arrangement (under the IHP+), in an effort to simplify budgetary and financial management by having one plan, one budget, and one reporting mechanism to which all developmental partners agree.</w:t>
      </w:r>
      <w:r>
        <w:rPr>
          <w:rFonts w:ascii="Arial" w:hAnsi="Arial" w:cs="Arial"/>
          <w:lang w:val="en-US"/>
        </w:rPr>
        <w:t xml:space="preserve"> </w:t>
      </w:r>
    </w:p>
    <w:p w14:paraId="7B695A34" w14:textId="0847BCE4" w:rsidR="001F4121" w:rsidRDefault="00460D76" w:rsidP="00F045B5">
      <w:pPr>
        <w:pStyle w:val="ListParagraph"/>
        <w:ind w:left="0"/>
        <w:contextualSpacing w:val="0"/>
        <w:rPr>
          <w:rFonts w:ascii="Arial" w:hAnsi="Arial" w:cs="Arial"/>
          <w:lang w:val="en-US"/>
        </w:rPr>
      </w:pPr>
      <w:r>
        <w:rPr>
          <w:rFonts w:ascii="Arial" w:hAnsi="Arial" w:cs="Arial"/>
          <w:lang w:val="en-US"/>
        </w:rPr>
        <w:t xml:space="preserve">In 2014/15, the </w:t>
      </w:r>
      <w:r w:rsidR="001461BD">
        <w:rPr>
          <w:rFonts w:ascii="Arial" w:hAnsi="Arial" w:cs="Arial"/>
          <w:lang w:val="en-US"/>
        </w:rPr>
        <w:t>federal G</w:t>
      </w:r>
      <w:r>
        <w:rPr>
          <w:rFonts w:ascii="Arial" w:hAnsi="Arial" w:cs="Arial"/>
          <w:lang w:val="en-US"/>
        </w:rPr>
        <w:t>overnment paid for 63% of the costs of procuring traditional vaccines ($1.8 million out of $2.9 million), using Government and MDG funds, while UNICEF paid for the remaining 37%.</w:t>
      </w:r>
      <w:r w:rsidR="001461BD">
        <w:rPr>
          <w:rStyle w:val="FootnoteReference"/>
          <w:rFonts w:ascii="Arial" w:hAnsi="Arial" w:cs="Arial"/>
          <w:lang w:val="en-US"/>
        </w:rPr>
        <w:footnoteReference w:id="4"/>
      </w:r>
      <w:r>
        <w:rPr>
          <w:rFonts w:ascii="Arial" w:hAnsi="Arial" w:cs="Arial"/>
          <w:lang w:val="en-US"/>
        </w:rPr>
        <w:t xml:space="preserve"> A budget line it</w:t>
      </w:r>
      <w:r w:rsidR="004A106A">
        <w:rPr>
          <w:rFonts w:ascii="Arial" w:hAnsi="Arial" w:cs="Arial"/>
          <w:lang w:val="en-US"/>
        </w:rPr>
        <w:t>e</w:t>
      </w:r>
      <w:r>
        <w:rPr>
          <w:rFonts w:ascii="Arial" w:hAnsi="Arial" w:cs="Arial"/>
          <w:lang w:val="en-US"/>
        </w:rPr>
        <w:t>m now exists for vaccine purchases, including co-financing of the new vaccines that Ethiopia has introduced</w:t>
      </w:r>
      <w:r w:rsidR="004A106A">
        <w:rPr>
          <w:rFonts w:ascii="Arial" w:hAnsi="Arial" w:cs="Arial"/>
          <w:lang w:val="en-US"/>
        </w:rPr>
        <w:t xml:space="preserve"> with GAVI support. While the Government still does not cover 100% of the cost of procuring traditional vaccines, it has to date </w:t>
      </w:r>
      <w:r w:rsidR="00F045B5">
        <w:rPr>
          <w:rFonts w:ascii="Arial" w:hAnsi="Arial" w:cs="Arial"/>
          <w:lang w:val="en-US"/>
        </w:rPr>
        <w:t xml:space="preserve">met </w:t>
      </w:r>
      <w:r w:rsidR="004A106A">
        <w:rPr>
          <w:rFonts w:ascii="Arial" w:hAnsi="Arial" w:cs="Arial"/>
          <w:lang w:val="en-US"/>
        </w:rPr>
        <w:t xml:space="preserve">its co-financing obligations to GAVI for new vaccines, without once being in arrears or default. These obligations have grown substantially </w:t>
      </w:r>
      <w:r w:rsidR="00EE76C4">
        <w:rPr>
          <w:rFonts w:ascii="Arial" w:hAnsi="Arial" w:cs="Arial"/>
          <w:lang w:val="en-US"/>
        </w:rPr>
        <w:t xml:space="preserve">in the past five years </w:t>
      </w:r>
      <w:r w:rsidR="004A106A">
        <w:rPr>
          <w:rFonts w:ascii="Arial" w:hAnsi="Arial" w:cs="Arial"/>
          <w:lang w:val="en-US"/>
        </w:rPr>
        <w:t>as</w:t>
      </w:r>
      <w:r w:rsidR="00EE76C4">
        <w:rPr>
          <w:rFonts w:ascii="Arial" w:hAnsi="Arial" w:cs="Arial"/>
          <w:lang w:val="en-US"/>
        </w:rPr>
        <w:t xml:space="preserve"> new vaccines have been added to the EPI</w:t>
      </w:r>
      <w:r w:rsidR="001461BD">
        <w:rPr>
          <w:rFonts w:ascii="Arial" w:hAnsi="Arial" w:cs="Arial"/>
          <w:lang w:val="en-US"/>
        </w:rPr>
        <w:t>. By</w:t>
      </w:r>
      <w:r w:rsidR="00EE76C4">
        <w:rPr>
          <w:rFonts w:ascii="Arial" w:hAnsi="Arial" w:cs="Arial"/>
          <w:lang w:val="en-US"/>
        </w:rPr>
        <w:t xml:space="preserve"> 2015, co-financing totaled $6.2 million, or 77% of the Government’s total expenditures for vaccines, with traditional vaccines making up the remaini</w:t>
      </w:r>
      <w:r w:rsidR="001F4121">
        <w:rPr>
          <w:rFonts w:ascii="Arial" w:hAnsi="Arial" w:cs="Arial"/>
          <w:lang w:val="en-US"/>
        </w:rPr>
        <w:t>ng 23%.</w:t>
      </w:r>
      <w:r w:rsidR="001461BD">
        <w:rPr>
          <w:rStyle w:val="FootnoteReference"/>
          <w:rFonts w:ascii="Arial" w:hAnsi="Arial" w:cs="Arial"/>
          <w:lang w:val="en-US"/>
        </w:rPr>
        <w:footnoteReference w:id="5"/>
      </w:r>
      <w:r w:rsidR="001F4121">
        <w:rPr>
          <w:rFonts w:ascii="Arial" w:hAnsi="Arial" w:cs="Arial"/>
          <w:lang w:val="en-US"/>
        </w:rPr>
        <w:t xml:space="preserve"> </w:t>
      </w:r>
    </w:p>
    <w:p w14:paraId="7B3681B9" w14:textId="13B1510E" w:rsidR="00914A96" w:rsidRPr="006140E6" w:rsidRDefault="00EE76C4" w:rsidP="00EE76C4">
      <w:pPr>
        <w:pStyle w:val="ListParagraph"/>
        <w:ind w:left="0"/>
        <w:contextualSpacing w:val="0"/>
        <w:rPr>
          <w:rFonts w:ascii="Arial" w:hAnsi="Arial" w:cs="Arial"/>
          <w:lang w:val="en-US"/>
        </w:rPr>
      </w:pPr>
      <w:r>
        <w:rPr>
          <w:rFonts w:ascii="Arial" w:hAnsi="Arial" w:cs="Arial"/>
          <w:lang w:val="en-US"/>
        </w:rPr>
        <w:t xml:space="preserve">Of the total expenditures for vaccines used </w:t>
      </w:r>
      <w:r w:rsidR="00D664AC">
        <w:rPr>
          <w:rFonts w:ascii="Arial" w:hAnsi="Arial" w:cs="Arial"/>
          <w:lang w:val="en-US"/>
        </w:rPr>
        <w:t>by</w:t>
      </w:r>
      <w:r>
        <w:rPr>
          <w:rFonts w:ascii="Arial" w:hAnsi="Arial" w:cs="Arial"/>
          <w:lang w:val="en-US"/>
        </w:rPr>
        <w:t xml:space="preserve"> the Ethiopian immunization program, including GAVI support, the Government’s contribution for vaccine purchases increased from 5% in 2010 to 14% by 2015 – mainly due to co-financing. The Government paid for 33% of the overall national EPI budget in 2014/15, including staff salaries and other operational costs</w:t>
      </w:r>
      <w:r w:rsidR="00D664AC">
        <w:rPr>
          <w:rFonts w:ascii="Arial" w:hAnsi="Arial" w:cs="Arial"/>
          <w:lang w:val="en-US"/>
        </w:rPr>
        <w:t>.</w:t>
      </w:r>
      <w:r w:rsidR="00D664AC">
        <w:rPr>
          <w:rStyle w:val="FootnoteReference"/>
          <w:rFonts w:ascii="Arial" w:hAnsi="Arial" w:cs="Arial"/>
          <w:lang w:val="en-US"/>
        </w:rPr>
        <w:footnoteReference w:id="6"/>
      </w:r>
      <w:r>
        <w:rPr>
          <w:rFonts w:ascii="Arial" w:hAnsi="Arial" w:cs="Arial"/>
          <w:lang w:val="en-US"/>
        </w:rPr>
        <w:t xml:space="preserve"> This is up from 8%</w:t>
      </w:r>
      <w:r w:rsidR="00D664AC">
        <w:rPr>
          <w:rFonts w:ascii="Arial" w:hAnsi="Arial" w:cs="Arial"/>
          <w:lang w:val="en-US"/>
        </w:rPr>
        <w:t xml:space="preserve"> in 2012, according to JRF data</w:t>
      </w:r>
      <w:r w:rsidR="001F4121">
        <w:rPr>
          <w:rFonts w:ascii="Arial" w:hAnsi="Arial" w:cs="Arial"/>
          <w:lang w:val="en-US"/>
        </w:rPr>
        <w:t xml:space="preserve">. It should be noted, however, that since MDG Performance Funds are used for traditional vaccine purchases and co-financing, the actual government contribution for vaccines and </w:t>
      </w:r>
      <w:r w:rsidR="00071321">
        <w:rPr>
          <w:rFonts w:ascii="Arial" w:hAnsi="Arial" w:cs="Arial"/>
          <w:lang w:val="en-US"/>
        </w:rPr>
        <w:t xml:space="preserve">to </w:t>
      </w:r>
      <w:r w:rsidR="001F4121">
        <w:rPr>
          <w:rFonts w:ascii="Arial" w:hAnsi="Arial" w:cs="Arial"/>
          <w:lang w:val="en-US"/>
        </w:rPr>
        <w:t>the overall EPI budget is not clear</w:t>
      </w:r>
      <w:r w:rsidR="00281949">
        <w:rPr>
          <w:rFonts w:ascii="Arial" w:hAnsi="Arial" w:cs="Arial"/>
          <w:lang w:val="en-US"/>
        </w:rPr>
        <w:t>, nor is it clear to what extent the Government has increased immunization spending using its own funds.</w:t>
      </w:r>
      <w:r w:rsidR="001F4121">
        <w:rPr>
          <w:rFonts w:ascii="Arial" w:hAnsi="Arial" w:cs="Arial"/>
          <w:lang w:val="en-US"/>
        </w:rPr>
        <w:t xml:space="preserve"> </w:t>
      </w:r>
      <w:r>
        <w:rPr>
          <w:rFonts w:ascii="Arial" w:hAnsi="Arial" w:cs="Arial"/>
          <w:lang w:val="en-US"/>
        </w:rPr>
        <w:t xml:space="preserve"> </w:t>
      </w:r>
    </w:p>
    <w:p w14:paraId="751B8519" w14:textId="55989C85" w:rsidR="00914A96" w:rsidRPr="006140E6" w:rsidRDefault="001F4121" w:rsidP="001F4121">
      <w:pPr>
        <w:pStyle w:val="ListParagraph"/>
        <w:ind w:left="0"/>
        <w:contextualSpacing w:val="0"/>
        <w:rPr>
          <w:rFonts w:ascii="Arial" w:hAnsi="Arial" w:cs="Arial"/>
          <w:b/>
          <w:lang w:val="en-US"/>
        </w:rPr>
      </w:pPr>
      <w:r>
        <w:rPr>
          <w:rFonts w:ascii="Arial" w:hAnsi="Arial" w:cs="Arial"/>
          <w:b/>
          <w:lang w:val="en-US"/>
        </w:rPr>
        <w:t xml:space="preserve">2.4 </w:t>
      </w:r>
      <w:r w:rsidR="00914A96" w:rsidRPr="006140E6">
        <w:rPr>
          <w:rFonts w:ascii="Arial" w:hAnsi="Arial" w:cs="Arial"/>
          <w:b/>
          <w:lang w:val="en-US"/>
        </w:rPr>
        <w:t>Human resource situation</w:t>
      </w:r>
      <w:r w:rsidR="00D80D99">
        <w:rPr>
          <w:rFonts w:ascii="Arial" w:hAnsi="Arial" w:cs="Arial"/>
          <w:b/>
          <w:lang w:val="en-US"/>
        </w:rPr>
        <w:t xml:space="preserve"> and its impact on EPI performance</w:t>
      </w:r>
    </w:p>
    <w:p w14:paraId="3BCE09B1" w14:textId="6C956831" w:rsidR="00914A96" w:rsidRDefault="00D80D99" w:rsidP="001F4121">
      <w:pPr>
        <w:pStyle w:val="ListParagraph"/>
        <w:ind w:left="0"/>
        <w:contextualSpacing w:val="0"/>
        <w:rPr>
          <w:rFonts w:ascii="Arial" w:hAnsi="Arial" w:cs="Arial"/>
          <w:lang w:val="en-US"/>
        </w:rPr>
      </w:pPr>
      <w:r>
        <w:rPr>
          <w:rFonts w:ascii="Arial" w:hAnsi="Arial" w:cs="Arial"/>
          <w:lang w:val="en-US"/>
        </w:rPr>
        <w:t xml:space="preserve">Immunization services in Ethiopia are largely provided by Health Officers (nurses) working from health centers and by the large cadre of health extension workers </w:t>
      </w:r>
      <w:r w:rsidR="00AA7F9D">
        <w:rPr>
          <w:rFonts w:ascii="Arial" w:hAnsi="Arial" w:cs="Arial"/>
          <w:lang w:val="en-US"/>
        </w:rPr>
        <w:t xml:space="preserve">(HEWs) </w:t>
      </w:r>
      <w:r>
        <w:rPr>
          <w:rFonts w:ascii="Arial" w:hAnsi="Arial" w:cs="Arial"/>
          <w:lang w:val="en-US"/>
        </w:rPr>
        <w:t>operating from the 16,000 or so health posts built in the 2000s. The workforce of community-based HEWs, created to address Ethiopia’s critical shortage of skilled health workers, numbered more than 35,000 by 2013. These female health workers are recruited from the communities in which they served, with the active participation of community leaders and members. They must have at least 10 years of schooling and are trained for one year at technical vocational education centers, including practical training at health centers. Two HEWs work at each health posts – splitting their time between the health post and nearby communities – and are responsible for providing a range of health services, from immunization and other MCH services, to the prevention and treatment of infectious diseases (e.g., TB, HIV/AIDS, malaria), first aid, sanitation and health education. The also work with community volunteers, village councils and local health offices and health centers.</w:t>
      </w:r>
    </w:p>
    <w:p w14:paraId="5F0AD25E" w14:textId="1021D4A7" w:rsidR="00D80D99" w:rsidRDefault="00D80D99" w:rsidP="001F4121">
      <w:pPr>
        <w:pStyle w:val="ListParagraph"/>
        <w:ind w:left="0"/>
        <w:contextualSpacing w:val="0"/>
        <w:rPr>
          <w:rFonts w:ascii="Arial" w:hAnsi="Arial" w:cs="Arial"/>
          <w:lang w:val="en-US"/>
        </w:rPr>
      </w:pPr>
      <w:r>
        <w:rPr>
          <w:rFonts w:ascii="Arial" w:hAnsi="Arial" w:cs="Arial"/>
          <w:lang w:val="en-US"/>
        </w:rPr>
        <w:lastRenderedPageBreak/>
        <w:t>According to several studies, these health workers have become the focal point in many communities for health and specifically for immunization.</w:t>
      </w:r>
      <w:r w:rsidR="00AA7F9D">
        <w:rPr>
          <w:rStyle w:val="FootnoteReference"/>
          <w:rFonts w:ascii="Arial" w:hAnsi="Arial" w:cs="Arial"/>
          <w:lang w:val="en-US"/>
        </w:rPr>
        <w:footnoteReference w:id="7"/>
      </w:r>
      <w:r>
        <w:rPr>
          <w:rFonts w:ascii="Arial" w:hAnsi="Arial" w:cs="Arial"/>
          <w:lang w:val="en-US"/>
        </w:rPr>
        <w:t xml:space="preserve"> Through their work organizing immunization sessions, raising awareness about immunization, establishing partnerships with community leaders and volunteers, and default tracking, they are considered a key factor in the country’s increase in immunization coverage since 2004, when DPT3 rates were 40% nationally. According to informants, the problems of high attrition rates and low morale among rural health workers that plague many countries </w:t>
      </w:r>
      <w:r w:rsidR="004A4FE5">
        <w:rPr>
          <w:rFonts w:ascii="Arial" w:hAnsi="Arial" w:cs="Arial"/>
          <w:lang w:val="en-US"/>
        </w:rPr>
        <w:t>are less prominent thus far among the HEWs. This is due to the fact that they come from the communities in which they serve and their government salaries (paid out of the MD</w:t>
      </w:r>
      <w:r w:rsidR="00DC02D8">
        <w:rPr>
          <w:rFonts w:ascii="Arial" w:hAnsi="Arial" w:cs="Arial"/>
          <w:lang w:val="en-US"/>
        </w:rPr>
        <w:t>G</w:t>
      </w:r>
      <w:r w:rsidR="004A4FE5">
        <w:rPr>
          <w:rFonts w:ascii="Arial" w:hAnsi="Arial" w:cs="Arial"/>
          <w:lang w:val="en-US"/>
        </w:rPr>
        <w:t xml:space="preserve"> Development Fund) have increased over time and are considered quite </w:t>
      </w:r>
      <w:r w:rsidR="00D6260F">
        <w:rPr>
          <w:rFonts w:ascii="Arial" w:hAnsi="Arial" w:cs="Arial"/>
          <w:lang w:val="en-US"/>
        </w:rPr>
        <w:t>competitive</w:t>
      </w:r>
      <w:r w:rsidR="004A4FE5">
        <w:rPr>
          <w:rFonts w:ascii="Arial" w:hAnsi="Arial" w:cs="Arial"/>
          <w:lang w:val="en-US"/>
        </w:rPr>
        <w:t xml:space="preserve">. </w:t>
      </w:r>
    </w:p>
    <w:p w14:paraId="7CDBB943" w14:textId="2CF3CC71" w:rsidR="004A4FE5" w:rsidRDefault="004A4FE5" w:rsidP="001F4121">
      <w:pPr>
        <w:pStyle w:val="ListParagraph"/>
        <w:ind w:left="0"/>
        <w:contextualSpacing w:val="0"/>
        <w:rPr>
          <w:rFonts w:ascii="Arial" w:hAnsi="Arial" w:cs="Arial"/>
          <w:lang w:val="en-US"/>
        </w:rPr>
      </w:pPr>
      <w:r>
        <w:rPr>
          <w:rFonts w:ascii="Arial" w:hAnsi="Arial" w:cs="Arial"/>
          <w:lang w:val="en-US"/>
        </w:rPr>
        <w:t>Assessments have found deficiencies in the skills and knowledge of this new workforce</w:t>
      </w:r>
      <w:r w:rsidR="00AA7F9D">
        <w:rPr>
          <w:rStyle w:val="FootnoteReference"/>
          <w:rFonts w:ascii="Arial" w:hAnsi="Arial" w:cs="Arial"/>
          <w:lang w:val="en-US"/>
        </w:rPr>
        <w:footnoteReference w:id="8"/>
      </w:r>
      <w:r w:rsidR="00AA7F9D">
        <w:rPr>
          <w:rFonts w:ascii="Arial" w:hAnsi="Arial" w:cs="Arial"/>
          <w:lang w:val="en-US"/>
        </w:rPr>
        <w:t xml:space="preserve"> </w:t>
      </w:r>
      <w:r>
        <w:rPr>
          <w:rFonts w:ascii="Arial" w:hAnsi="Arial" w:cs="Arial"/>
          <w:lang w:val="en-US"/>
        </w:rPr>
        <w:t xml:space="preserve">and consequently, they are currently receiving additional training and will continue to do through in-service training. There are also gaps in the supervision, monitoring and accountability </w:t>
      </w:r>
      <w:r w:rsidR="00AA7F9D">
        <w:rPr>
          <w:rFonts w:ascii="Arial" w:hAnsi="Arial" w:cs="Arial"/>
          <w:lang w:val="en-US"/>
        </w:rPr>
        <w:t xml:space="preserve">of HEWs </w:t>
      </w:r>
      <w:r>
        <w:rPr>
          <w:rFonts w:ascii="Arial" w:hAnsi="Arial" w:cs="Arial"/>
          <w:lang w:val="en-US"/>
        </w:rPr>
        <w:t>by district and health center officials</w:t>
      </w:r>
      <w:r w:rsidR="00AA7F9D">
        <w:rPr>
          <w:rFonts w:ascii="Arial" w:hAnsi="Arial" w:cs="Arial"/>
          <w:lang w:val="en-US"/>
        </w:rPr>
        <w:t>.</w:t>
      </w:r>
      <w:r>
        <w:rPr>
          <w:rFonts w:ascii="Arial" w:hAnsi="Arial" w:cs="Arial"/>
          <w:lang w:val="en-US"/>
        </w:rPr>
        <w:t xml:space="preserve"> </w:t>
      </w:r>
      <w:r w:rsidR="00B46B36">
        <w:rPr>
          <w:rFonts w:ascii="Arial" w:hAnsi="Arial" w:cs="Arial"/>
          <w:lang w:val="en-US"/>
        </w:rPr>
        <w:t>In addition</w:t>
      </w:r>
      <w:r>
        <w:rPr>
          <w:rFonts w:ascii="Arial" w:hAnsi="Arial" w:cs="Arial"/>
          <w:lang w:val="en-US"/>
        </w:rPr>
        <w:t xml:space="preserve">, </w:t>
      </w:r>
      <w:r w:rsidR="00B46B36">
        <w:rPr>
          <w:rFonts w:ascii="Arial" w:hAnsi="Arial" w:cs="Arial"/>
          <w:lang w:val="en-US"/>
        </w:rPr>
        <w:t>the HEWs</w:t>
      </w:r>
      <w:r>
        <w:rPr>
          <w:rFonts w:ascii="Arial" w:hAnsi="Arial" w:cs="Arial"/>
          <w:lang w:val="en-US"/>
        </w:rPr>
        <w:t xml:space="preserve"> </w:t>
      </w:r>
      <w:r w:rsidR="00B46B36">
        <w:rPr>
          <w:rFonts w:ascii="Arial" w:hAnsi="Arial" w:cs="Arial"/>
          <w:lang w:val="en-US"/>
        </w:rPr>
        <w:t>sometimes have other responsibilities beyond health and in some cases are</w:t>
      </w:r>
      <w:r>
        <w:rPr>
          <w:rFonts w:ascii="Arial" w:hAnsi="Arial" w:cs="Arial"/>
          <w:lang w:val="en-US"/>
        </w:rPr>
        <w:t xml:space="preserve"> reportedly spending increasing amounts of time attending political meetings, taking time away from their service delivery duties.</w:t>
      </w:r>
    </w:p>
    <w:p w14:paraId="5B1EF114" w14:textId="0E556A15" w:rsidR="004A4FE5" w:rsidRDefault="004A4FE5" w:rsidP="001F4121">
      <w:pPr>
        <w:pStyle w:val="ListParagraph"/>
        <w:ind w:left="0"/>
        <w:contextualSpacing w:val="0"/>
        <w:rPr>
          <w:rFonts w:ascii="Arial" w:hAnsi="Arial" w:cs="Arial"/>
          <w:lang w:val="en-US"/>
        </w:rPr>
      </w:pPr>
      <w:r>
        <w:rPr>
          <w:rFonts w:ascii="Arial" w:hAnsi="Arial" w:cs="Arial"/>
          <w:lang w:val="en-US"/>
        </w:rPr>
        <w:t>Another key strategy of the Health Extension Program to improve access to health services was the development, beginning in 2010/11</w:t>
      </w:r>
      <w:r w:rsidR="00B46B36">
        <w:rPr>
          <w:rFonts w:ascii="Arial" w:hAnsi="Arial" w:cs="Arial"/>
          <w:lang w:val="en-US"/>
        </w:rPr>
        <w:t>,</w:t>
      </w:r>
      <w:r>
        <w:rPr>
          <w:rFonts w:ascii="Arial" w:hAnsi="Arial" w:cs="Arial"/>
          <w:lang w:val="en-US"/>
        </w:rPr>
        <w:t xml:space="preserve"> of the Health Development Army (HDA), consisting of one </w:t>
      </w:r>
      <w:r w:rsidR="003F5FE8">
        <w:rPr>
          <w:rFonts w:ascii="Arial" w:hAnsi="Arial" w:cs="Arial"/>
          <w:lang w:val="en-US"/>
        </w:rPr>
        <w:t xml:space="preserve">community-based </w:t>
      </w:r>
      <w:r>
        <w:rPr>
          <w:rFonts w:ascii="Arial" w:hAnsi="Arial" w:cs="Arial"/>
          <w:lang w:val="en-US"/>
        </w:rPr>
        <w:t xml:space="preserve">volunteer for every five households in a village, who together form health development teams. </w:t>
      </w:r>
      <w:r w:rsidR="003F5FE8">
        <w:rPr>
          <w:rFonts w:ascii="Arial" w:hAnsi="Arial" w:cs="Arial"/>
          <w:lang w:val="en-US"/>
        </w:rPr>
        <w:t>The purpose of the HDA is to improve the use of high</w:t>
      </w:r>
      <w:r w:rsidR="00B46B36">
        <w:rPr>
          <w:rFonts w:ascii="Arial" w:hAnsi="Arial" w:cs="Arial"/>
          <w:lang w:val="en-US"/>
        </w:rPr>
        <w:t>-</w:t>
      </w:r>
      <w:r w:rsidR="003F5FE8">
        <w:rPr>
          <w:rFonts w:ascii="Arial" w:hAnsi="Arial" w:cs="Arial"/>
          <w:lang w:val="en-US"/>
        </w:rPr>
        <w:t>impact maternal, newborn and child health services by identify</w:t>
      </w:r>
      <w:r w:rsidR="00B46B36">
        <w:rPr>
          <w:rFonts w:ascii="Arial" w:hAnsi="Arial" w:cs="Arial"/>
          <w:lang w:val="en-US"/>
        </w:rPr>
        <w:t>ing</w:t>
      </w:r>
      <w:r w:rsidR="003F5FE8">
        <w:rPr>
          <w:rFonts w:ascii="Arial" w:hAnsi="Arial" w:cs="Arial"/>
          <w:lang w:val="en-US"/>
        </w:rPr>
        <w:t xml:space="preserve"> cultural, behavioral and other bottlenecks preventing families form using these services, and to devise and </w:t>
      </w:r>
      <w:r w:rsidR="00B46B36">
        <w:rPr>
          <w:rFonts w:ascii="Arial" w:hAnsi="Arial" w:cs="Arial"/>
          <w:lang w:val="en-US"/>
        </w:rPr>
        <w:t>execute</w:t>
      </w:r>
      <w:r w:rsidR="003F5FE8">
        <w:rPr>
          <w:rFonts w:ascii="Arial" w:hAnsi="Arial" w:cs="Arial"/>
          <w:lang w:val="en-US"/>
        </w:rPr>
        <w:t xml:space="preserve"> strategies to overcome these bottlenecks. HDA members receive 7-10 days of training from HEWs and district health officials. To increase immunization coverage, the</w:t>
      </w:r>
      <w:r w:rsidR="002E36C1">
        <w:rPr>
          <w:rFonts w:ascii="Arial" w:hAnsi="Arial" w:cs="Arial"/>
          <w:lang w:val="en-US"/>
        </w:rPr>
        <w:t>se volunteers</w:t>
      </w:r>
      <w:r w:rsidR="003F5FE8">
        <w:rPr>
          <w:rFonts w:ascii="Arial" w:hAnsi="Arial" w:cs="Arial"/>
          <w:lang w:val="en-US"/>
        </w:rPr>
        <w:t xml:space="preserve"> promote immunization among their assigned households, help organize outreach activities in their community, and assist with default tracking. According to the Government, there were three million HDA volunteers as of 2016.</w:t>
      </w:r>
    </w:p>
    <w:p w14:paraId="5C2B93FA" w14:textId="327D13E9" w:rsidR="003F5FE8" w:rsidRPr="00D80D99" w:rsidRDefault="003F5FE8" w:rsidP="001F4121">
      <w:pPr>
        <w:pStyle w:val="ListParagraph"/>
        <w:ind w:left="0"/>
        <w:contextualSpacing w:val="0"/>
        <w:rPr>
          <w:rFonts w:ascii="Arial" w:hAnsi="Arial" w:cs="Arial"/>
          <w:lang w:val="en-US"/>
        </w:rPr>
      </w:pPr>
      <w:r>
        <w:rPr>
          <w:rFonts w:ascii="Arial" w:hAnsi="Arial" w:cs="Arial"/>
          <w:lang w:val="en-US"/>
        </w:rPr>
        <w:t>EPI-specific staff in the Government consist of 7-8 people on the national EPI team, as well as immunization focal points in each of the country’s 11 regions</w:t>
      </w:r>
      <w:r w:rsidR="00B46B36">
        <w:rPr>
          <w:rFonts w:ascii="Arial" w:hAnsi="Arial" w:cs="Arial"/>
          <w:lang w:val="en-US"/>
        </w:rPr>
        <w:t xml:space="preserve"> or city administrations</w:t>
      </w:r>
      <w:r>
        <w:rPr>
          <w:rFonts w:ascii="Arial" w:hAnsi="Arial" w:cs="Arial"/>
          <w:lang w:val="en-US"/>
        </w:rPr>
        <w:t>, who deal exclusively with immunization. However, there are no longer EPI focal points devoted exclusively to immunization in most of the country’s 103 zones and more than 900 districts, and those responsible for EPI at these levels have many other responsibilities. To fill in this critical gap, the partner-supported Routine Immunization Improvement Plan (RIIP)</w:t>
      </w:r>
      <w:r w:rsidR="00B760C4">
        <w:rPr>
          <w:rFonts w:ascii="Arial" w:hAnsi="Arial" w:cs="Arial"/>
          <w:lang w:val="en-US"/>
        </w:rPr>
        <w:t xml:space="preserve"> includes funding and support for EPI technical assistants in the 51 zones where the Plan is operating (see more information on the RIIP in Section B below).</w:t>
      </w:r>
    </w:p>
    <w:p w14:paraId="22226D13" w14:textId="250E403B" w:rsidR="00914A96" w:rsidRPr="00B760C4" w:rsidRDefault="00914A96" w:rsidP="00B760C4">
      <w:pPr>
        <w:pStyle w:val="ListParagraph"/>
        <w:numPr>
          <w:ilvl w:val="0"/>
          <w:numId w:val="1"/>
        </w:numPr>
        <w:rPr>
          <w:rFonts w:ascii="Arial" w:hAnsi="Arial" w:cs="Arial"/>
          <w:b/>
          <w:sz w:val="24"/>
          <w:szCs w:val="24"/>
          <w:lang w:val="en-US"/>
        </w:rPr>
      </w:pPr>
      <w:r w:rsidRPr="00B760C4">
        <w:rPr>
          <w:rFonts w:ascii="Arial" w:hAnsi="Arial" w:cs="Arial"/>
          <w:b/>
          <w:sz w:val="24"/>
          <w:szCs w:val="24"/>
          <w:lang w:val="en-US"/>
        </w:rPr>
        <w:t>Progress towards specific GVAP goals (issues/challenges/successes)</w:t>
      </w:r>
    </w:p>
    <w:p w14:paraId="5C03C000" w14:textId="385FA1A7" w:rsidR="00B760C4" w:rsidRPr="00B760C4" w:rsidRDefault="00B760C4" w:rsidP="00B760C4">
      <w:pPr>
        <w:rPr>
          <w:rFonts w:ascii="Arial" w:hAnsi="Arial" w:cs="Arial"/>
          <w:b/>
          <w:lang w:val="en-US"/>
        </w:rPr>
      </w:pPr>
      <w:r w:rsidRPr="00B760C4">
        <w:rPr>
          <w:rFonts w:ascii="Arial" w:hAnsi="Arial" w:cs="Arial"/>
          <w:b/>
          <w:lang w:val="en-US"/>
        </w:rPr>
        <w:t>3.</w:t>
      </w:r>
      <w:r>
        <w:rPr>
          <w:rFonts w:ascii="Arial" w:hAnsi="Arial" w:cs="Arial"/>
          <w:b/>
          <w:lang w:val="en-US"/>
        </w:rPr>
        <w:t xml:space="preserve">1 </w:t>
      </w:r>
      <w:r w:rsidRPr="00B760C4">
        <w:rPr>
          <w:rFonts w:ascii="Arial" w:hAnsi="Arial" w:cs="Arial"/>
          <w:b/>
          <w:lang w:val="en-US"/>
        </w:rPr>
        <w:t>Go</w:t>
      </w:r>
      <w:r>
        <w:rPr>
          <w:rFonts w:ascii="Arial" w:hAnsi="Arial" w:cs="Arial"/>
          <w:b/>
          <w:lang w:val="en-US"/>
        </w:rPr>
        <w:t>al 1: Achieve a world free of p</w:t>
      </w:r>
      <w:r w:rsidRPr="00B760C4">
        <w:rPr>
          <w:rFonts w:ascii="Arial" w:hAnsi="Arial" w:cs="Arial"/>
          <w:b/>
          <w:lang w:val="en-US"/>
        </w:rPr>
        <w:t>oliomyelitis</w:t>
      </w:r>
    </w:p>
    <w:p w14:paraId="1DBF4107" w14:textId="0BCF80ED" w:rsidR="00914A96" w:rsidRDefault="00B760C4" w:rsidP="00B760C4">
      <w:pPr>
        <w:rPr>
          <w:rFonts w:ascii="Arial" w:hAnsi="Arial" w:cs="Arial"/>
          <w:lang w:val="en-US"/>
        </w:rPr>
      </w:pPr>
      <w:r>
        <w:rPr>
          <w:rFonts w:ascii="Arial" w:hAnsi="Arial" w:cs="Arial"/>
          <w:lang w:val="en-US"/>
        </w:rPr>
        <w:lastRenderedPageBreak/>
        <w:t>Ethiopia has not had an indigenous case of wild polio virus (WPV) reported since 2001. However, due to importations along the Somalian and S. Sudanese borders in 2013</w:t>
      </w:r>
      <w:r w:rsidR="00AF0E45">
        <w:rPr>
          <w:rFonts w:ascii="Arial" w:hAnsi="Arial" w:cs="Arial"/>
          <w:lang w:val="en-US"/>
        </w:rPr>
        <w:t>/</w:t>
      </w:r>
      <w:r>
        <w:rPr>
          <w:rFonts w:ascii="Arial" w:hAnsi="Arial" w:cs="Arial"/>
          <w:lang w:val="en-US"/>
        </w:rPr>
        <w:t>201</w:t>
      </w:r>
      <w:r w:rsidR="00AF0E45">
        <w:rPr>
          <w:rFonts w:ascii="Arial" w:hAnsi="Arial" w:cs="Arial"/>
          <w:lang w:val="en-US"/>
        </w:rPr>
        <w:t>4</w:t>
      </w:r>
      <w:r>
        <w:rPr>
          <w:rFonts w:ascii="Arial" w:hAnsi="Arial" w:cs="Arial"/>
          <w:lang w:val="en-US"/>
        </w:rPr>
        <w:t xml:space="preserve"> – with a total of 10 confirmed cases – the country has not yet been certified polio-free. The last case was in January 2014 and Ethiopia was removed from the polio outbreak list in March 2015.</w:t>
      </w:r>
      <w:r w:rsidR="00153320">
        <w:rPr>
          <w:rStyle w:val="FootnoteReference"/>
          <w:rFonts w:ascii="Arial" w:hAnsi="Arial" w:cs="Arial"/>
          <w:lang w:val="en-US"/>
        </w:rPr>
        <w:footnoteReference w:id="9"/>
      </w:r>
      <w:r>
        <w:rPr>
          <w:rFonts w:ascii="Arial" w:hAnsi="Arial" w:cs="Arial"/>
          <w:lang w:val="en-US"/>
        </w:rPr>
        <w:t xml:space="preserve"> Sporadic cases of vaccine-derived disease have also been detected (seven cases between 2008 and 2012), but none since 2012. </w:t>
      </w:r>
    </w:p>
    <w:p w14:paraId="7FABF65F" w14:textId="79B41CD4" w:rsidR="00B760C4" w:rsidRDefault="00B760C4" w:rsidP="00B760C4">
      <w:pPr>
        <w:rPr>
          <w:rFonts w:ascii="Arial" w:hAnsi="Arial" w:cs="Arial"/>
          <w:lang w:val="en-US"/>
        </w:rPr>
      </w:pPr>
      <w:r>
        <w:rPr>
          <w:rFonts w:ascii="Arial" w:hAnsi="Arial" w:cs="Arial"/>
          <w:lang w:val="en-US"/>
        </w:rPr>
        <w:t>However, because of its location in the “WPV importation belt” in Africa and its proximity to Somalia, which has large numbers of children not immunized against polio, Ethiopia is still classified by WHO as “vulnerable to international spread” of WPV</w:t>
      </w:r>
      <w:r w:rsidR="00153320">
        <w:rPr>
          <w:rFonts w:ascii="Arial" w:hAnsi="Arial" w:cs="Arial"/>
          <w:lang w:val="en-US"/>
        </w:rPr>
        <w:t>.</w:t>
      </w:r>
      <w:r w:rsidR="00153320">
        <w:rPr>
          <w:rStyle w:val="FootnoteReference"/>
          <w:rFonts w:ascii="Arial" w:hAnsi="Arial" w:cs="Arial"/>
          <w:lang w:val="en-US"/>
        </w:rPr>
        <w:footnoteReference w:id="10"/>
      </w:r>
      <w:r>
        <w:rPr>
          <w:rFonts w:ascii="Arial" w:hAnsi="Arial" w:cs="Arial"/>
          <w:lang w:val="en-US"/>
        </w:rPr>
        <w:t xml:space="preserve"> </w:t>
      </w:r>
    </w:p>
    <w:p w14:paraId="09BB41EE" w14:textId="77777777" w:rsidR="0074708B" w:rsidRDefault="00B760C4" w:rsidP="00B760C4">
      <w:pPr>
        <w:rPr>
          <w:rFonts w:ascii="Arial" w:hAnsi="Arial" w:cs="Arial"/>
          <w:lang w:val="en-US"/>
        </w:rPr>
      </w:pPr>
      <w:r>
        <w:rPr>
          <w:rFonts w:ascii="Arial" w:hAnsi="Arial" w:cs="Arial"/>
          <w:lang w:val="en-US"/>
        </w:rPr>
        <w:t>In response to the 2013/14 outbreak, the country has conducted a series of national and sub-national immunization days – with 12 rounds of SNIDs and three NIDs alon</w:t>
      </w:r>
      <w:r w:rsidR="00153320">
        <w:rPr>
          <w:rFonts w:ascii="Arial" w:hAnsi="Arial" w:cs="Arial"/>
          <w:lang w:val="en-US"/>
        </w:rPr>
        <w:t>e</w:t>
      </w:r>
      <w:r>
        <w:rPr>
          <w:rFonts w:ascii="Arial" w:hAnsi="Arial" w:cs="Arial"/>
          <w:lang w:val="en-US"/>
        </w:rPr>
        <w:t xml:space="preserve"> in 2013/14. Another NID took place in 2015 and SNIDs</w:t>
      </w:r>
      <w:r w:rsidR="008E352E">
        <w:rPr>
          <w:rFonts w:ascii="Arial" w:hAnsi="Arial" w:cs="Arial"/>
          <w:lang w:val="en-US"/>
        </w:rPr>
        <w:t xml:space="preserve"> in high-risk areas are continuing into 2016. These campaigns – often combined with measles vaccination – receive substantial financial and technical assistance from international partners, and </w:t>
      </w:r>
      <w:r w:rsidR="0074708B">
        <w:rPr>
          <w:rFonts w:ascii="Arial" w:hAnsi="Arial" w:cs="Arial"/>
          <w:lang w:val="en-US"/>
        </w:rPr>
        <w:t xml:space="preserve">according to independent monitoring data, have achieved high coverage (&gt;90% in most areas). </w:t>
      </w:r>
    </w:p>
    <w:p w14:paraId="5658C698" w14:textId="315A58A0" w:rsidR="00B760C4" w:rsidRDefault="0074708B" w:rsidP="00B760C4">
      <w:pPr>
        <w:rPr>
          <w:rFonts w:ascii="Arial" w:hAnsi="Arial" w:cs="Arial"/>
          <w:lang w:val="en-US"/>
        </w:rPr>
      </w:pPr>
      <w:r>
        <w:rPr>
          <w:rFonts w:ascii="Arial" w:hAnsi="Arial" w:cs="Arial"/>
          <w:lang w:val="en-US"/>
        </w:rPr>
        <w:t>A</w:t>
      </w:r>
      <w:r w:rsidR="008E352E">
        <w:rPr>
          <w:rFonts w:ascii="Arial" w:hAnsi="Arial" w:cs="Arial"/>
          <w:lang w:val="en-US"/>
        </w:rPr>
        <w:t xml:space="preserve">long with improvements to the routine immunization program in recent years, the polio SIAs have led to a jump in coverage of three doses of polio vaccine from 70% in 2011 to 85% in 2015 (WUENIC estimates). The country has also set up 28 permanent vaccination points at border crossing with Somalia and major transit points. </w:t>
      </w:r>
      <w:r w:rsidR="00153320">
        <w:rPr>
          <w:rFonts w:ascii="Arial" w:hAnsi="Arial" w:cs="Arial"/>
          <w:lang w:val="en-US"/>
        </w:rPr>
        <w:t xml:space="preserve">In addition, </w:t>
      </w:r>
      <w:r w:rsidR="008E352E">
        <w:rPr>
          <w:rFonts w:ascii="Arial" w:hAnsi="Arial" w:cs="Arial"/>
          <w:lang w:val="en-US"/>
        </w:rPr>
        <w:t xml:space="preserve">IPV </w:t>
      </w:r>
      <w:r w:rsidR="00153320">
        <w:rPr>
          <w:rFonts w:ascii="Arial" w:hAnsi="Arial" w:cs="Arial"/>
          <w:lang w:val="en-US"/>
        </w:rPr>
        <w:t>was introduced into the routine immunization (</w:t>
      </w:r>
      <w:r w:rsidR="008E352E">
        <w:rPr>
          <w:rFonts w:ascii="Arial" w:hAnsi="Arial" w:cs="Arial"/>
          <w:lang w:val="en-US"/>
        </w:rPr>
        <w:t>for the third polio vaccine dose</w:t>
      </w:r>
      <w:r w:rsidR="00153320">
        <w:rPr>
          <w:rFonts w:ascii="Arial" w:hAnsi="Arial" w:cs="Arial"/>
          <w:lang w:val="en-US"/>
        </w:rPr>
        <w:t>)</w:t>
      </w:r>
      <w:r w:rsidR="008E352E">
        <w:rPr>
          <w:rFonts w:ascii="Arial" w:hAnsi="Arial" w:cs="Arial"/>
          <w:lang w:val="en-US"/>
        </w:rPr>
        <w:t xml:space="preserve"> in 2015. Ethiopia plans to present its dossier for polio eradication in 2017, in anticipation of being declared polio-free in 2018.</w:t>
      </w:r>
    </w:p>
    <w:p w14:paraId="00F7B83C" w14:textId="3E63AD6F" w:rsidR="008E352E" w:rsidRDefault="008E352E" w:rsidP="00B760C4">
      <w:pPr>
        <w:rPr>
          <w:rFonts w:ascii="Arial" w:hAnsi="Arial" w:cs="Arial"/>
          <w:lang w:val="en-US"/>
        </w:rPr>
      </w:pPr>
      <w:r>
        <w:rPr>
          <w:rFonts w:ascii="Arial" w:hAnsi="Arial" w:cs="Arial"/>
          <w:lang w:val="en-US"/>
        </w:rPr>
        <w:t>Besides vaccination, the country’s primary means of preventing polio transmission is through strong AFP and polio surveillance</w:t>
      </w:r>
      <w:r w:rsidR="00153320">
        <w:rPr>
          <w:rFonts w:ascii="Arial" w:hAnsi="Arial" w:cs="Arial"/>
          <w:lang w:val="en-US"/>
        </w:rPr>
        <w:t xml:space="preserve">. </w:t>
      </w:r>
      <w:r>
        <w:rPr>
          <w:rFonts w:ascii="Arial" w:hAnsi="Arial" w:cs="Arial"/>
          <w:lang w:val="en-US"/>
        </w:rPr>
        <w:t>Ethiopia is considered to have a good polio surveillance infrastructure in place, due to a high commitment to and ownership of disease surveillance by the Government, led by the Public Health Emergency Management division of the Ethiopian Public Health Institute. Unlike for the immunization program, there are dedicated disease surveillance focal points in place at all levels (regional, zonal, district)</w:t>
      </w:r>
      <w:r w:rsidR="00153320">
        <w:rPr>
          <w:rFonts w:ascii="Arial" w:hAnsi="Arial" w:cs="Arial"/>
          <w:lang w:val="en-US"/>
        </w:rPr>
        <w:t>. P</w:t>
      </w:r>
      <w:r w:rsidR="007368DB">
        <w:rPr>
          <w:rFonts w:ascii="Arial" w:hAnsi="Arial" w:cs="Arial"/>
          <w:lang w:val="en-US"/>
        </w:rPr>
        <w:t xml:space="preserve">rivate health providers, including some traditional healers, participate in disease </w:t>
      </w:r>
      <w:r w:rsidR="00153320">
        <w:rPr>
          <w:rFonts w:ascii="Arial" w:hAnsi="Arial" w:cs="Arial"/>
          <w:lang w:val="en-US"/>
        </w:rPr>
        <w:t>reporting in most regions</w:t>
      </w:r>
      <w:r w:rsidR="007368DB">
        <w:rPr>
          <w:rFonts w:ascii="Arial" w:hAnsi="Arial" w:cs="Arial"/>
          <w:lang w:val="en-US"/>
        </w:rPr>
        <w:t>.</w:t>
      </w:r>
      <w:r w:rsidR="00153320">
        <w:rPr>
          <w:rStyle w:val="FootnoteReference"/>
          <w:rFonts w:ascii="Arial" w:hAnsi="Arial" w:cs="Arial"/>
          <w:lang w:val="en-US"/>
        </w:rPr>
        <w:footnoteReference w:id="11"/>
      </w:r>
      <w:r w:rsidR="007368DB">
        <w:rPr>
          <w:rFonts w:ascii="Arial" w:hAnsi="Arial" w:cs="Arial"/>
          <w:lang w:val="en-US"/>
        </w:rPr>
        <w:t xml:space="preserve"> Community-based surveillance –</w:t>
      </w:r>
      <w:r w:rsidR="0074708B">
        <w:rPr>
          <w:rFonts w:ascii="Arial" w:hAnsi="Arial" w:cs="Arial"/>
          <w:lang w:val="en-US"/>
        </w:rPr>
        <w:t xml:space="preserve"> </w:t>
      </w:r>
      <w:r w:rsidR="007368DB">
        <w:rPr>
          <w:rFonts w:ascii="Arial" w:hAnsi="Arial" w:cs="Arial"/>
          <w:lang w:val="en-US"/>
        </w:rPr>
        <w:t xml:space="preserve">using HEWS and HDA volunteers – has also been implemented in most regions, most intensively in five regions with the support of 12 local NGOs. In one year (from 2014 to 2015), the percent of AFP cases notified by community volunteers in these five regions </w:t>
      </w:r>
      <w:r w:rsidR="0074708B">
        <w:rPr>
          <w:rFonts w:ascii="Arial" w:hAnsi="Arial" w:cs="Arial"/>
          <w:lang w:val="en-US"/>
        </w:rPr>
        <w:t xml:space="preserve">tripled </w:t>
      </w:r>
      <w:r w:rsidR="007368DB">
        <w:rPr>
          <w:rFonts w:ascii="Arial" w:hAnsi="Arial" w:cs="Arial"/>
          <w:lang w:val="en-US"/>
        </w:rPr>
        <w:t>– from 5% of all noti</w:t>
      </w:r>
      <w:r w:rsidR="00153320">
        <w:rPr>
          <w:rFonts w:ascii="Arial" w:hAnsi="Arial" w:cs="Arial"/>
          <w:lang w:val="en-US"/>
        </w:rPr>
        <w:t>fied cases to 15%</w:t>
      </w:r>
      <w:r w:rsidR="007368DB">
        <w:rPr>
          <w:rFonts w:ascii="Arial" w:hAnsi="Arial" w:cs="Arial"/>
          <w:lang w:val="en-US"/>
        </w:rPr>
        <w:t>.</w:t>
      </w:r>
      <w:r w:rsidR="00153320">
        <w:rPr>
          <w:rStyle w:val="FootnoteReference"/>
          <w:rFonts w:ascii="Arial" w:hAnsi="Arial" w:cs="Arial"/>
          <w:lang w:val="en-US"/>
        </w:rPr>
        <w:footnoteReference w:id="12"/>
      </w:r>
    </w:p>
    <w:p w14:paraId="635113FB" w14:textId="2C4B8F75" w:rsidR="007368DB" w:rsidRDefault="007368DB" w:rsidP="00B760C4">
      <w:pPr>
        <w:rPr>
          <w:rFonts w:ascii="Arial" w:hAnsi="Arial" w:cs="Arial"/>
          <w:lang w:val="en-US"/>
        </w:rPr>
      </w:pPr>
      <w:r>
        <w:rPr>
          <w:rFonts w:ascii="Arial" w:hAnsi="Arial" w:cs="Arial"/>
          <w:lang w:val="en-US"/>
        </w:rPr>
        <w:t>An external review of the surveillance system conducted in 2015 found that more than 80% of AFP cases were validated, surveillance focal points conducted active surveillance of health facilities and submit</w:t>
      </w:r>
      <w:r w:rsidR="0074708B">
        <w:rPr>
          <w:rFonts w:ascii="Arial" w:hAnsi="Arial" w:cs="Arial"/>
          <w:lang w:val="en-US"/>
        </w:rPr>
        <w:t>ted</w:t>
      </w:r>
      <w:r>
        <w:rPr>
          <w:rFonts w:ascii="Arial" w:hAnsi="Arial" w:cs="Arial"/>
          <w:lang w:val="en-US"/>
        </w:rPr>
        <w:t xml:space="preserve"> weekly reports (compiled into a national weekly bulletin shared with stakeholders), and the quality of case investigations was strong. However, there remain a number of gaps in the country’s </w:t>
      </w:r>
      <w:r w:rsidR="0074708B">
        <w:rPr>
          <w:rFonts w:ascii="Arial" w:hAnsi="Arial" w:cs="Arial"/>
          <w:lang w:val="en-US"/>
        </w:rPr>
        <w:t>AFP/</w:t>
      </w:r>
      <w:r>
        <w:rPr>
          <w:rFonts w:ascii="Arial" w:hAnsi="Arial" w:cs="Arial"/>
          <w:lang w:val="en-US"/>
        </w:rPr>
        <w:t xml:space="preserve">polio surveillance system, which need to be addressed to reduce the risk of transmission from imported cases and </w:t>
      </w:r>
      <w:r w:rsidR="0074708B">
        <w:rPr>
          <w:rFonts w:ascii="Arial" w:hAnsi="Arial" w:cs="Arial"/>
          <w:lang w:val="en-US"/>
        </w:rPr>
        <w:t xml:space="preserve">to </w:t>
      </w:r>
      <w:r>
        <w:rPr>
          <w:rFonts w:ascii="Arial" w:hAnsi="Arial" w:cs="Arial"/>
          <w:lang w:val="en-US"/>
        </w:rPr>
        <w:t>achieve polio-free status by 2018. The quality of active surveillance was found in the external review to be inadequate in all regi</w:t>
      </w:r>
      <w:r w:rsidR="004E7450">
        <w:rPr>
          <w:rFonts w:ascii="Arial" w:hAnsi="Arial" w:cs="Arial"/>
          <w:lang w:val="en-US"/>
        </w:rPr>
        <w:t>ons, due to high staff turnover and</w:t>
      </w:r>
      <w:r>
        <w:rPr>
          <w:rFonts w:ascii="Arial" w:hAnsi="Arial" w:cs="Arial"/>
          <w:lang w:val="en-US"/>
        </w:rPr>
        <w:t xml:space="preserve"> limited transportation and resou</w:t>
      </w:r>
      <w:r w:rsidR="004E7450">
        <w:rPr>
          <w:rFonts w:ascii="Arial" w:hAnsi="Arial" w:cs="Arial"/>
          <w:lang w:val="en-US"/>
        </w:rPr>
        <w:t xml:space="preserve">rces </w:t>
      </w:r>
      <w:r w:rsidR="004E7450">
        <w:rPr>
          <w:rFonts w:ascii="Arial" w:hAnsi="Arial" w:cs="Arial"/>
          <w:lang w:val="en-US"/>
        </w:rPr>
        <w:lastRenderedPageBreak/>
        <w:t>for surveillance</w:t>
      </w:r>
      <w:r>
        <w:rPr>
          <w:rFonts w:ascii="Arial" w:hAnsi="Arial" w:cs="Arial"/>
          <w:lang w:val="en-US"/>
        </w:rPr>
        <w:t xml:space="preserve">. Some AFP cases were consequently unreported in three regions. </w:t>
      </w:r>
      <w:r w:rsidR="004E7450">
        <w:rPr>
          <w:rFonts w:ascii="Arial" w:hAnsi="Arial" w:cs="Arial"/>
          <w:lang w:val="en-US"/>
        </w:rPr>
        <w:t xml:space="preserve">In addition, </w:t>
      </w:r>
      <w:r>
        <w:rPr>
          <w:rFonts w:ascii="Arial" w:hAnsi="Arial" w:cs="Arial"/>
          <w:lang w:val="en-US"/>
        </w:rPr>
        <w:t>community-based surveillance is still being developed in many regions, which is further complicate</w:t>
      </w:r>
      <w:r w:rsidR="004E7450">
        <w:rPr>
          <w:rFonts w:ascii="Arial" w:hAnsi="Arial" w:cs="Arial"/>
          <w:lang w:val="en-US"/>
        </w:rPr>
        <w:t xml:space="preserve">d by the seasonal movement of people in some regions.  </w:t>
      </w:r>
    </w:p>
    <w:p w14:paraId="4127115E" w14:textId="77777777" w:rsidR="004E7450" w:rsidRPr="006140E6" w:rsidRDefault="004E7450" w:rsidP="0019049C">
      <w:pPr>
        <w:pStyle w:val="ListParagraph"/>
        <w:numPr>
          <w:ilvl w:val="1"/>
          <w:numId w:val="18"/>
        </w:numPr>
        <w:contextualSpacing w:val="0"/>
        <w:rPr>
          <w:rFonts w:ascii="Arial" w:hAnsi="Arial" w:cs="Arial"/>
          <w:b/>
          <w:lang w:val="en-US"/>
        </w:rPr>
      </w:pPr>
      <w:r w:rsidRPr="006140E6">
        <w:rPr>
          <w:rFonts w:ascii="Arial" w:hAnsi="Arial" w:cs="Arial"/>
          <w:b/>
          <w:lang w:val="en-US"/>
        </w:rPr>
        <w:t xml:space="preserve">  Goal 2 : Meet global and regional elimination targets</w:t>
      </w:r>
    </w:p>
    <w:p w14:paraId="12D21413" w14:textId="5EAEF5F3" w:rsidR="004E7450" w:rsidRPr="004E7450" w:rsidRDefault="004E7450" w:rsidP="0019049C">
      <w:pPr>
        <w:pStyle w:val="ListParagraph"/>
        <w:numPr>
          <w:ilvl w:val="2"/>
          <w:numId w:val="18"/>
        </w:numPr>
        <w:contextualSpacing w:val="0"/>
        <w:rPr>
          <w:rFonts w:ascii="Arial" w:hAnsi="Arial" w:cs="Arial"/>
          <w:b/>
          <w:lang w:val="en-US"/>
        </w:rPr>
      </w:pPr>
      <w:r w:rsidRPr="004E7450">
        <w:rPr>
          <w:rFonts w:ascii="Arial" w:hAnsi="Arial" w:cs="Arial"/>
          <w:b/>
          <w:lang w:val="en-US"/>
        </w:rPr>
        <w:t xml:space="preserve">Achieve maternal and neonatal tetanus elimination </w:t>
      </w:r>
    </w:p>
    <w:p w14:paraId="60991CF4" w14:textId="67259363" w:rsidR="004E7450" w:rsidRDefault="004E7450" w:rsidP="003E2E31">
      <w:pPr>
        <w:rPr>
          <w:rFonts w:ascii="Arial" w:hAnsi="Arial" w:cs="Arial"/>
          <w:lang w:val="en-US"/>
        </w:rPr>
      </w:pPr>
      <w:r>
        <w:rPr>
          <w:rFonts w:ascii="Arial" w:hAnsi="Arial" w:cs="Arial"/>
          <w:lang w:val="en-US"/>
        </w:rPr>
        <w:t xml:space="preserve">Ethiopia has partially achieved this goal – with elimination validated in 2011 in 10 of the country’s </w:t>
      </w:r>
      <w:r w:rsidR="0074708B">
        <w:rPr>
          <w:rFonts w:ascii="Arial" w:hAnsi="Arial" w:cs="Arial"/>
          <w:lang w:val="en-US"/>
        </w:rPr>
        <w:t>nine</w:t>
      </w:r>
      <w:r>
        <w:rPr>
          <w:rFonts w:ascii="Arial" w:hAnsi="Arial" w:cs="Arial"/>
          <w:lang w:val="en-US"/>
        </w:rPr>
        <w:t xml:space="preserve"> regions </w:t>
      </w:r>
      <w:r w:rsidR="0074708B">
        <w:rPr>
          <w:rFonts w:ascii="Arial" w:hAnsi="Arial" w:cs="Arial"/>
          <w:lang w:val="en-US"/>
        </w:rPr>
        <w:t xml:space="preserve">and two city administrations </w:t>
      </w:r>
      <w:r>
        <w:rPr>
          <w:rFonts w:ascii="Arial" w:hAnsi="Arial" w:cs="Arial"/>
          <w:lang w:val="en-US"/>
        </w:rPr>
        <w:t xml:space="preserve">(all but the Somali region). This has been accomplished through TT vaccination campaigns targeting 15-49 year old females </w:t>
      </w:r>
      <w:r w:rsidR="0074708B">
        <w:rPr>
          <w:rFonts w:ascii="Arial" w:hAnsi="Arial" w:cs="Arial"/>
          <w:lang w:val="en-US"/>
        </w:rPr>
        <w:t xml:space="preserve">in 62 high-risk zones </w:t>
      </w:r>
      <w:r>
        <w:rPr>
          <w:rFonts w:ascii="Arial" w:hAnsi="Arial" w:cs="Arial"/>
          <w:lang w:val="en-US"/>
        </w:rPr>
        <w:t>with three vaccine doses, beginning in 1999, when the count</w:t>
      </w:r>
      <w:r w:rsidR="0074708B">
        <w:rPr>
          <w:rFonts w:ascii="Arial" w:hAnsi="Arial" w:cs="Arial"/>
          <w:lang w:val="en-US"/>
        </w:rPr>
        <w:t>r</w:t>
      </w:r>
      <w:r>
        <w:rPr>
          <w:rFonts w:ascii="Arial" w:hAnsi="Arial" w:cs="Arial"/>
          <w:lang w:val="en-US"/>
        </w:rPr>
        <w:t>y had an estimated 13,400 neonatal tetanus deaths.</w:t>
      </w:r>
      <w:r w:rsidR="0074708B">
        <w:rPr>
          <w:rStyle w:val="FootnoteReference"/>
          <w:rFonts w:ascii="Arial" w:hAnsi="Arial" w:cs="Arial"/>
          <w:lang w:val="en-US"/>
        </w:rPr>
        <w:footnoteReference w:id="13"/>
      </w:r>
      <w:r>
        <w:rPr>
          <w:rFonts w:ascii="Arial" w:hAnsi="Arial" w:cs="Arial"/>
          <w:lang w:val="en-US"/>
        </w:rPr>
        <w:t xml:space="preserve"> The campaigns – using nurses, HEWS, nursing and medical students – vaccinated 15 million women from 1999 to 2013, achieving an average coverage rate of 81% for two TT doses and 66% for three doses, according to </w:t>
      </w:r>
      <w:r w:rsidR="0074708B">
        <w:rPr>
          <w:rFonts w:ascii="Arial" w:hAnsi="Arial" w:cs="Arial"/>
          <w:lang w:val="en-US"/>
        </w:rPr>
        <w:t>EPI administrative data</w:t>
      </w:r>
      <w:r>
        <w:rPr>
          <w:rFonts w:ascii="Arial" w:hAnsi="Arial" w:cs="Arial"/>
          <w:lang w:val="en-US"/>
        </w:rPr>
        <w:t>.</w:t>
      </w:r>
      <w:r w:rsidR="0074708B">
        <w:rPr>
          <w:rStyle w:val="FootnoteReference"/>
          <w:rFonts w:ascii="Arial" w:hAnsi="Arial" w:cs="Arial"/>
          <w:lang w:val="en-US"/>
        </w:rPr>
        <w:footnoteReference w:id="14"/>
      </w:r>
      <w:r>
        <w:rPr>
          <w:rFonts w:ascii="Arial" w:hAnsi="Arial" w:cs="Arial"/>
          <w:lang w:val="en-US"/>
        </w:rPr>
        <w:t xml:space="preserve"> The WHO-UNICEF </w:t>
      </w:r>
      <w:r w:rsidR="00281949">
        <w:rPr>
          <w:rFonts w:ascii="Arial" w:hAnsi="Arial" w:cs="Arial"/>
          <w:lang w:val="en-US"/>
        </w:rPr>
        <w:t xml:space="preserve">(WUENIC) </w:t>
      </w:r>
      <w:r>
        <w:rPr>
          <w:rFonts w:ascii="Arial" w:hAnsi="Arial" w:cs="Arial"/>
          <w:lang w:val="en-US"/>
        </w:rPr>
        <w:t xml:space="preserve">estimated coverage rate for protection at birth was 80% in 2015. The AFP/polio surveillance network is used for case-based MNT surveillance. </w:t>
      </w:r>
    </w:p>
    <w:p w14:paraId="465FA7A3" w14:textId="1592FB82" w:rsidR="004E7450" w:rsidRDefault="004E7450" w:rsidP="004E7450">
      <w:pPr>
        <w:rPr>
          <w:rFonts w:ascii="Arial" w:hAnsi="Arial" w:cs="Arial"/>
          <w:lang w:val="en-US"/>
        </w:rPr>
      </w:pPr>
      <w:r>
        <w:rPr>
          <w:rFonts w:ascii="Arial" w:hAnsi="Arial" w:cs="Arial"/>
          <w:lang w:val="en-US"/>
        </w:rPr>
        <w:t>According to informants, the country is on track to achieve M</w:t>
      </w:r>
      <w:r w:rsidR="003E4FEA">
        <w:rPr>
          <w:rFonts w:ascii="Arial" w:hAnsi="Arial" w:cs="Arial"/>
          <w:lang w:val="en-US"/>
        </w:rPr>
        <w:t>N</w:t>
      </w:r>
      <w:r>
        <w:rPr>
          <w:rFonts w:ascii="Arial" w:hAnsi="Arial" w:cs="Arial"/>
          <w:lang w:val="en-US"/>
        </w:rPr>
        <w:t>T elimination nation-wide</w:t>
      </w:r>
      <w:r w:rsidR="0019049C">
        <w:rPr>
          <w:rFonts w:ascii="Arial" w:hAnsi="Arial" w:cs="Arial"/>
          <w:lang w:val="en-US"/>
        </w:rPr>
        <w:t xml:space="preserve"> by the end of 2016, after </w:t>
      </w:r>
      <w:r w:rsidR="00971509">
        <w:rPr>
          <w:rFonts w:ascii="Arial" w:hAnsi="Arial" w:cs="Arial"/>
          <w:lang w:val="en-US"/>
        </w:rPr>
        <w:t xml:space="preserve">it completes TT SIAs recommended by the validation committee </w:t>
      </w:r>
      <w:r w:rsidR="0019049C">
        <w:rPr>
          <w:rFonts w:ascii="Arial" w:hAnsi="Arial" w:cs="Arial"/>
          <w:lang w:val="en-US"/>
        </w:rPr>
        <w:t xml:space="preserve">in </w:t>
      </w:r>
      <w:r w:rsidR="00971509">
        <w:rPr>
          <w:rFonts w:ascii="Arial" w:hAnsi="Arial" w:cs="Arial"/>
          <w:lang w:val="en-US"/>
        </w:rPr>
        <w:t>five</w:t>
      </w:r>
      <w:r w:rsidR="0019049C">
        <w:rPr>
          <w:rFonts w:ascii="Arial" w:hAnsi="Arial" w:cs="Arial"/>
          <w:lang w:val="en-US"/>
        </w:rPr>
        <w:t xml:space="preserve"> zones in the Somali region </w:t>
      </w:r>
      <w:r w:rsidR="00971509">
        <w:rPr>
          <w:rFonts w:ascii="Arial" w:hAnsi="Arial" w:cs="Arial"/>
          <w:lang w:val="en-US"/>
        </w:rPr>
        <w:t>that had achieved less than 80% coverage through the SIAs conducted there in 2012</w:t>
      </w:r>
      <w:r w:rsidR="0019049C">
        <w:rPr>
          <w:rFonts w:ascii="Arial" w:hAnsi="Arial" w:cs="Arial"/>
          <w:lang w:val="en-US"/>
        </w:rPr>
        <w:t>.</w:t>
      </w:r>
    </w:p>
    <w:p w14:paraId="382AF0C4" w14:textId="33F9ED6B" w:rsidR="0019049C" w:rsidRPr="0019049C" w:rsidRDefault="0019049C" w:rsidP="0019049C">
      <w:pPr>
        <w:pStyle w:val="ListParagraph"/>
        <w:numPr>
          <w:ilvl w:val="2"/>
          <w:numId w:val="18"/>
        </w:numPr>
        <w:rPr>
          <w:rFonts w:ascii="Arial" w:hAnsi="Arial" w:cs="Arial"/>
          <w:b/>
          <w:lang w:val="en-US"/>
        </w:rPr>
      </w:pPr>
      <w:r w:rsidRPr="0019049C">
        <w:rPr>
          <w:rFonts w:ascii="Arial" w:hAnsi="Arial" w:cs="Arial"/>
          <w:b/>
          <w:lang w:val="en-US"/>
        </w:rPr>
        <w:t xml:space="preserve">Achieve measles elimination and rubella and CRS elimination </w:t>
      </w:r>
    </w:p>
    <w:p w14:paraId="36012B28" w14:textId="77777777" w:rsidR="005B3DAE" w:rsidRPr="005B3DAE" w:rsidRDefault="005B3DAE" w:rsidP="0019049C">
      <w:pPr>
        <w:rPr>
          <w:rFonts w:ascii="Arial" w:hAnsi="Arial" w:cs="Arial"/>
          <w:b/>
          <w:lang w:val="en-US"/>
        </w:rPr>
      </w:pPr>
      <w:r w:rsidRPr="005B3DAE">
        <w:rPr>
          <w:rFonts w:ascii="Arial" w:hAnsi="Arial" w:cs="Arial"/>
          <w:b/>
          <w:lang w:val="en-US"/>
        </w:rPr>
        <w:t>Measles</w:t>
      </w:r>
    </w:p>
    <w:p w14:paraId="591FCCA0" w14:textId="7A96B0CB" w:rsidR="0019049C" w:rsidRDefault="008F4FAA" w:rsidP="0019049C">
      <w:pPr>
        <w:rPr>
          <w:rFonts w:ascii="Arial" w:hAnsi="Arial" w:cs="Arial"/>
          <w:lang w:val="en-US"/>
        </w:rPr>
      </w:pPr>
      <w:r>
        <w:rPr>
          <w:rFonts w:ascii="Arial" w:hAnsi="Arial" w:cs="Arial"/>
          <w:lang w:val="en-US"/>
        </w:rPr>
        <w:t>Ethiopia is not currently on track to meet the goal of measles elimination by 2020, despite the federal Government’s commitment to do so and its considerable efforts to combat the disease with multiple national and sub-national campaigns. The number of reported measles outbreaks has increased in recent years – from 145 in 2012, to 24</w:t>
      </w:r>
      <w:r w:rsidR="00CF1FC7">
        <w:rPr>
          <w:rFonts w:ascii="Arial" w:hAnsi="Arial" w:cs="Arial"/>
          <w:lang w:val="en-US"/>
        </w:rPr>
        <w:t>3 in 2013 and 302 in 2014</w:t>
      </w:r>
      <w:r>
        <w:rPr>
          <w:rFonts w:ascii="Arial" w:hAnsi="Arial" w:cs="Arial"/>
          <w:lang w:val="en-US"/>
        </w:rPr>
        <w:t>,</w:t>
      </w:r>
      <w:r w:rsidR="00CF1FC7">
        <w:rPr>
          <w:rStyle w:val="FootnoteReference"/>
          <w:rFonts w:ascii="Arial" w:hAnsi="Arial" w:cs="Arial"/>
          <w:lang w:val="en-US"/>
        </w:rPr>
        <w:footnoteReference w:id="15"/>
      </w:r>
      <w:r>
        <w:rPr>
          <w:rFonts w:ascii="Arial" w:hAnsi="Arial" w:cs="Arial"/>
          <w:lang w:val="en-US"/>
        </w:rPr>
        <w:t xml:space="preserve"> as has the</w:t>
      </w:r>
      <w:r w:rsidR="00CF1FC7">
        <w:rPr>
          <w:rFonts w:ascii="Arial" w:hAnsi="Arial" w:cs="Arial"/>
          <w:lang w:val="en-US"/>
        </w:rPr>
        <w:t xml:space="preserve"> number of reported cases (see f</w:t>
      </w:r>
      <w:r>
        <w:rPr>
          <w:rFonts w:ascii="Arial" w:hAnsi="Arial" w:cs="Arial"/>
          <w:lang w:val="en-US"/>
        </w:rPr>
        <w:t>igure in the Annex). The highest number of annual reported cases was, in fact, in 2015 (nearly 18,000 cases, as compared to 5,000 or less each year from 2006 to 2013)</w:t>
      </w:r>
      <w:r w:rsidR="00CF1FC7">
        <w:rPr>
          <w:rFonts w:ascii="Arial" w:hAnsi="Arial" w:cs="Arial"/>
          <w:lang w:val="en-US"/>
        </w:rPr>
        <w:t>. I</w:t>
      </w:r>
      <w:r>
        <w:rPr>
          <w:rFonts w:ascii="Arial" w:hAnsi="Arial" w:cs="Arial"/>
          <w:lang w:val="en-US"/>
        </w:rPr>
        <w:t xml:space="preserve">mproved measles </w:t>
      </w:r>
      <w:r w:rsidR="000C61CE">
        <w:rPr>
          <w:rFonts w:ascii="Arial" w:hAnsi="Arial" w:cs="Arial"/>
          <w:lang w:val="en-US"/>
        </w:rPr>
        <w:t xml:space="preserve">surveillance and </w:t>
      </w:r>
      <w:r>
        <w:rPr>
          <w:rFonts w:ascii="Arial" w:hAnsi="Arial" w:cs="Arial"/>
          <w:lang w:val="en-US"/>
        </w:rPr>
        <w:t>reporting could be a factor</w:t>
      </w:r>
      <w:r w:rsidR="00CF1FC7">
        <w:rPr>
          <w:rFonts w:ascii="Arial" w:hAnsi="Arial" w:cs="Arial"/>
          <w:lang w:val="en-US"/>
        </w:rPr>
        <w:t xml:space="preserve"> in the increased reported incidence, however</w:t>
      </w:r>
      <w:r>
        <w:rPr>
          <w:rFonts w:ascii="Arial" w:hAnsi="Arial" w:cs="Arial"/>
          <w:lang w:val="en-US"/>
        </w:rPr>
        <w:t>. Annual national measles incidence for 2015</w:t>
      </w:r>
      <w:r w:rsidR="0087073B">
        <w:rPr>
          <w:rFonts w:ascii="Arial" w:hAnsi="Arial" w:cs="Arial"/>
          <w:lang w:val="en-US"/>
        </w:rPr>
        <w:t>/</w:t>
      </w:r>
      <w:r>
        <w:rPr>
          <w:rFonts w:ascii="Arial" w:hAnsi="Arial" w:cs="Arial"/>
          <w:lang w:val="en-US"/>
        </w:rPr>
        <w:t>16 (laboratory and epidemiologically confirmed cases) was estimated at 83 per one million population, compared to the elimination threshold of &lt;1/1 million.</w:t>
      </w:r>
      <w:r w:rsidR="00CF1FC7">
        <w:rPr>
          <w:rStyle w:val="FootnoteReference"/>
          <w:rFonts w:ascii="Arial" w:hAnsi="Arial" w:cs="Arial"/>
          <w:lang w:val="en-US"/>
        </w:rPr>
        <w:footnoteReference w:id="16"/>
      </w:r>
      <w:r>
        <w:rPr>
          <w:rFonts w:ascii="Arial" w:hAnsi="Arial" w:cs="Arial"/>
          <w:lang w:val="en-US"/>
        </w:rPr>
        <w:t xml:space="preserve"> Reported measles incidence varies dramatically by region – from as low as 0 to as high as 220 per million. </w:t>
      </w:r>
    </w:p>
    <w:p w14:paraId="212A0EBF" w14:textId="7042DB1E" w:rsidR="008F4FAA" w:rsidRDefault="001A42D9" w:rsidP="0019049C">
      <w:pPr>
        <w:rPr>
          <w:rFonts w:ascii="Arial" w:hAnsi="Arial" w:cs="Arial"/>
          <w:lang w:val="en-US"/>
        </w:rPr>
      </w:pPr>
      <w:r>
        <w:rPr>
          <w:rFonts w:ascii="Arial" w:hAnsi="Arial" w:cs="Arial"/>
          <w:lang w:val="en-US"/>
        </w:rPr>
        <w:t>Outbreaks earlier in this</w:t>
      </w:r>
      <w:r w:rsidR="008F4FAA">
        <w:rPr>
          <w:rFonts w:ascii="Arial" w:hAnsi="Arial" w:cs="Arial"/>
          <w:lang w:val="en-US"/>
        </w:rPr>
        <w:t xml:space="preserve"> decade (e.g., 2010/11) were concentrated in “developing regions”, such as Somali and Afar, and were believed to be caused by an increase in refugees from Somalia. However, the disease has spread in recent years to other areas far from the Somali border, such as Oromia in the South and the Southern Nations Nationalities Peoples (SNNP) region</w:t>
      </w:r>
      <w:r w:rsidR="0087073B">
        <w:rPr>
          <w:rFonts w:ascii="Arial" w:hAnsi="Arial" w:cs="Arial"/>
          <w:lang w:val="en-US"/>
        </w:rPr>
        <w:t>.</w:t>
      </w:r>
    </w:p>
    <w:p w14:paraId="0F875540" w14:textId="776B322D" w:rsidR="0087073B" w:rsidRDefault="0087073B" w:rsidP="003E2E31">
      <w:pPr>
        <w:rPr>
          <w:rFonts w:ascii="Arial" w:hAnsi="Arial" w:cs="Arial"/>
          <w:lang w:val="en-US"/>
        </w:rPr>
      </w:pPr>
      <w:r>
        <w:rPr>
          <w:rFonts w:ascii="Arial" w:hAnsi="Arial" w:cs="Arial"/>
          <w:lang w:val="en-US"/>
        </w:rPr>
        <w:lastRenderedPageBreak/>
        <w:t>The main reason given by informants and reports for the recent increase in measles incidence is the accumulation of susceptible</w:t>
      </w:r>
      <w:r w:rsidR="00D6260F">
        <w:rPr>
          <w:rFonts w:ascii="Arial" w:hAnsi="Arial" w:cs="Arial"/>
          <w:lang w:val="en-US"/>
        </w:rPr>
        <w:t xml:space="preserve"> individual</w:t>
      </w:r>
      <w:r>
        <w:rPr>
          <w:rFonts w:ascii="Arial" w:hAnsi="Arial" w:cs="Arial"/>
          <w:lang w:val="en-US"/>
        </w:rPr>
        <w:t>s due to a failure to vaccinate sufficient numbers of children through routine immunization</w:t>
      </w:r>
      <w:r w:rsidR="001A42D9">
        <w:rPr>
          <w:rFonts w:ascii="Arial" w:hAnsi="Arial" w:cs="Arial"/>
          <w:lang w:val="en-US"/>
        </w:rPr>
        <w:t xml:space="preserve"> and</w:t>
      </w:r>
      <w:r w:rsidR="001A42D9" w:rsidRPr="001A42D9">
        <w:rPr>
          <w:rFonts w:ascii="Arial" w:hAnsi="Arial" w:cs="Arial"/>
          <w:lang w:val="en-US"/>
        </w:rPr>
        <w:t xml:space="preserve"> </w:t>
      </w:r>
      <w:r w:rsidR="001A42D9">
        <w:rPr>
          <w:rFonts w:ascii="Arial" w:hAnsi="Arial" w:cs="Arial"/>
          <w:lang w:val="en-US"/>
        </w:rPr>
        <w:t>SIAs</w:t>
      </w:r>
      <w:r>
        <w:rPr>
          <w:rFonts w:ascii="Arial" w:hAnsi="Arial" w:cs="Arial"/>
          <w:lang w:val="en-US"/>
        </w:rPr>
        <w:t xml:space="preserve">. Ethiopia </w:t>
      </w:r>
      <w:r w:rsidR="001A42D9">
        <w:rPr>
          <w:rFonts w:ascii="Arial" w:hAnsi="Arial" w:cs="Arial"/>
          <w:lang w:val="en-US"/>
        </w:rPr>
        <w:t>conducted</w:t>
      </w:r>
      <w:r>
        <w:rPr>
          <w:rFonts w:ascii="Arial" w:hAnsi="Arial" w:cs="Arial"/>
          <w:lang w:val="en-US"/>
        </w:rPr>
        <w:t xml:space="preserve"> its first national measles catch-up campaign in a phase</w:t>
      </w:r>
      <w:r w:rsidR="003E2E31">
        <w:rPr>
          <w:rFonts w:ascii="Arial" w:hAnsi="Arial" w:cs="Arial"/>
          <w:lang w:val="en-US"/>
        </w:rPr>
        <w:t>d</w:t>
      </w:r>
      <w:r>
        <w:rPr>
          <w:rFonts w:ascii="Arial" w:hAnsi="Arial" w:cs="Arial"/>
          <w:lang w:val="en-US"/>
        </w:rPr>
        <w:t xml:space="preserve"> manner from 2003 to 2005 for children up to 15 years of age, followed by three follow-up campaigns for children under four or five every three years or so. While these later SIAs led to a sharp reduction in measles cases in children four years and younger, the disease struck older children and adults; 70% of confirmed cases in the first four </w:t>
      </w:r>
      <w:r w:rsidR="003E2E31">
        <w:rPr>
          <w:rFonts w:ascii="Arial" w:hAnsi="Arial" w:cs="Arial"/>
          <w:lang w:val="en-US"/>
        </w:rPr>
        <w:t xml:space="preserve">months </w:t>
      </w:r>
      <w:r>
        <w:rPr>
          <w:rFonts w:ascii="Arial" w:hAnsi="Arial" w:cs="Arial"/>
          <w:lang w:val="en-US"/>
        </w:rPr>
        <w:t>following the 2011 SIAs were more than five years of age.</w:t>
      </w:r>
      <w:r w:rsidR="001A42D9">
        <w:rPr>
          <w:rStyle w:val="FootnoteReference"/>
          <w:rFonts w:ascii="Arial" w:hAnsi="Arial" w:cs="Arial"/>
          <w:lang w:val="en-US"/>
        </w:rPr>
        <w:footnoteReference w:id="17"/>
      </w:r>
      <w:r>
        <w:rPr>
          <w:rFonts w:ascii="Arial" w:hAnsi="Arial" w:cs="Arial"/>
          <w:lang w:val="en-US"/>
        </w:rPr>
        <w:t xml:space="preserve"> The movement of people from sparsely-populated areas</w:t>
      </w:r>
      <w:r w:rsidR="001A42D9">
        <w:rPr>
          <w:rFonts w:ascii="Arial" w:hAnsi="Arial" w:cs="Arial"/>
          <w:lang w:val="en-US"/>
        </w:rPr>
        <w:t xml:space="preserve"> with</w:t>
      </w:r>
      <w:r w:rsidR="001A42D9" w:rsidRPr="001A42D9">
        <w:rPr>
          <w:rFonts w:ascii="Arial" w:hAnsi="Arial" w:cs="Arial"/>
          <w:lang w:val="en-US"/>
        </w:rPr>
        <w:t xml:space="preserve"> </w:t>
      </w:r>
      <w:r w:rsidR="001A42D9">
        <w:rPr>
          <w:rFonts w:ascii="Arial" w:hAnsi="Arial" w:cs="Arial"/>
          <w:lang w:val="en-US"/>
        </w:rPr>
        <w:t>low vaccination coverage</w:t>
      </w:r>
      <w:r>
        <w:rPr>
          <w:rFonts w:ascii="Arial" w:hAnsi="Arial" w:cs="Arial"/>
          <w:lang w:val="en-US"/>
        </w:rPr>
        <w:t xml:space="preserve">, such as Somali and Afar, to more populated parts of the country is implicated in the geographic spread and increase in incidence of the disease. </w:t>
      </w:r>
    </w:p>
    <w:p w14:paraId="6C6FCF9C" w14:textId="5428361A" w:rsidR="00952C8B" w:rsidRDefault="0087073B" w:rsidP="0019049C">
      <w:pPr>
        <w:rPr>
          <w:rFonts w:ascii="Arial" w:hAnsi="Arial" w:cs="Arial"/>
          <w:lang w:val="en-US"/>
        </w:rPr>
      </w:pPr>
      <w:r>
        <w:rPr>
          <w:rFonts w:ascii="Arial" w:hAnsi="Arial" w:cs="Arial"/>
          <w:lang w:val="en-US"/>
        </w:rPr>
        <w:t xml:space="preserve">The immunization program is now conducting </w:t>
      </w:r>
      <w:r w:rsidR="005C1966">
        <w:rPr>
          <w:rFonts w:ascii="Arial" w:hAnsi="Arial" w:cs="Arial"/>
          <w:lang w:val="en-US"/>
        </w:rPr>
        <w:t xml:space="preserve">measles </w:t>
      </w:r>
      <w:r>
        <w:rPr>
          <w:rFonts w:ascii="Arial" w:hAnsi="Arial" w:cs="Arial"/>
          <w:lang w:val="en-US"/>
        </w:rPr>
        <w:t xml:space="preserve">SIAs on a yearly basis, though they reportedly vary in quality, with some, including the recent April 2016 campaign, implemented without adequate preparation time, making is more difficult to reach more remote areas. However, the main problem remains the </w:t>
      </w:r>
      <w:r w:rsidR="00952C8B">
        <w:rPr>
          <w:rFonts w:ascii="Arial" w:hAnsi="Arial" w:cs="Arial"/>
          <w:lang w:val="en-US"/>
        </w:rPr>
        <w:t>in</w:t>
      </w:r>
      <w:r>
        <w:rPr>
          <w:rFonts w:ascii="Arial" w:hAnsi="Arial" w:cs="Arial"/>
          <w:lang w:val="en-US"/>
        </w:rPr>
        <w:t>ability</w:t>
      </w:r>
      <w:r w:rsidR="00952C8B">
        <w:rPr>
          <w:rFonts w:ascii="Arial" w:hAnsi="Arial" w:cs="Arial"/>
          <w:lang w:val="en-US"/>
        </w:rPr>
        <w:t xml:space="preserve"> of the routine immunization program to achieve sufficiently high measles vaccination coverage to eliminate the disease. According to the WUENIC estimates, national measles coverage reached 78% in 2015, but ranged from 62-68% in the four previous years. Coverage is very uneven by region – with rates ranging from 34% to 98% among 12-23 months</w:t>
      </w:r>
      <w:r w:rsidR="001A42D9" w:rsidRPr="001A42D9">
        <w:rPr>
          <w:rFonts w:ascii="Arial" w:hAnsi="Arial" w:cs="Arial"/>
          <w:lang w:val="en-US"/>
        </w:rPr>
        <w:t xml:space="preserve"> </w:t>
      </w:r>
      <w:r w:rsidR="001A42D9">
        <w:rPr>
          <w:rFonts w:ascii="Arial" w:hAnsi="Arial" w:cs="Arial"/>
          <w:lang w:val="en-US"/>
        </w:rPr>
        <w:t>in the 2012 immunization coverage survey</w:t>
      </w:r>
      <w:r w:rsidR="00952C8B">
        <w:rPr>
          <w:rFonts w:ascii="Arial" w:hAnsi="Arial" w:cs="Arial"/>
          <w:lang w:val="en-US"/>
        </w:rPr>
        <w:t>.</w:t>
      </w:r>
      <w:r w:rsidR="001A42D9">
        <w:rPr>
          <w:rStyle w:val="FootnoteReference"/>
          <w:rFonts w:ascii="Arial" w:hAnsi="Arial" w:cs="Arial"/>
          <w:lang w:val="en-US"/>
        </w:rPr>
        <w:footnoteReference w:id="18"/>
      </w:r>
      <w:r w:rsidR="00952C8B">
        <w:rPr>
          <w:rFonts w:ascii="Arial" w:hAnsi="Arial" w:cs="Arial"/>
          <w:lang w:val="en-US"/>
        </w:rPr>
        <w:t xml:space="preserve"> According to administrative coverage data, only 30% of districts in 2015 met the target of ≥95% measles vaccination coverage.</w:t>
      </w:r>
    </w:p>
    <w:p w14:paraId="68C95F9F" w14:textId="064BA9EF" w:rsidR="000217B3" w:rsidRDefault="000217B3" w:rsidP="0019049C">
      <w:pPr>
        <w:rPr>
          <w:rFonts w:ascii="Arial" w:hAnsi="Arial" w:cs="Arial"/>
          <w:lang w:val="en-US"/>
        </w:rPr>
      </w:pPr>
      <w:r>
        <w:rPr>
          <w:rFonts w:ascii="Arial" w:hAnsi="Arial" w:cs="Arial"/>
          <w:lang w:val="en-US"/>
        </w:rPr>
        <w:t>An investigation of continual measles outbreaks in the SNNP region conducted in 2014 attributed the insufficient performance of the routine immunization program to many of the problems discussed under Section 3.3 below (e.g., lack of daily immunization services, cold chain inadequacies, frequent vaccine stockouts).</w:t>
      </w:r>
      <w:r w:rsidR="00420940">
        <w:rPr>
          <w:rStyle w:val="FootnoteReference"/>
          <w:rFonts w:ascii="Arial" w:hAnsi="Arial" w:cs="Arial"/>
          <w:lang w:val="en-US"/>
        </w:rPr>
        <w:footnoteReference w:id="19"/>
      </w:r>
      <w:r>
        <w:rPr>
          <w:rFonts w:ascii="Arial" w:hAnsi="Arial" w:cs="Arial"/>
          <w:lang w:val="en-US"/>
        </w:rPr>
        <w:t xml:space="preserve"> Two additional problems identified in the measles outbreak investigation were:</w:t>
      </w:r>
    </w:p>
    <w:p w14:paraId="5A6E9A30" w14:textId="31738A32" w:rsidR="0087073B" w:rsidRPr="006019F4" w:rsidRDefault="000217B3" w:rsidP="006019F4">
      <w:pPr>
        <w:pStyle w:val="ListParagraph"/>
        <w:numPr>
          <w:ilvl w:val="0"/>
          <w:numId w:val="33"/>
        </w:numPr>
        <w:rPr>
          <w:rFonts w:ascii="Arial" w:hAnsi="Arial" w:cs="Arial"/>
          <w:lang w:val="en-US"/>
        </w:rPr>
      </w:pPr>
      <w:r w:rsidRPr="006019F4">
        <w:rPr>
          <w:rFonts w:ascii="Arial" w:hAnsi="Arial" w:cs="Arial"/>
          <w:lang w:val="en-US"/>
        </w:rPr>
        <w:t xml:space="preserve">A reluctance </w:t>
      </w:r>
      <w:r w:rsidR="005B3DAE" w:rsidRPr="006019F4">
        <w:rPr>
          <w:rFonts w:ascii="Arial" w:hAnsi="Arial" w:cs="Arial"/>
          <w:lang w:val="en-US"/>
        </w:rPr>
        <w:t>among</w:t>
      </w:r>
      <w:r w:rsidRPr="006019F4">
        <w:rPr>
          <w:rFonts w:ascii="Arial" w:hAnsi="Arial" w:cs="Arial"/>
          <w:lang w:val="en-US"/>
        </w:rPr>
        <w:t xml:space="preserve"> health workers</w:t>
      </w:r>
      <w:r w:rsidR="005B3DAE" w:rsidRPr="006019F4">
        <w:rPr>
          <w:rFonts w:ascii="Arial" w:hAnsi="Arial" w:cs="Arial"/>
          <w:lang w:val="en-US"/>
        </w:rPr>
        <w:t xml:space="preserve"> to open multi-dose vials of measles vaccine for less than six or seven children at a time to reduce wastage, resulting </w:t>
      </w:r>
      <w:r w:rsidR="00420940" w:rsidRPr="006019F4">
        <w:rPr>
          <w:rFonts w:ascii="Arial" w:hAnsi="Arial" w:cs="Arial"/>
          <w:lang w:val="en-US"/>
        </w:rPr>
        <w:t xml:space="preserve">in </w:t>
      </w:r>
      <w:r w:rsidR="005B3DAE" w:rsidRPr="006019F4">
        <w:rPr>
          <w:rFonts w:ascii="Arial" w:hAnsi="Arial" w:cs="Arial"/>
          <w:lang w:val="en-US"/>
        </w:rPr>
        <w:t>missed opportunities to vaccinate against measles;</w:t>
      </w:r>
    </w:p>
    <w:p w14:paraId="6BBCAAD2" w14:textId="331A86D2" w:rsidR="005B3DAE" w:rsidRPr="006019F4" w:rsidRDefault="005B3DAE" w:rsidP="006019F4">
      <w:pPr>
        <w:pStyle w:val="ListParagraph"/>
        <w:numPr>
          <w:ilvl w:val="0"/>
          <w:numId w:val="33"/>
        </w:numPr>
        <w:rPr>
          <w:rFonts w:ascii="Arial" w:hAnsi="Arial" w:cs="Arial"/>
          <w:lang w:val="en-US"/>
        </w:rPr>
      </w:pPr>
      <w:r w:rsidRPr="006019F4">
        <w:rPr>
          <w:rFonts w:ascii="Arial" w:hAnsi="Arial" w:cs="Arial"/>
          <w:lang w:val="en-US"/>
        </w:rPr>
        <w:t xml:space="preserve">Over-reporting of coverage numbers due to “persistent demand for unrealistically perfect performance” from higher-ups and a </w:t>
      </w:r>
      <w:r w:rsidR="00420940" w:rsidRPr="006019F4">
        <w:rPr>
          <w:rFonts w:ascii="Arial" w:hAnsi="Arial" w:cs="Arial"/>
          <w:lang w:val="en-US"/>
        </w:rPr>
        <w:t xml:space="preserve">performance-based </w:t>
      </w:r>
      <w:r w:rsidRPr="006019F4">
        <w:rPr>
          <w:rFonts w:ascii="Arial" w:hAnsi="Arial" w:cs="Arial"/>
          <w:lang w:val="en-US"/>
        </w:rPr>
        <w:t>reward system</w:t>
      </w:r>
      <w:r w:rsidR="00420940" w:rsidRPr="006019F4">
        <w:rPr>
          <w:rFonts w:ascii="Arial" w:hAnsi="Arial" w:cs="Arial"/>
          <w:lang w:val="en-US"/>
        </w:rPr>
        <w:t>. This</w:t>
      </w:r>
      <w:r w:rsidRPr="006019F4">
        <w:rPr>
          <w:rFonts w:ascii="Arial" w:hAnsi="Arial" w:cs="Arial"/>
          <w:lang w:val="en-US"/>
        </w:rPr>
        <w:t xml:space="preserve"> result</w:t>
      </w:r>
      <w:r w:rsidR="00420940" w:rsidRPr="006019F4">
        <w:rPr>
          <w:rFonts w:ascii="Arial" w:hAnsi="Arial" w:cs="Arial"/>
          <w:lang w:val="en-US"/>
        </w:rPr>
        <w:t>s</w:t>
      </w:r>
      <w:r w:rsidRPr="006019F4">
        <w:rPr>
          <w:rFonts w:ascii="Arial" w:hAnsi="Arial" w:cs="Arial"/>
          <w:lang w:val="en-US"/>
        </w:rPr>
        <w:t xml:space="preserve"> in high administrative coverage rates for measles, and complacency until outbreaks began to occur. In one area, a post-outbreak survey revealed a covered rate of 52%, compared to 80-100% administrative coverage rates for the previous seven years.</w:t>
      </w:r>
    </w:p>
    <w:p w14:paraId="356C1D41" w14:textId="79E59116" w:rsidR="005B3DAE" w:rsidRDefault="005B3DAE" w:rsidP="00B57B9C">
      <w:pPr>
        <w:rPr>
          <w:rFonts w:ascii="Arial" w:hAnsi="Arial" w:cs="Arial"/>
          <w:lang w:val="en-US"/>
        </w:rPr>
      </w:pPr>
      <w:r>
        <w:rPr>
          <w:rFonts w:ascii="Arial" w:hAnsi="Arial" w:cs="Arial"/>
          <w:lang w:val="en-US"/>
        </w:rPr>
        <w:t>As mentioned</w:t>
      </w:r>
      <w:r w:rsidR="00420940">
        <w:rPr>
          <w:rFonts w:ascii="Arial" w:hAnsi="Arial" w:cs="Arial"/>
          <w:lang w:val="en-US"/>
        </w:rPr>
        <w:t xml:space="preserve"> above</w:t>
      </w:r>
      <w:r>
        <w:rPr>
          <w:rFonts w:ascii="Arial" w:hAnsi="Arial" w:cs="Arial"/>
          <w:lang w:val="en-US"/>
        </w:rPr>
        <w:t>, the Government has increased the frequency of measles SIAS in order to halt the increase and spread of outbreaks</w:t>
      </w:r>
      <w:r w:rsidR="00420940">
        <w:rPr>
          <w:rFonts w:ascii="Arial" w:hAnsi="Arial" w:cs="Arial"/>
          <w:lang w:val="en-US"/>
        </w:rPr>
        <w:t>,</w:t>
      </w:r>
      <w:r>
        <w:rPr>
          <w:rFonts w:ascii="Arial" w:hAnsi="Arial" w:cs="Arial"/>
          <w:lang w:val="en-US"/>
        </w:rPr>
        <w:t xml:space="preserve"> and measles vaccination coverage has improved in the past three years. Coverage should also improve </w:t>
      </w:r>
      <w:r w:rsidR="00420940">
        <w:rPr>
          <w:rFonts w:ascii="Arial" w:hAnsi="Arial" w:cs="Arial"/>
          <w:lang w:val="en-US"/>
        </w:rPr>
        <w:t>once</w:t>
      </w:r>
      <w:r>
        <w:rPr>
          <w:rFonts w:ascii="Arial" w:hAnsi="Arial" w:cs="Arial"/>
          <w:lang w:val="en-US"/>
        </w:rPr>
        <w:t xml:space="preserve"> the EPI introduces a second measles vaccine dose into the routine program, currently planned for 2018. Ethiopia also has a relatively strong surveillance infrastructure for measles, due to</w:t>
      </w:r>
      <w:r w:rsidR="00420940">
        <w:rPr>
          <w:rFonts w:ascii="Arial" w:hAnsi="Arial" w:cs="Arial"/>
          <w:lang w:val="en-US"/>
        </w:rPr>
        <w:t xml:space="preserve"> the existence of</w:t>
      </w:r>
      <w:r>
        <w:rPr>
          <w:rFonts w:ascii="Arial" w:hAnsi="Arial" w:cs="Arial"/>
          <w:lang w:val="en-US"/>
        </w:rPr>
        <w:t xml:space="preserve"> surveillance focal points at all levels of the health system, and district-level rapid response </w:t>
      </w:r>
      <w:r>
        <w:rPr>
          <w:rFonts w:ascii="Arial" w:hAnsi="Arial" w:cs="Arial"/>
          <w:lang w:val="en-US"/>
        </w:rPr>
        <w:lastRenderedPageBreak/>
        <w:t xml:space="preserve">teams, as well as epidemic response committees at all levels. This system is heavily supported by WHO and UNICEF, </w:t>
      </w:r>
      <w:r w:rsidR="00420940">
        <w:rPr>
          <w:rFonts w:ascii="Arial" w:hAnsi="Arial" w:cs="Arial"/>
          <w:lang w:val="en-US"/>
        </w:rPr>
        <w:t>which cover</w:t>
      </w:r>
      <w:r>
        <w:rPr>
          <w:rFonts w:ascii="Arial" w:hAnsi="Arial" w:cs="Arial"/>
          <w:lang w:val="en-US"/>
        </w:rPr>
        <w:t xml:space="preserve"> the costs of the 11 regional surveillance coordinators and surveillance medical officers (SMOs) and supporting staff in zonal health departments throughout the country. The WHO-supported surveillance team alone, including administrative assistants and drivers, numbered 114 persons in 2015.</w:t>
      </w:r>
    </w:p>
    <w:p w14:paraId="76A1BDF4" w14:textId="0E451EF8" w:rsidR="005B3DAE" w:rsidRPr="005B3DAE" w:rsidRDefault="005B3DAE" w:rsidP="005B3DAE">
      <w:pPr>
        <w:rPr>
          <w:rFonts w:ascii="Arial" w:hAnsi="Arial" w:cs="Arial"/>
          <w:b/>
          <w:lang w:val="en-US"/>
        </w:rPr>
      </w:pPr>
      <w:r w:rsidRPr="005B3DAE">
        <w:rPr>
          <w:rFonts w:ascii="Arial" w:hAnsi="Arial" w:cs="Arial"/>
          <w:b/>
          <w:lang w:val="en-US"/>
        </w:rPr>
        <w:t>Rubella</w:t>
      </w:r>
    </w:p>
    <w:p w14:paraId="16C13CC5" w14:textId="545920D4" w:rsidR="005B3DAE" w:rsidRDefault="005B3DAE" w:rsidP="005B3DAE">
      <w:pPr>
        <w:rPr>
          <w:rFonts w:ascii="Arial" w:hAnsi="Arial" w:cs="Arial"/>
          <w:lang w:val="en-US"/>
        </w:rPr>
      </w:pPr>
      <w:r>
        <w:rPr>
          <w:rFonts w:ascii="Arial" w:hAnsi="Arial" w:cs="Arial"/>
          <w:lang w:val="en-US"/>
        </w:rPr>
        <w:t>The incidence of rubella has been tracked in Ethiopia since 2011, as a result of intensive measles case-based surveillance, in which lab testing for rubella is conducted on measles IgM-negative cases. Hundreds of rubella cases have been confirmed each year and an outbreak identified in the Ben</w:t>
      </w:r>
      <w:r w:rsidR="00420940">
        <w:rPr>
          <w:rFonts w:ascii="Arial" w:hAnsi="Arial" w:cs="Arial"/>
          <w:lang w:val="en-US"/>
        </w:rPr>
        <w:t>is</w:t>
      </w:r>
      <w:r>
        <w:rPr>
          <w:rFonts w:ascii="Arial" w:hAnsi="Arial" w:cs="Arial"/>
          <w:lang w:val="en-US"/>
        </w:rPr>
        <w:t xml:space="preserve">hangul-Gumuz region in 2012 (with </w:t>
      </w:r>
      <w:r w:rsidR="000C61CE">
        <w:rPr>
          <w:rFonts w:ascii="Arial" w:hAnsi="Arial" w:cs="Arial"/>
          <w:lang w:val="en-US"/>
        </w:rPr>
        <w:t xml:space="preserve">&gt;800 confirmed cases), </w:t>
      </w:r>
      <w:r w:rsidR="00420940">
        <w:rPr>
          <w:rFonts w:ascii="Arial" w:hAnsi="Arial" w:cs="Arial"/>
          <w:lang w:val="en-US"/>
        </w:rPr>
        <w:t xml:space="preserve">led to </w:t>
      </w:r>
      <w:r w:rsidR="000C61CE">
        <w:rPr>
          <w:rFonts w:ascii="Arial" w:hAnsi="Arial" w:cs="Arial"/>
          <w:lang w:val="en-US"/>
        </w:rPr>
        <w:t>increas</w:t>
      </w:r>
      <w:r w:rsidR="00420940">
        <w:rPr>
          <w:rFonts w:ascii="Arial" w:hAnsi="Arial" w:cs="Arial"/>
          <w:lang w:val="en-US"/>
        </w:rPr>
        <w:t>ed</w:t>
      </w:r>
      <w:r w:rsidR="000C61CE">
        <w:rPr>
          <w:rFonts w:ascii="Arial" w:hAnsi="Arial" w:cs="Arial"/>
          <w:lang w:val="en-US"/>
        </w:rPr>
        <w:t xml:space="preserve"> recognition of the disease in the country. Rubella surveillance indicators, however, remain below target.</w:t>
      </w:r>
    </w:p>
    <w:p w14:paraId="09DF1C3F" w14:textId="06918C18" w:rsidR="000C61CE" w:rsidRPr="005B3DAE" w:rsidRDefault="000C61CE" w:rsidP="005B3DAE">
      <w:pPr>
        <w:rPr>
          <w:rFonts w:ascii="Arial" w:hAnsi="Arial" w:cs="Arial"/>
          <w:lang w:val="en-US"/>
        </w:rPr>
      </w:pPr>
      <w:r>
        <w:rPr>
          <w:rFonts w:ascii="Arial" w:hAnsi="Arial" w:cs="Arial"/>
          <w:lang w:val="en-US"/>
        </w:rPr>
        <w:t>The FMOH plans to introduce MR vaccine with GAVI support in 2019, beginning with SIAs, which will be followed by the introduction of two MR doses into the routine immunization schedule. Under GAVI’s new policy, the Government will be required to pay 100% of the cost of the first MR dose</w:t>
      </w:r>
      <w:r w:rsidR="00420940">
        <w:rPr>
          <w:rFonts w:ascii="Arial" w:hAnsi="Arial" w:cs="Arial"/>
          <w:lang w:val="en-US"/>
        </w:rPr>
        <w:t>,</w:t>
      </w:r>
      <w:r>
        <w:rPr>
          <w:rFonts w:ascii="Arial" w:hAnsi="Arial" w:cs="Arial"/>
          <w:lang w:val="en-US"/>
        </w:rPr>
        <w:t xml:space="preserve"> which could be a challenge, given that Ethiopia does not yet cover the costs of all traditional vaccines. Given that rubella vaccine will not be incorporated into the routine immunization schedule until 2019, it is unlikely that the country will be able to achieve elimination of the disease by the target date of 2020.</w:t>
      </w:r>
    </w:p>
    <w:p w14:paraId="4D2E7C30" w14:textId="31685AFC" w:rsidR="00914A96" w:rsidRPr="000C61CE" w:rsidRDefault="00914A96" w:rsidP="000C61CE">
      <w:pPr>
        <w:pStyle w:val="ListParagraph"/>
        <w:numPr>
          <w:ilvl w:val="1"/>
          <w:numId w:val="18"/>
        </w:numPr>
        <w:contextualSpacing w:val="0"/>
        <w:rPr>
          <w:rFonts w:ascii="Arial" w:hAnsi="Arial" w:cs="Arial"/>
          <w:b/>
          <w:lang w:val="en-US"/>
        </w:rPr>
      </w:pPr>
      <w:r w:rsidRPr="000C61CE">
        <w:rPr>
          <w:rFonts w:ascii="Arial" w:hAnsi="Arial" w:cs="Arial"/>
          <w:b/>
          <w:lang w:val="en-US"/>
        </w:rPr>
        <w:t>Goal 3: Meet vaccination coverage targets</w:t>
      </w:r>
    </w:p>
    <w:p w14:paraId="0B5F24B1" w14:textId="4665EB4D" w:rsidR="00914A96" w:rsidRDefault="000C61CE" w:rsidP="000C61CE">
      <w:pPr>
        <w:pStyle w:val="ListParagraph"/>
        <w:numPr>
          <w:ilvl w:val="0"/>
          <w:numId w:val="30"/>
        </w:numPr>
        <w:contextualSpacing w:val="0"/>
        <w:rPr>
          <w:rFonts w:ascii="Arial" w:hAnsi="Arial" w:cs="Arial"/>
          <w:b/>
          <w:lang w:val="en-US"/>
        </w:rPr>
      </w:pPr>
      <w:r>
        <w:rPr>
          <w:rFonts w:ascii="Arial" w:hAnsi="Arial" w:cs="Arial"/>
          <w:b/>
          <w:lang w:val="en-US"/>
        </w:rPr>
        <w:t>Achieve 90% n</w:t>
      </w:r>
      <w:r w:rsidR="00914A96" w:rsidRPr="000C61CE">
        <w:rPr>
          <w:rFonts w:ascii="Arial" w:hAnsi="Arial" w:cs="Arial"/>
          <w:b/>
          <w:lang w:val="en-US"/>
        </w:rPr>
        <w:t xml:space="preserve">ational coverage and 80% in every district with 3 doses of </w:t>
      </w:r>
      <w:r w:rsidRPr="000C61CE">
        <w:rPr>
          <w:rFonts w:ascii="Arial" w:hAnsi="Arial" w:cs="Arial"/>
          <w:b/>
          <w:lang w:val="en-US"/>
        </w:rPr>
        <w:t>diphtheria</w:t>
      </w:r>
      <w:r w:rsidR="00914A96" w:rsidRPr="000C61CE">
        <w:rPr>
          <w:rFonts w:ascii="Arial" w:hAnsi="Arial" w:cs="Arial"/>
          <w:b/>
          <w:lang w:val="en-US"/>
        </w:rPr>
        <w:t>-tetan</w:t>
      </w:r>
      <w:r>
        <w:rPr>
          <w:rFonts w:ascii="Arial" w:hAnsi="Arial" w:cs="Arial"/>
          <w:b/>
          <w:lang w:val="en-US"/>
        </w:rPr>
        <w:t>us-pertussis containing vaccine</w:t>
      </w:r>
    </w:p>
    <w:p w14:paraId="5C0F5950" w14:textId="0C1C8D4C" w:rsidR="00914A96" w:rsidRPr="000C61CE" w:rsidRDefault="00614B06" w:rsidP="000C61CE">
      <w:pPr>
        <w:pStyle w:val="ListParagraph"/>
        <w:numPr>
          <w:ilvl w:val="0"/>
          <w:numId w:val="30"/>
        </w:numPr>
        <w:contextualSpacing w:val="0"/>
        <w:rPr>
          <w:rFonts w:ascii="Arial" w:hAnsi="Arial" w:cs="Arial"/>
          <w:b/>
          <w:lang w:val="en-US"/>
        </w:rPr>
      </w:pPr>
      <w:r>
        <w:rPr>
          <w:rFonts w:ascii="Arial" w:hAnsi="Arial" w:cs="Arial"/>
          <w:b/>
          <w:lang w:val="en-US"/>
        </w:rPr>
        <w:t>Achieve 90% n</w:t>
      </w:r>
      <w:r w:rsidR="00914A96" w:rsidRPr="000C61CE">
        <w:rPr>
          <w:rFonts w:ascii="Arial" w:hAnsi="Arial" w:cs="Arial"/>
          <w:b/>
          <w:lang w:val="en-US"/>
        </w:rPr>
        <w:t>ational coverage and 80% in every district with all vaccines included in the national schedule</w:t>
      </w:r>
    </w:p>
    <w:p w14:paraId="60D8BECB" w14:textId="2A36CEE5" w:rsidR="00914A96" w:rsidRDefault="000C61CE" w:rsidP="00914A96">
      <w:pPr>
        <w:rPr>
          <w:rFonts w:ascii="Arial" w:hAnsi="Arial" w:cs="Arial"/>
          <w:lang w:val="en-US"/>
        </w:rPr>
      </w:pPr>
      <w:r w:rsidRPr="000C61CE">
        <w:rPr>
          <w:rFonts w:ascii="Arial" w:hAnsi="Arial" w:cs="Arial"/>
          <w:lang w:val="en-US"/>
        </w:rPr>
        <w:t>Accord</w:t>
      </w:r>
      <w:r>
        <w:rPr>
          <w:rFonts w:ascii="Arial" w:hAnsi="Arial" w:cs="Arial"/>
          <w:lang w:val="en-US"/>
        </w:rPr>
        <w:t>ing to WHO-UNICEF estimates, Ethiopia has come close to meeting the national coverage target of 90% for three doses of DPT-containing vaccine – reaching 86%</w:t>
      </w:r>
      <w:r w:rsidR="00907C58">
        <w:rPr>
          <w:rFonts w:ascii="Arial" w:hAnsi="Arial" w:cs="Arial"/>
          <w:lang w:val="en-US"/>
        </w:rPr>
        <w:t xml:space="preserve"> for three doses of pentavalent (DPT-HepB-Hib) vaccine in 2015</w:t>
      </w:r>
      <w:r>
        <w:rPr>
          <w:rFonts w:ascii="Arial" w:hAnsi="Arial" w:cs="Arial"/>
          <w:lang w:val="en-US"/>
        </w:rPr>
        <w:t>. This is a significant jump from the WUENIC estimate of 77% in 2014</w:t>
      </w:r>
      <w:r w:rsidR="006C5940">
        <w:rPr>
          <w:rFonts w:ascii="Arial" w:hAnsi="Arial" w:cs="Arial"/>
          <w:lang w:val="en-US"/>
        </w:rPr>
        <w:t xml:space="preserve"> and 65% in 2011</w:t>
      </w:r>
      <w:r w:rsidR="00907C58">
        <w:rPr>
          <w:rFonts w:ascii="Arial" w:hAnsi="Arial" w:cs="Arial"/>
          <w:lang w:val="en-US"/>
        </w:rPr>
        <w:t xml:space="preserve">. A decline in the dropout rate between the first and third doses has been one factor contributing to the recent increase in </w:t>
      </w:r>
      <w:r w:rsidR="00E420C5">
        <w:rPr>
          <w:rFonts w:ascii="Arial" w:hAnsi="Arial" w:cs="Arial"/>
          <w:lang w:val="en-US"/>
        </w:rPr>
        <w:t xml:space="preserve">pentavalent 3 </w:t>
      </w:r>
      <w:r w:rsidR="00907C58">
        <w:rPr>
          <w:rFonts w:ascii="Arial" w:hAnsi="Arial" w:cs="Arial"/>
          <w:lang w:val="en-US"/>
        </w:rPr>
        <w:t>coverage</w:t>
      </w:r>
      <w:r w:rsidR="00E420C5">
        <w:rPr>
          <w:rFonts w:ascii="Arial" w:hAnsi="Arial" w:cs="Arial"/>
          <w:lang w:val="en-US"/>
        </w:rPr>
        <w:t xml:space="preserve"> </w:t>
      </w:r>
      <w:r w:rsidR="00907C58">
        <w:rPr>
          <w:rFonts w:ascii="Arial" w:hAnsi="Arial" w:cs="Arial"/>
          <w:lang w:val="en-US"/>
        </w:rPr>
        <w:t xml:space="preserve">– falling </w:t>
      </w:r>
      <w:r w:rsidR="006C5940">
        <w:rPr>
          <w:rFonts w:ascii="Arial" w:hAnsi="Arial" w:cs="Arial"/>
          <w:lang w:val="en-US"/>
        </w:rPr>
        <w:t xml:space="preserve">by more than half </w:t>
      </w:r>
      <w:r w:rsidR="00907C58">
        <w:rPr>
          <w:rFonts w:ascii="Arial" w:hAnsi="Arial" w:cs="Arial"/>
          <w:lang w:val="en-US"/>
        </w:rPr>
        <w:t xml:space="preserve">from </w:t>
      </w:r>
      <w:r w:rsidR="00E420C5">
        <w:rPr>
          <w:rFonts w:ascii="Arial" w:hAnsi="Arial" w:cs="Arial"/>
          <w:lang w:val="en-US"/>
        </w:rPr>
        <w:t xml:space="preserve">19% in 2011 to </w:t>
      </w:r>
      <w:r w:rsidR="00907C58">
        <w:rPr>
          <w:rFonts w:ascii="Arial" w:hAnsi="Arial" w:cs="Arial"/>
          <w:lang w:val="en-US"/>
        </w:rPr>
        <w:t>8.5% in 2015</w:t>
      </w:r>
      <w:r w:rsidR="006C5940">
        <w:rPr>
          <w:rFonts w:ascii="Arial" w:hAnsi="Arial" w:cs="Arial"/>
          <w:lang w:val="en-US"/>
        </w:rPr>
        <w:t>, according to the WUENIC estimates</w:t>
      </w:r>
      <w:r w:rsidR="00907C58">
        <w:rPr>
          <w:rFonts w:ascii="Arial" w:hAnsi="Arial" w:cs="Arial"/>
          <w:lang w:val="en-US"/>
        </w:rPr>
        <w:t>.</w:t>
      </w:r>
    </w:p>
    <w:p w14:paraId="2C2709D2" w14:textId="32778AFB" w:rsidR="00907C58" w:rsidRDefault="00281949" w:rsidP="00914A96">
      <w:pPr>
        <w:rPr>
          <w:rFonts w:ascii="Arial" w:hAnsi="Arial" w:cs="Arial"/>
          <w:lang w:val="en-US"/>
        </w:rPr>
      </w:pPr>
      <w:r>
        <w:rPr>
          <w:rFonts w:ascii="Arial" w:hAnsi="Arial" w:cs="Arial"/>
          <w:lang w:val="en-US"/>
        </w:rPr>
        <w:t>However, t</w:t>
      </w:r>
      <w:r w:rsidR="00907C58">
        <w:rPr>
          <w:rFonts w:ascii="Arial" w:hAnsi="Arial" w:cs="Arial"/>
          <w:lang w:val="en-US"/>
        </w:rPr>
        <w:t>he immunization program has been less successful in achieving high coverage in all parts of the country</w:t>
      </w:r>
      <w:r>
        <w:rPr>
          <w:rFonts w:ascii="Arial" w:hAnsi="Arial" w:cs="Arial"/>
          <w:lang w:val="en-US"/>
        </w:rPr>
        <w:t>. Ad</w:t>
      </w:r>
      <w:r w:rsidR="00907C58">
        <w:rPr>
          <w:rFonts w:ascii="Arial" w:hAnsi="Arial" w:cs="Arial"/>
          <w:lang w:val="en-US"/>
        </w:rPr>
        <w:t xml:space="preserve">ministrative data, which is almost certainly inflated, shows that only 65% of districts </w:t>
      </w:r>
      <w:r w:rsidR="00E420C5">
        <w:rPr>
          <w:rFonts w:ascii="Arial" w:hAnsi="Arial" w:cs="Arial"/>
          <w:lang w:val="en-US"/>
        </w:rPr>
        <w:t xml:space="preserve">in 2015 </w:t>
      </w:r>
      <w:r w:rsidR="00907C58">
        <w:rPr>
          <w:rFonts w:ascii="Arial" w:hAnsi="Arial" w:cs="Arial"/>
          <w:lang w:val="en-US"/>
        </w:rPr>
        <w:t>achieved coverage of ≥80% for three pentavalent vaccine doses. A perhaps more accurate picture comes from data from the Routine Immunization Improvement Plan (RIIP) being implemented in 51 of the country’s 103 zones. The percent of zones achieving ≥80% for the third pentavalent dose was 41% in 2015 (but up from 17% in 2013)</w:t>
      </w:r>
      <w:r>
        <w:rPr>
          <w:rFonts w:ascii="Arial" w:hAnsi="Arial" w:cs="Arial"/>
          <w:lang w:val="en-US"/>
        </w:rPr>
        <w:t xml:space="preserve"> (see Figure 2</w:t>
      </w:r>
      <w:r w:rsidR="00E420C5">
        <w:rPr>
          <w:rFonts w:ascii="Arial" w:hAnsi="Arial" w:cs="Arial"/>
          <w:lang w:val="en-US"/>
        </w:rPr>
        <w:t xml:space="preserve"> in Section B</w:t>
      </w:r>
      <w:r>
        <w:rPr>
          <w:rFonts w:ascii="Arial" w:hAnsi="Arial" w:cs="Arial"/>
          <w:lang w:val="en-US"/>
        </w:rPr>
        <w:t xml:space="preserve"> below)</w:t>
      </w:r>
      <w:r w:rsidR="00907C58">
        <w:rPr>
          <w:rFonts w:ascii="Arial" w:hAnsi="Arial" w:cs="Arial"/>
          <w:lang w:val="en-US"/>
        </w:rPr>
        <w:t xml:space="preserve">. There are also large disparities in immunization coverage by income level. The 2013 immunization coverage survey found a difference in pentavalent </w:t>
      </w:r>
      <w:r w:rsidR="00E420C5">
        <w:rPr>
          <w:rFonts w:ascii="Arial" w:hAnsi="Arial" w:cs="Arial"/>
          <w:lang w:val="en-US"/>
        </w:rPr>
        <w:t>3</w:t>
      </w:r>
      <w:r w:rsidR="00907C58">
        <w:rPr>
          <w:rFonts w:ascii="Arial" w:hAnsi="Arial" w:cs="Arial"/>
          <w:lang w:val="en-US"/>
        </w:rPr>
        <w:t xml:space="preserve"> coverage rates of 49 percentage points between the richest and poorest </w:t>
      </w:r>
      <w:r w:rsidR="00907C58">
        <w:rPr>
          <w:rFonts w:ascii="Arial" w:hAnsi="Arial" w:cs="Arial"/>
          <w:lang w:val="en-US"/>
        </w:rPr>
        <w:lastRenderedPageBreak/>
        <w:t>income quintiles, while data fr</w:t>
      </w:r>
      <w:r w:rsidR="00E420C5">
        <w:rPr>
          <w:rFonts w:ascii="Arial" w:hAnsi="Arial" w:cs="Arial"/>
          <w:lang w:val="en-US"/>
        </w:rPr>
        <w:t>om</w:t>
      </w:r>
      <w:r w:rsidR="00907C58">
        <w:rPr>
          <w:rFonts w:ascii="Arial" w:hAnsi="Arial" w:cs="Arial"/>
          <w:lang w:val="en-US"/>
        </w:rPr>
        <w:t xml:space="preserve"> 201</w:t>
      </w:r>
      <w:r>
        <w:rPr>
          <w:rFonts w:ascii="Arial" w:hAnsi="Arial" w:cs="Arial"/>
          <w:lang w:val="en-US"/>
        </w:rPr>
        <w:t>0</w:t>
      </w:r>
      <w:r w:rsidR="00907C58">
        <w:rPr>
          <w:rFonts w:ascii="Arial" w:hAnsi="Arial" w:cs="Arial"/>
          <w:lang w:val="en-US"/>
        </w:rPr>
        <w:t xml:space="preserve"> found a difference of 37.5 percentage points</w:t>
      </w:r>
      <w:r>
        <w:rPr>
          <w:rFonts w:ascii="Arial" w:hAnsi="Arial" w:cs="Arial"/>
          <w:lang w:val="en-US"/>
        </w:rPr>
        <w:t xml:space="preserve"> (WHO Health Equity Monitor Database)</w:t>
      </w:r>
      <w:r w:rsidR="00907C58">
        <w:rPr>
          <w:rFonts w:ascii="Arial" w:hAnsi="Arial" w:cs="Arial"/>
          <w:lang w:val="en-US"/>
        </w:rPr>
        <w:t>.</w:t>
      </w:r>
      <w:r w:rsidR="003707DB">
        <w:rPr>
          <w:rStyle w:val="FootnoteReference"/>
          <w:rFonts w:ascii="Arial" w:hAnsi="Arial" w:cs="Arial"/>
          <w:lang w:val="en-US"/>
        </w:rPr>
        <w:footnoteReference w:id="20"/>
      </w:r>
      <w:r w:rsidR="00907C58">
        <w:rPr>
          <w:rFonts w:ascii="Arial" w:hAnsi="Arial" w:cs="Arial"/>
          <w:lang w:val="en-US"/>
        </w:rPr>
        <w:t xml:space="preserve"> </w:t>
      </w:r>
    </w:p>
    <w:p w14:paraId="7C428E5E" w14:textId="4F5A5D68" w:rsidR="00907C58" w:rsidRDefault="002E36C1" w:rsidP="00914A96">
      <w:pPr>
        <w:rPr>
          <w:rFonts w:ascii="Arial" w:hAnsi="Arial" w:cs="Arial"/>
          <w:lang w:val="en-US"/>
        </w:rPr>
      </w:pPr>
      <w:r>
        <w:rPr>
          <w:rFonts w:ascii="Arial" w:hAnsi="Arial" w:cs="Arial"/>
          <w:lang w:val="en-US"/>
        </w:rPr>
        <w:t>There has been a similar jump in national coverage estimates by WHO and UNICEF for other vaccines in the immunization schedule, with three vaccines approaching the 90% national coverage target in 2015: PCV3 and polio</w:t>
      </w:r>
      <w:r w:rsidR="006C5940">
        <w:rPr>
          <w:rFonts w:ascii="Arial" w:hAnsi="Arial" w:cs="Arial"/>
          <w:lang w:val="en-US"/>
        </w:rPr>
        <w:t xml:space="preserve"> </w:t>
      </w:r>
      <w:r>
        <w:rPr>
          <w:rFonts w:ascii="Arial" w:hAnsi="Arial" w:cs="Arial"/>
          <w:lang w:val="en-US"/>
        </w:rPr>
        <w:t>3 – both at 85% -- and rotavirus (at 83%). The lowest rates are for BCG (75% and measles (78%)</w:t>
      </w:r>
      <w:r w:rsidR="006C5940">
        <w:rPr>
          <w:rFonts w:ascii="Arial" w:hAnsi="Arial" w:cs="Arial"/>
          <w:lang w:val="en-US"/>
        </w:rPr>
        <w:t>.</w:t>
      </w:r>
      <w:r>
        <w:rPr>
          <w:rFonts w:ascii="Arial" w:hAnsi="Arial" w:cs="Arial"/>
          <w:lang w:val="en-US"/>
        </w:rPr>
        <w:t xml:space="preserve"> WUENIC estimates for these vaccines are not available by district to determine their progress in meeting the goal of at least 80% coverage in all districts.</w:t>
      </w:r>
    </w:p>
    <w:p w14:paraId="6331AFA7" w14:textId="08758A3D" w:rsidR="002E36C1" w:rsidRDefault="002E36C1" w:rsidP="00914A96">
      <w:pPr>
        <w:rPr>
          <w:rFonts w:ascii="Arial" w:hAnsi="Arial" w:cs="Arial"/>
          <w:lang w:val="en-US"/>
        </w:rPr>
      </w:pPr>
      <w:r>
        <w:rPr>
          <w:rFonts w:ascii="Arial" w:hAnsi="Arial" w:cs="Arial"/>
          <w:lang w:val="en-US"/>
        </w:rPr>
        <w:t xml:space="preserve">Some of the key factors contributing to the 21 percentage point gain in pentavalent </w:t>
      </w:r>
      <w:r w:rsidR="009F4681">
        <w:rPr>
          <w:rFonts w:ascii="Arial" w:hAnsi="Arial" w:cs="Arial"/>
          <w:lang w:val="en-US"/>
        </w:rPr>
        <w:t>3</w:t>
      </w:r>
      <w:r>
        <w:rPr>
          <w:rFonts w:ascii="Arial" w:hAnsi="Arial" w:cs="Arial"/>
          <w:lang w:val="en-US"/>
        </w:rPr>
        <w:t xml:space="preserve"> coverage </w:t>
      </w:r>
      <w:r w:rsidR="009F4681">
        <w:rPr>
          <w:rFonts w:ascii="Arial" w:hAnsi="Arial" w:cs="Arial"/>
          <w:lang w:val="en-US"/>
        </w:rPr>
        <w:t>from 2011 to 2015</w:t>
      </w:r>
      <w:r>
        <w:rPr>
          <w:rFonts w:ascii="Arial" w:hAnsi="Arial" w:cs="Arial"/>
          <w:lang w:val="en-US"/>
        </w:rPr>
        <w:t xml:space="preserve"> are:</w:t>
      </w:r>
    </w:p>
    <w:p w14:paraId="35A7BDF4" w14:textId="53B125EF" w:rsidR="002E36C1" w:rsidRDefault="002E36C1" w:rsidP="00BE212A">
      <w:pPr>
        <w:pStyle w:val="ListParagraph"/>
        <w:numPr>
          <w:ilvl w:val="0"/>
          <w:numId w:val="31"/>
        </w:numPr>
        <w:contextualSpacing w:val="0"/>
        <w:rPr>
          <w:rFonts w:ascii="Arial" w:hAnsi="Arial" w:cs="Arial"/>
          <w:lang w:val="en-US"/>
        </w:rPr>
      </w:pPr>
      <w:r w:rsidRPr="009F4681">
        <w:rPr>
          <w:rFonts w:ascii="Arial" w:hAnsi="Arial" w:cs="Arial"/>
          <w:b/>
          <w:lang w:val="en-US"/>
        </w:rPr>
        <w:t>The continual buildup of the HEW workforce</w:t>
      </w:r>
      <w:r>
        <w:rPr>
          <w:rFonts w:ascii="Arial" w:hAnsi="Arial" w:cs="Arial"/>
          <w:lang w:val="en-US"/>
        </w:rPr>
        <w:t xml:space="preserve">, as well as </w:t>
      </w:r>
      <w:r w:rsidR="009F4681">
        <w:rPr>
          <w:rFonts w:ascii="Arial" w:hAnsi="Arial" w:cs="Arial"/>
          <w:lang w:val="en-US"/>
        </w:rPr>
        <w:t xml:space="preserve">an increase in </w:t>
      </w:r>
      <w:r>
        <w:rPr>
          <w:rFonts w:ascii="Arial" w:hAnsi="Arial" w:cs="Arial"/>
          <w:lang w:val="en-US"/>
        </w:rPr>
        <w:t>local and international NGOs supporting health facilities directly;</w:t>
      </w:r>
    </w:p>
    <w:p w14:paraId="1EFFBC70" w14:textId="3E190DA7" w:rsidR="002E36C1" w:rsidRDefault="002E36C1" w:rsidP="00BE212A">
      <w:pPr>
        <w:pStyle w:val="ListParagraph"/>
        <w:numPr>
          <w:ilvl w:val="0"/>
          <w:numId w:val="31"/>
        </w:numPr>
        <w:contextualSpacing w:val="0"/>
        <w:rPr>
          <w:rFonts w:ascii="Arial" w:hAnsi="Arial" w:cs="Arial"/>
          <w:lang w:val="en-US"/>
        </w:rPr>
      </w:pPr>
      <w:r>
        <w:rPr>
          <w:rFonts w:ascii="Arial" w:hAnsi="Arial" w:cs="Arial"/>
          <w:lang w:val="en-US"/>
        </w:rPr>
        <w:t xml:space="preserve">Implementation of the </w:t>
      </w:r>
      <w:r w:rsidRPr="009F4681">
        <w:rPr>
          <w:rFonts w:ascii="Arial" w:hAnsi="Arial" w:cs="Arial"/>
          <w:b/>
          <w:lang w:val="en-US"/>
        </w:rPr>
        <w:t>Reach Every Community (REC) strategy</w:t>
      </w:r>
      <w:r>
        <w:rPr>
          <w:rFonts w:ascii="Arial" w:hAnsi="Arial" w:cs="Arial"/>
          <w:lang w:val="en-US"/>
        </w:rPr>
        <w:t>, which began in 2004;</w:t>
      </w:r>
    </w:p>
    <w:p w14:paraId="0A3C15B2" w14:textId="741BC887" w:rsidR="002E36C1" w:rsidRDefault="002E36C1" w:rsidP="00BE212A">
      <w:pPr>
        <w:pStyle w:val="ListParagraph"/>
        <w:numPr>
          <w:ilvl w:val="0"/>
          <w:numId w:val="31"/>
        </w:numPr>
        <w:contextualSpacing w:val="0"/>
        <w:rPr>
          <w:rFonts w:ascii="Arial" w:hAnsi="Arial" w:cs="Arial"/>
          <w:lang w:val="en-US"/>
        </w:rPr>
      </w:pPr>
      <w:r>
        <w:rPr>
          <w:rFonts w:ascii="Arial" w:hAnsi="Arial" w:cs="Arial"/>
          <w:lang w:val="en-US"/>
        </w:rPr>
        <w:t xml:space="preserve">Implementation of the </w:t>
      </w:r>
      <w:r w:rsidRPr="009F4681">
        <w:rPr>
          <w:rFonts w:ascii="Arial" w:hAnsi="Arial" w:cs="Arial"/>
          <w:b/>
          <w:lang w:val="en-US"/>
        </w:rPr>
        <w:t>Routine Immunization Improvement Plan (RIIP)</w:t>
      </w:r>
      <w:r>
        <w:rPr>
          <w:rFonts w:ascii="Arial" w:hAnsi="Arial" w:cs="Arial"/>
          <w:lang w:val="en-US"/>
        </w:rPr>
        <w:t xml:space="preserve">, starting in 2014, in the half of the country’s zones with the poorest immunization program performance. The maps in Figure </w:t>
      </w:r>
      <w:r w:rsidR="00D6260F">
        <w:rPr>
          <w:rFonts w:ascii="Arial" w:hAnsi="Arial" w:cs="Arial"/>
          <w:lang w:val="en-US"/>
        </w:rPr>
        <w:t>2</w:t>
      </w:r>
      <w:r>
        <w:rPr>
          <w:rFonts w:ascii="Arial" w:hAnsi="Arial" w:cs="Arial"/>
          <w:lang w:val="en-US"/>
        </w:rPr>
        <w:t xml:space="preserve"> below suggest that the project has had an important impact on improving vaccination coverage rates in the target zones (see Section B).</w:t>
      </w:r>
    </w:p>
    <w:p w14:paraId="6157B0C1" w14:textId="698D8B8A" w:rsidR="002E36C1" w:rsidRDefault="002E36C1" w:rsidP="00BE212A">
      <w:pPr>
        <w:pStyle w:val="ListParagraph"/>
        <w:numPr>
          <w:ilvl w:val="0"/>
          <w:numId w:val="31"/>
        </w:numPr>
        <w:contextualSpacing w:val="0"/>
        <w:rPr>
          <w:rFonts w:ascii="Arial" w:hAnsi="Arial" w:cs="Arial"/>
          <w:lang w:val="en-US"/>
        </w:rPr>
      </w:pPr>
      <w:r w:rsidRPr="009F4681">
        <w:rPr>
          <w:rFonts w:ascii="Arial" w:hAnsi="Arial" w:cs="Arial"/>
          <w:b/>
          <w:lang w:val="en-US"/>
        </w:rPr>
        <w:t>Establishment of the Health Development Arm</w:t>
      </w:r>
      <w:r w:rsidR="00BE212A" w:rsidRPr="009F4681">
        <w:rPr>
          <w:rFonts w:ascii="Arial" w:hAnsi="Arial" w:cs="Arial"/>
          <w:b/>
          <w:lang w:val="en-US"/>
        </w:rPr>
        <w:t>y</w:t>
      </w:r>
      <w:r w:rsidR="00BE212A">
        <w:rPr>
          <w:rFonts w:ascii="Arial" w:hAnsi="Arial" w:cs="Arial"/>
          <w:lang w:val="en-US"/>
        </w:rPr>
        <w:t xml:space="preserve">. This army of community-based volunteers, describe in Section 2.4 above, forms the backbone of the Government’s new Intensification Plan to reduce the number of </w:t>
      </w:r>
      <w:r w:rsidR="009F4681">
        <w:rPr>
          <w:rFonts w:ascii="Arial" w:hAnsi="Arial" w:cs="Arial"/>
          <w:lang w:val="en-US"/>
        </w:rPr>
        <w:t xml:space="preserve">unimmunized </w:t>
      </w:r>
      <w:r w:rsidR="00BE212A">
        <w:rPr>
          <w:rFonts w:ascii="Arial" w:hAnsi="Arial" w:cs="Arial"/>
          <w:lang w:val="en-US"/>
        </w:rPr>
        <w:t xml:space="preserve">or under-immunized children by 80% in each zone, in large </w:t>
      </w:r>
      <w:r w:rsidR="009F4681">
        <w:rPr>
          <w:rFonts w:ascii="Arial" w:hAnsi="Arial" w:cs="Arial"/>
          <w:lang w:val="en-US"/>
        </w:rPr>
        <w:t>part by identifying missed</w:t>
      </w:r>
      <w:r w:rsidR="00BE212A">
        <w:rPr>
          <w:rFonts w:ascii="Arial" w:hAnsi="Arial" w:cs="Arial"/>
          <w:lang w:val="en-US"/>
        </w:rPr>
        <w:t xml:space="preserve"> children, tracking defaulters, and ensuring catch-up immunization of these children. According to one informant, however, these volunteers could be used more efficiently, and given the newness of the program and its rapid scale-up, there is to date little information on their impact in improving utilization of immunization services.</w:t>
      </w:r>
    </w:p>
    <w:p w14:paraId="5BBD73FF" w14:textId="6841F1CC" w:rsidR="00BE212A" w:rsidRDefault="00BE212A" w:rsidP="00BE212A">
      <w:pPr>
        <w:rPr>
          <w:rFonts w:ascii="Arial" w:hAnsi="Arial" w:cs="Arial"/>
          <w:lang w:val="en-US"/>
        </w:rPr>
      </w:pPr>
      <w:r>
        <w:rPr>
          <w:rFonts w:ascii="Arial" w:hAnsi="Arial" w:cs="Arial"/>
          <w:lang w:val="en-US"/>
        </w:rPr>
        <w:t>While progress has been significant in the past five years, there are a number of issues that need to be addressed in order for Ethiopia to meet its immunization coverage targets, especially in narrowing the geographic and income class inequities in performance. These include:</w:t>
      </w:r>
    </w:p>
    <w:p w14:paraId="780D3C8D" w14:textId="30F3F942" w:rsidR="00F1079F" w:rsidRDefault="00BE212A" w:rsidP="006019F4">
      <w:pPr>
        <w:pStyle w:val="ListParagraph"/>
        <w:numPr>
          <w:ilvl w:val="0"/>
          <w:numId w:val="32"/>
        </w:numPr>
        <w:ind w:left="360"/>
        <w:contextualSpacing w:val="0"/>
        <w:rPr>
          <w:rFonts w:ascii="Arial" w:hAnsi="Arial" w:cs="Arial"/>
          <w:lang w:val="en-US"/>
        </w:rPr>
      </w:pPr>
      <w:r>
        <w:rPr>
          <w:rFonts w:ascii="Arial" w:hAnsi="Arial" w:cs="Arial"/>
          <w:lang w:val="en-US"/>
        </w:rPr>
        <w:t xml:space="preserve">The existence of </w:t>
      </w:r>
      <w:r w:rsidRPr="00F42CC4">
        <w:rPr>
          <w:rFonts w:ascii="Arial" w:hAnsi="Arial" w:cs="Arial"/>
          <w:b/>
          <w:lang w:val="en-US"/>
        </w:rPr>
        <w:t>geographic pockets with low coverage</w:t>
      </w:r>
      <w:r>
        <w:rPr>
          <w:rFonts w:ascii="Arial" w:hAnsi="Arial" w:cs="Arial"/>
          <w:lang w:val="en-US"/>
        </w:rPr>
        <w:t xml:space="preserve">, especially in pastoralist communities </w:t>
      </w:r>
      <w:r w:rsidR="00DC1CC8">
        <w:rPr>
          <w:rFonts w:ascii="Arial" w:hAnsi="Arial" w:cs="Arial"/>
          <w:lang w:val="en-US"/>
        </w:rPr>
        <w:t>that are co</w:t>
      </w:r>
      <w:r>
        <w:rPr>
          <w:rFonts w:ascii="Arial" w:hAnsi="Arial" w:cs="Arial"/>
          <w:lang w:val="en-US"/>
        </w:rPr>
        <w:t xml:space="preserve">ncentrated in three regions (Afar, Somali and Gambella). The sparse populations, nomadic lifestyle and weaker health infrastructure in these areas make it challenging to provide immunizations on schedule. The situation is reportedly improving with the increase in the </w:t>
      </w:r>
      <w:r w:rsidR="00461388">
        <w:rPr>
          <w:rFonts w:ascii="Arial" w:hAnsi="Arial" w:cs="Arial"/>
          <w:lang w:val="en-US"/>
        </w:rPr>
        <w:t xml:space="preserve">number of </w:t>
      </w:r>
      <w:r>
        <w:rPr>
          <w:rFonts w:ascii="Arial" w:hAnsi="Arial" w:cs="Arial"/>
          <w:lang w:val="en-US"/>
        </w:rPr>
        <w:t xml:space="preserve">health posts and HEWs in these areas, </w:t>
      </w:r>
      <w:r w:rsidR="00DC1CC8">
        <w:rPr>
          <w:rFonts w:ascii="Arial" w:hAnsi="Arial" w:cs="Arial"/>
          <w:lang w:val="en-US"/>
        </w:rPr>
        <w:t>and through efforts by N</w:t>
      </w:r>
      <w:r>
        <w:rPr>
          <w:rFonts w:ascii="Arial" w:hAnsi="Arial" w:cs="Arial"/>
          <w:lang w:val="en-US"/>
        </w:rPr>
        <w:t>GO</w:t>
      </w:r>
      <w:r w:rsidR="00DC1CC8">
        <w:rPr>
          <w:rFonts w:ascii="Arial" w:hAnsi="Arial" w:cs="Arial"/>
          <w:lang w:val="en-US"/>
        </w:rPr>
        <w:t xml:space="preserve">s in pastoralist areas to find creative ways to </w:t>
      </w:r>
      <w:r w:rsidR="00461388">
        <w:rPr>
          <w:rFonts w:ascii="Arial" w:hAnsi="Arial" w:cs="Arial"/>
          <w:lang w:val="en-US"/>
        </w:rPr>
        <w:t>deliver</w:t>
      </w:r>
      <w:r w:rsidR="00DC1CC8">
        <w:rPr>
          <w:rFonts w:ascii="Arial" w:hAnsi="Arial" w:cs="Arial"/>
          <w:lang w:val="en-US"/>
        </w:rPr>
        <w:t xml:space="preserve"> immunization and other health services to this population</w:t>
      </w:r>
      <w:r w:rsidR="00461388">
        <w:rPr>
          <w:rFonts w:ascii="Arial" w:hAnsi="Arial" w:cs="Arial"/>
          <w:lang w:val="en-US"/>
        </w:rPr>
        <w:t>. One strategy</w:t>
      </w:r>
      <w:r w:rsidR="00DC1CC8">
        <w:rPr>
          <w:rFonts w:ascii="Arial" w:hAnsi="Arial" w:cs="Arial"/>
          <w:lang w:val="en-US"/>
        </w:rPr>
        <w:t xml:space="preserve">, for example, </w:t>
      </w:r>
      <w:r w:rsidR="00461388">
        <w:rPr>
          <w:rFonts w:ascii="Arial" w:hAnsi="Arial" w:cs="Arial"/>
          <w:lang w:val="en-US"/>
        </w:rPr>
        <w:t>involves</w:t>
      </w:r>
      <w:r w:rsidR="00DC1CC8">
        <w:rPr>
          <w:rFonts w:ascii="Arial" w:hAnsi="Arial" w:cs="Arial"/>
          <w:lang w:val="en-US"/>
        </w:rPr>
        <w:t xml:space="preserve"> government health workers meet</w:t>
      </w:r>
      <w:r w:rsidR="00461388">
        <w:rPr>
          <w:rFonts w:ascii="Arial" w:hAnsi="Arial" w:cs="Arial"/>
          <w:lang w:val="en-US"/>
        </w:rPr>
        <w:t>ing</w:t>
      </w:r>
      <w:r w:rsidR="00DC1CC8">
        <w:rPr>
          <w:rFonts w:ascii="Arial" w:hAnsi="Arial" w:cs="Arial"/>
          <w:lang w:val="en-US"/>
        </w:rPr>
        <w:t xml:space="preserve"> nomadic groups at pre-arranged locations </w:t>
      </w:r>
      <w:r w:rsidR="00461388">
        <w:rPr>
          <w:rFonts w:ascii="Arial" w:hAnsi="Arial" w:cs="Arial"/>
          <w:lang w:val="en-US"/>
        </w:rPr>
        <w:t xml:space="preserve">and dates </w:t>
      </w:r>
      <w:r w:rsidR="00DC1CC8">
        <w:rPr>
          <w:rFonts w:ascii="Arial" w:hAnsi="Arial" w:cs="Arial"/>
          <w:lang w:val="en-US"/>
        </w:rPr>
        <w:t>to provide immunization and other health services</w:t>
      </w:r>
      <w:r w:rsidR="00F1079F">
        <w:rPr>
          <w:rFonts w:ascii="Arial" w:hAnsi="Arial" w:cs="Arial"/>
          <w:lang w:val="en-US"/>
        </w:rPr>
        <w:t>.</w:t>
      </w:r>
    </w:p>
    <w:p w14:paraId="44E61186" w14:textId="3F19DC4C" w:rsidR="00BE212A" w:rsidRDefault="00F1079F" w:rsidP="006019F4">
      <w:pPr>
        <w:pStyle w:val="ListParagraph"/>
        <w:numPr>
          <w:ilvl w:val="0"/>
          <w:numId w:val="32"/>
        </w:numPr>
        <w:ind w:left="360"/>
        <w:contextualSpacing w:val="0"/>
        <w:rPr>
          <w:rFonts w:ascii="Arial" w:hAnsi="Arial" w:cs="Arial"/>
          <w:lang w:val="en-US"/>
        </w:rPr>
      </w:pPr>
      <w:r>
        <w:rPr>
          <w:rFonts w:ascii="Arial" w:hAnsi="Arial" w:cs="Arial"/>
          <w:lang w:val="en-US"/>
        </w:rPr>
        <w:t xml:space="preserve">The fact that </w:t>
      </w:r>
      <w:r w:rsidRPr="00F42CC4">
        <w:rPr>
          <w:rFonts w:ascii="Arial" w:hAnsi="Arial" w:cs="Arial"/>
          <w:b/>
          <w:lang w:val="en-US"/>
        </w:rPr>
        <w:t xml:space="preserve">most health facilities do not provide immunization services on a daily basis </w:t>
      </w:r>
      <w:r>
        <w:rPr>
          <w:rFonts w:ascii="Arial" w:hAnsi="Arial" w:cs="Arial"/>
          <w:lang w:val="en-US"/>
        </w:rPr>
        <w:t>– as stipulated in the national routine immunization policy.</w:t>
      </w:r>
      <w:r w:rsidR="00DC1CC8">
        <w:rPr>
          <w:rFonts w:ascii="Arial" w:hAnsi="Arial" w:cs="Arial"/>
          <w:lang w:val="en-US"/>
        </w:rPr>
        <w:t xml:space="preserve"> </w:t>
      </w:r>
      <w:r>
        <w:rPr>
          <w:rFonts w:ascii="Arial" w:hAnsi="Arial" w:cs="Arial"/>
          <w:lang w:val="en-US"/>
        </w:rPr>
        <w:t xml:space="preserve">The 2012 immunization </w:t>
      </w:r>
      <w:r>
        <w:rPr>
          <w:rFonts w:ascii="Arial" w:hAnsi="Arial" w:cs="Arial"/>
          <w:lang w:val="en-US"/>
        </w:rPr>
        <w:lastRenderedPageBreak/>
        <w:t xml:space="preserve">coverage survey found that only 26% of health facilities surveyed </w:t>
      </w:r>
      <w:r w:rsidR="00461388">
        <w:rPr>
          <w:rFonts w:ascii="Arial" w:hAnsi="Arial" w:cs="Arial"/>
          <w:lang w:val="en-US"/>
        </w:rPr>
        <w:t xml:space="preserve">(mainly health centers) </w:t>
      </w:r>
      <w:r>
        <w:rPr>
          <w:rFonts w:ascii="Arial" w:hAnsi="Arial" w:cs="Arial"/>
          <w:lang w:val="en-US"/>
        </w:rPr>
        <w:t xml:space="preserve">offered daily immunization services, and only 5% of health posts did so. Three-quarters (76%) of health posts offered immunization once a month, as did 48% of all health facilities in the study. The infrequency of EPI services results in many missed opportunities </w:t>
      </w:r>
      <w:r w:rsidR="00461388">
        <w:rPr>
          <w:rFonts w:ascii="Arial" w:hAnsi="Arial" w:cs="Arial"/>
          <w:lang w:val="en-US"/>
        </w:rPr>
        <w:t>to reach children with vaccinations</w:t>
      </w:r>
      <w:r>
        <w:rPr>
          <w:rFonts w:ascii="Arial" w:hAnsi="Arial" w:cs="Arial"/>
          <w:lang w:val="en-US"/>
        </w:rPr>
        <w:t>.</w:t>
      </w:r>
    </w:p>
    <w:p w14:paraId="0B3554B3" w14:textId="584E249D" w:rsidR="00F42CC4" w:rsidRDefault="00F1079F" w:rsidP="006019F4">
      <w:pPr>
        <w:pStyle w:val="ListParagraph"/>
        <w:numPr>
          <w:ilvl w:val="0"/>
          <w:numId w:val="32"/>
        </w:numPr>
        <w:ind w:left="360"/>
        <w:contextualSpacing w:val="0"/>
        <w:rPr>
          <w:rFonts w:ascii="Arial" w:hAnsi="Arial" w:cs="Arial"/>
          <w:lang w:val="en-US"/>
        </w:rPr>
      </w:pPr>
      <w:r w:rsidRPr="00F42CC4">
        <w:rPr>
          <w:rFonts w:ascii="Arial" w:hAnsi="Arial" w:cs="Arial"/>
          <w:b/>
          <w:lang w:val="en-US"/>
        </w:rPr>
        <w:t>Vaccine supply chain and cold chain issues</w:t>
      </w:r>
      <w:r>
        <w:rPr>
          <w:rFonts w:ascii="Arial" w:hAnsi="Arial" w:cs="Arial"/>
          <w:lang w:val="en-US"/>
        </w:rPr>
        <w:t>: A major reason that health posts do not offer daily immunization is that only around 30% of them have cold chain equipment, according to an EVM assessment conducted in 2013.</w:t>
      </w:r>
      <w:r w:rsidR="00461388">
        <w:rPr>
          <w:rStyle w:val="FootnoteReference"/>
          <w:rFonts w:ascii="Arial" w:hAnsi="Arial" w:cs="Arial"/>
          <w:lang w:val="en-US"/>
        </w:rPr>
        <w:footnoteReference w:id="21"/>
      </w:r>
      <w:r>
        <w:rPr>
          <w:rFonts w:ascii="Arial" w:hAnsi="Arial" w:cs="Arial"/>
          <w:lang w:val="en-US"/>
        </w:rPr>
        <w:t xml:space="preserve"> In addition, many refrigerators were found in a 2013 cold chain inventory to be non-functional – 38% of those at health facilities and 36% of those at zonal and district stores – due to a lack of trained cold chain technicians, spare parts and fuel (kerosene). The </w:t>
      </w:r>
      <w:r w:rsidR="00A441A1">
        <w:rPr>
          <w:rFonts w:ascii="Arial" w:hAnsi="Arial" w:cs="Arial"/>
          <w:lang w:val="en-US"/>
        </w:rPr>
        <w:t xml:space="preserve">country’s </w:t>
      </w:r>
      <w:r w:rsidR="00461388">
        <w:rPr>
          <w:rFonts w:ascii="Arial" w:hAnsi="Arial" w:cs="Arial"/>
          <w:lang w:val="en-US"/>
        </w:rPr>
        <w:t xml:space="preserve">five-tier </w:t>
      </w:r>
      <w:r>
        <w:rPr>
          <w:rFonts w:ascii="Arial" w:hAnsi="Arial" w:cs="Arial"/>
          <w:lang w:val="en-US"/>
        </w:rPr>
        <w:t xml:space="preserve">vaccine </w:t>
      </w:r>
      <w:r w:rsidR="00461388">
        <w:rPr>
          <w:rFonts w:ascii="Arial" w:hAnsi="Arial" w:cs="Arial"/>
          <w:lang w:val="en-US"/>
        </w:rPr>
        <w:t>supply chain</w:t>
      </w:r>
      <w:r>
        <w:rPr>
          <w:rFonts w:ascii="Arial" w:hAnsi="Arial" w:cs="Arial"/>
          <w:lang w:val="en-US"/>
        </w:rPr>
        <w:t xml:space="preserve"> system is also weak – often resulting in overstocking at the central level and vaccine shortages or stockouts at sub-national cold rooms. This situation is improving with the transition of vaccine </w:t>
      </w:r>
      <w:r w:rsidR="00461388">
        <w:rPr>
          <w:rFonts w:ascii="Arial" w:hAnsi="Arial" w:cs="Arial"/>
          <w:lang w:val="en-US"/>
        </w:rPr>
        <w:t>logistics management</w:t>
      </w:r>
      <w:r>
        <w:rPr>
          <w:rFonts w:ascii="Arial" w:hAnsi="Arial" w:cs="Arial"/>
          <w:lang w:val="en-US"/>
        </w:rPr>
        <w:t xml:space="preserve"> from the FMOH to the quasi-governmental Pharmaceuticals Fund Supply Agency (PFSA), which is now responsible for delivering vaccines to the zones and districts. Health facilities must </w:t>
      </w:r>
      <w:r w:rsidR="00461388">
        <w:rPr>
          <w:rFonts w:ascii="Arial" w:hAnsi="Arial" w:cs="Arial"/>
          <w:lang w:val="en-US"/>
        </w:rPr>
        <w:t>still</w:t>
      </w:r>
      <w:r>
        <w:rPr>
          <w:rFonts w:ascii="Arial" w:hAnsi="Arial" w:cs="Arial"/>
          <w:lang w:val="en-US"/>
        </w:rPr>
        <w:t xml:space="preserve"> collect the vaccines themselves from zonal or district stores, which can be difficult due to limited staff (especially at health posts) and limited transportation. </w:t>
      </w:r>
    </w:p>
    <w:p w14:paraId="3B0B9B2E" w14:textId="7A70D1A7" w:rsidR="00F1079F" w:rsidRDefault="00F1079F" w:rsidP="006019F4">
      <w:pPr>
        <w:ind w:left="360"/>
        <w:rPr>
          <w:rFonts w:ascii="Arial" w:hAnsi="Arial" w:cs="Arial"/>
          <w:lang w:val="en-US"/>
        </w:rPr>
      </w:pPr>
      <w:r w:rsidRPr="00F42CC4">
        <w:rPr>
          <w:rFonts w:ascii="Arial" w:hAnsi="Arial" w:cs="Arial"/>
          <w:lang w:val="en-US"/>
        </w:rPr>
        <w:t xml:space="preserve">As a result of both the lack of working refrigerators in health facilities and weak vaccine distribution, local-level vaccine stockouts are quite common. The 2015 rotavirus post-introduction evaluation found that nearly half (47%) of health facilities surveyed had </w:t>
      </w:r>
      <w:r w:rsidR="00F42CC4">
        <w:rPr>
          <w:rFonts w:ascii="Arial" w:hAnsi="Arial" w:cs="Arial"/>
          <w:lang w:val="en-US"/>
        </w:rPr>
        <w:t xml:space="preserve">experienced a </w:t>
      </w:r>
      <w:r w:rsidRPr="00F42CC4">
        <w:rPr>
          <w:rFonts w:ascii="Arial" w:hAnsi="Arial" w:cs="Arial"/>
          <w:lang w:val="en-US"/>
        </w:rPr>
        <w:t>vaccine or supply stoc</w:t>
      </w:r>
      <w:r w:rsidR="00F42CC4">
        <w:rPr>
          <w:rFonts w:ascii="Arial" w:hAnsi="Arial" w:cs="Arial"/>
          <w:lang w:val="en-US"/>
        </w:rPr>
        <w:t>kout</w:t>
      </w:r>
      <w:r w:rsidR="00F42CC4" w:rsidRPr="00F42CC4">
        <w:rPr>
          <w:rFonts w:ascii="Arial" w:hAnsi="Arial" w:cs="Arial"/>
          <w:lang w:val="en-US"/>
        </w:rPr>
        <w:t xml:space="preserve"> in the </w:t>
      </w:r>
      <w:r w:rsidR="00F42CC4">
        <w:rPr>
          <w:rFonts w:ascii="Arial" w:hAnsi="Arial" w:cs="Arial"/>
          <w:lang w:val="en-US"/>
        </w:rPr>
        <w:t>previous</w:t>
      </w:r>
      <w:r w:rsidR="00F42CC4" w:rsidRPr="00F42CC4">
        <w:rPr>
          <w:rFonts w:ascii="Arial" w:hAnsi="Arial" w:cs="Arial"/>
          <w:lang w:val="en-US"/>
        </w:rPr>
        <w:t xml:space="preserve"> six months.</w:t>
      </w:r>
      <w:r w:rsidR="00461388">
        <w:rPr>
          <w:rStyle w:val="FootnoteReference"/>
          <w:rFonts w:ascii="Arial" w:hAnsi="Arial" w:cs="Arial"/>
          <w:lang w:val="en-US"/>
        </w:rPr>
        <w:footnoteReference w:id="22"/>
      </w:r>
      <w:r w:rsidR="00F42CC4" w:rsidRPr="00F42CC4">
        <w:rPr>
          <w:rFonts w:ascii="Arial" w:hAnsi="Arial" w:cs="Arial"/>
          <w:lang w:val="en-US"/>
        </w:rPr>
        <w:t xml:space="preserve"> </w:t>
      </w:r>
      <w:r w:rsidR="00F42CC4">
        <w:rPr>
          <w:rFonts w:ascii="Arial" w:hAnsi="Arial" w:cs="Arial"/>
          <w:lang w:val="en-US"/>
        </w:rPr>
        <w:t>The 2012 immunization coverage survey found that va</w:t>
      </w:r>
      <w:r w:rsidR="00F42CC4" w:rsidRPr="00F42CC4">
        <w:rPr>
          <w:rFonts w:ascii="Arial" w:hAnsi="Arial" w:cs="Arial"/>
          <w:lang w:val="en-US"/>
        </w:rPr>
        <w:t xml:space="preserve">ccine stockouts </w:t>
      </w:r>
      <w:r w:rsidR="00F42CC4">
        <w:rPr>
          <w:rFonts w:ascii="Arial" w:hAnsi="Arial" w:cs="Arial"/>
          <w:lang w:val="en-US"/>
        </w:rPr>
        <w:t>were the</w:t>
      </w:r>
      <w:r w:rsidR="00F42CC4" w:rsidRPr="00F42CC4">
        <w:rPr>
          <w:rFonts w:ascii="Arial" w:hAnsi="Arial" w:cs="Arial"/>
          <w:lang w:val="en-US"/>
        </w:rPr>
        <w:t xml:space="preserve"> major reason that health facilities cancel planned immunization sessions, resulting in further missed opportunities to vaccinate children.</w:t>
      </w:r>
    </w:p>
    <w:p w14:paraId="0EB2E309" w14:textId="2FFF7B31" w:rsidR="00F42CC4" w:rsidRDefault="00F42CC4" w:rsidP="006019F4">
      <w:pPr>
        <w:pStyle w:val="ListParagraph"/>
        <w:numPr>
          <w:ilvl w:val="0"/>
          <w:numId w:val="32"/>
        </w:numPr>
        <w:ind w:left="360"/>
        <w:rPr>
          <w:rFonts w:ascii="Arial" w:hAnsi="Arial" w:cs="Arial"/>
          <w:lang w:val="en-US"/>
        </w:rPr>
      </w:pPr>
      <w:r w:rsidRPr="00F42CC4">
        <w:rPr>
          <w:rFonts w:ascii="Arial" w:hAnsi="Arial" w:cs="Arial"/>
          <w:b/>
          <w:lang w:val="en-US"/>
        </w:rPr>
        <w:t>Gaps in monitoring and supervision</w:t>
      </w:r>
      <w:r>
        <w:rPr>
          <w:rFonts w:ascii="Arial" w:hAnsi="Arial" w:cs="Arial"/>
          <w:lang w:val="en-US"/>
        </w:rPr>
        <w:t>: There is a supportive supervision system in place, but its impact on the immunization program is considered insufficient, due to the lack of funding for regular, consistent visits to the field and to the fact that the supervisory visits cover all components of the minimum health services package, therefore not always focusing sufficiently on immunization.</w:t>
      </w:r>
      <w:r w:rsidR="006019F4">
        <w:rPr>
          <w:rStyle w:val="FootnoteReference"/>
          <w:rFonts w:ascii="Arial" w:hAnsi="Arial" w:cs="Arial"/>
          <w:lang w:val="en-US"/>
        </w:rPr>
        <w:footnoteReference w:id="23"/>
      </w:r>
    </w:p>
    <w:p w14:paraId="6FFDC169" w14:textId="4B0F9B20" w:rsidR="00957EAE" w:rsidRDefault="00F42CC4" w:rsidP="00F42CC4">
      <w:pPr>
        <w:rPr>
          <w:rFonts w:ascii="Arial" w:hAnsi="Arial" w:cs="Arial"/>
          <w:lang w:val="en-US"/>
        </w:rPr>
      </w:pPr>
      <w:r>
        <w:rPr>
          <w:rFonts w:ascii="Arial" w:hAnsi="Arial" w:cs="Arial"/>
          <w:lang w:val="en-US"/>
        </w:rPr>
        <w:t>There is also an</w:t>
      </w:r>
      <w:r w:rsidR="00957EAE">
        <w:rPr>
          <w:rFonts w:ascii="Arial" w:hAnsi="Arial" w:cs="Arial"/>
          <w:lang w:val="en-US"/>
        </w:rPr>
        <w:t xml:space="preserve">ecdotal, but no documented evidence that multiple rounds of polio and measles campaigns – as many as 19 over three years in some areas – can negatively impact the </w:t>
      </w:r>
      <w:r w:rsidR="006019F4">
        <w:rPr>
          <w:rFonts w:ascii="Arial" w:hAnsi="Arial" w:cs="Arial"/>
          <w:lang w:val="en-US"/>
        </w:rPr>
        <w:t>delivery</w:t>
      </w:r>
      <w:r w:rsidR="00957EAE">
        <w:rPr>
          <w:rFonts w:ascii="Arial" w:hAnsi="Arial" w:cs="Arial"/>
          <w:lang w:val="en-US"/>
        </w:rPr>
        <w:t xml:space="preserve"> of routine immunization services. Each campaign can require two weeks of planning, leaving the often over-stretched HEWs little time to provide routine immunization. On the other hand, the repeated campaigns and accompanying social mobilization, has reportedly increased population awareness of and demand for vaccination. Some districts have used the opportunity of the SIAs to catch up children with all their immunizations, by</w:t>
      </w:r>
      <w:r w:rsidR="00442F4B">
        <w:rPr>
          <w:rFonts w:ascii="Arial" w:hAnsi="Arial" w:cs="Arial"/>
          <w:lang w:val="en-US"/>
        </w:rPr>
        <w:t>,</w:t>
      </w:r>
      <w:r w:rsidR="00957EAE">
        <w:rPr>
          <w:rFonts w:ascii="Arial" w:hAnsi="Arial" w:cs="Arial"/>
          <w:lang w:val="en-US"/>
        </w:rPr>
        <w:t xml:space="preserve"> for instance, having nearby health posts offer </w:t>
      </w:r>
      <w:r w:rsidR="006019F4">
        <w:rPr>
          <w:rFonts w:ascii="Arial" w:hAnsi="Arial" w:cs="Arial"/>
          <w:lang w:val="en-US"/>
        </w:rPr>
        <w:t xml:space="preserve">routine </w:t>
      </w:r>
      <w:r w:rsidR="00957EAE">
        <w:rPr>
          <w:rFonts w:ascii="Arial" w:hAnsi="Arial" w:cs="Arial"/>
          <w:lang w:val="en-US"/>
        </w:rPr>
        <w:t xml:space="preserve">immunization </w:t>
      </w:r>
      <w:r w:rsidR="00442F4B">
        <w:rPr>
          <w:rFonts w:ascii="Arial" w:hAnsi="Arial" w:cs="Arial"/>
          <w:lang w:val="en-US"/>
        </w:rPr>
        <w:t xml:space="preserve">services at the same time as an SIA is being held at an outreach site, and encouraging parents to take their children to the health post for </w:t>
      </w:r>
      <w:r w:rsidR="005C1966">
        <w:rPr>
          <w:rFonts w:ascii="Arial" w:hAnsi="Arial" w:cs="Arial"/>
          <w:lang w:val="en-US"/>
        </w:rPr>
        <w:t>the</w:t>
      </w:r>
      <w:r w:rsidR="006019F4">
        <w:rPr>
          <w:rFonts w:ascii="Arial" w:hAnsi="Arial" w:cs="Arial"/>
          <w:lang w:val="en-US"/>
        </w:rPr>
        <w:t>ir</w:t>
      </w:r>
      <w:r w:rsidR="005C1966">
        <w:rPr>
          <w:rFonts w:ascii="Arial" w:hAnsi="Arial" w:cs="Arial"/>
          <w:lang w:val="en-US"/>
        </w:rPr>
        <w:t xml:space="preserve"> </w:t>
      </w:r>
      <w:r w:rsidR="00442F4B">
        <w:rPr>
          <w:rFonts w:ascii="Arial" w:hAnsi="Arial" w:cs="Arial"/>
          <w:lang w:val="en-US"/>
        </w:rPr>
        <w:t>other vaccinations.</w:t>
      </w:r>
    </w:p>
    <w:p w14:paraId="11DB8BC6" w14:textId="74F1DDC4" w:rsidR="00F42CC4" w:rsidRPr="00F42CC4" w:rsidRDefault="00F42CC4" w:rsidP="00F42CC4">
      <w:pPr>
        <w:rPr>
          <w:rFonts w:ascii="Arial" w:hAnsi="Arial" w:cs="Arial"/>
          <w:lang w:val="en-US"/>
        </w:rPr>
      </w:pPr>
      <w:r>
        <w:rPr>
          <w:rFonts w:ascii="Arial" w:hAnsi="Arial" w:cs="Arial"/>
          <w:lang w:val="en-US"/>
        </w:rPr>
        <w:lastRenderedPageBreak/>
        <w:t xml:space="preserve">Vaccine hesitancy is not considered to be a major issue in Ethiopia, according to informants. </w:t>
      </w:r>
    </w:p>
    <w:p w14:paraId="398EE881" w14:textId="03ADD32E" w:rsidR="00914A96" w:rsidRPr="00DA2F74" w:rsidRDefault="00D6260F" w:rsidP="00DA2F74">
      <w:pPr>
        <w:pStyle w:val="ListParagraph"/>
        <w:numPr>
          <w:ilvl w:val="1"/>
          <w:numId w:val="18"/>
        </w:numPr>
        <w:rPr>
          <w:rFonts w:ascii="Arial" w:hAnsi="Arial" w:cs="Arial"/>
          <w:b/>
          <w:lang w:val="en-US"/>
        </w:rPr>
      </w:pPr>
      <w:r>
        <w:rPr>
          <w:rFonts w:ascii="Arial" w:hAnsi="Arial" w:cs="Arial"/>
          <w:b/>
          <w:lang w:val="en-US"/>
        </w:rPr>
        <w:t xml:space="preserve">Goal 4: </w:t>
      </w:r>
      <w:r w:rsidR="00914A96" w:rsidRPr="00DA2F74">
        <w:rPr>
          <w:rFonts w:ascii="Arial" w:hAnsi="Arial" w:cs="Arial"/>
          <w:b/>
          <w:lang w:val="en-US"/>
        </w:rPr>
        <w:t>Introduce new and improved vaccines and technologies</w:t>
      </w:r>
    </w:p>
    <w:p w14:paraId="0CF6D3AF" w14:textId="30BF03C0" w:rsidR="00DA2F74" w:rsidRDefault="00DA2F74" w:rsidP="00DA2F74">
      <w:pPr>
        <w:rPr>
          <w:rFonts w:ascii="Arial" w:hAnsi="Arial" w:cs="Arial"/>
          <w:lang w:val="en-US"/>
        </w:rPr>
      </w:pPr>
      <w:r>
        <w:rPr>
          <w:rFonts w:ascii="Arial" w:hAnsi="Arial" w:cs="Arial"/>
          <w:lang w:val="en-US"/>
        </w:rPr>
        <w:t>Ethiopia has an impressive record of introducing new vac</w:t>
      </w:r>
      <w:r w:rsidR="00410919">
        <w:rPr>
          <w:rFonts w:ascii="Arial" w:hAnsi="Arial" w:cs="Arial"/>
          <w:lang w:val="en-US"/>
        </w:rPr>
        <w:t>c</w:t>
      </w:r>
      <w:r>
        <w:rPr>
          <w:rFonts w:ascii="Arial" w:hAnsi="Arial" w:cs="Arial"/>
          <w:lang w:val="en-US"/>
        </w:rPr>
        <w:t xml:space="preserve">ines with GAVI support, beginning with pentavalent </w:t>
      </w:r>
      <w:r w:rsidR="00873B54">
        <w:rPr>
          <w:rFonts w:ascii="Arial" w:hAnsi="Arial" w:cs="Arial"/>
          <w:lang w:val="en-US"/>
        </w:rPr>
        <w:t xml:space="preserve">(DPT-HepB-Hib) </w:t>
      </w:r>
      <w:r>
        <w:rPr>
          <w:rFonts w:ascii="Arial" w:hAnsi="Arial" w:cs="Arial"/>
          <w:lang w:val="en-US"/>
        </w:rPr>
        <w:t>vaccine in 2007, followed by PCV</w:t>
      </w:r>
      <w:r w:rsidR="006019F4">
        <w:rPr>
          <w:rFonts w:ascii="Arial" w:hAnsi="Arial" w:cs="Arial"/>
          <w:lang w:val="en-US"/>
        </w:rPr>
        <w:t>-</w:t>
      </w:r>
      <w:r>
        <w:rPr>
          <w:rFonts w:ascii="Arial" w:hAnsi="Arial" w:cs="Arial"/>
          <w:lang w:val="en-US"/>
        </w:rPr>
        <w:t xml:space="preserve">10 in 2011, rotavirus and meningitis A (through campaigns) in 2013, and IPV (as the third polio vaccine dose) in 2015. The introduction of PCV, originally planned for 2010, was delayed until the following year as a result of a global vaccine shortage. Rotavirus vaccine introduction took place in late 2013 in all regions, except Somali, where it was delayed until August 2014 due to the polio outbreak and response in that region. </w:t>
      </w:r>
    </w:p>
    <w:p w14:paraId="61AB2484" w14:textId="2B376777" w:rsidR="00DA2F74" w:rsidRDefault="00DA2F74" w:rsidP="00DA2F74">
      <w:pPr>
        <w:rPr>
          <w:rFonts w:ascii="Arial" w:hAnsi="Arial" w:cs="Arial"/>
          <w:lang w:val="en-US"/>
        </w:rPr>
      </w:pPr>
      <w:r>
        <w:rPr>
          <w:rFonts w:ascii="Arial" w:hAnsi="Arial" w:cs="Arial"/>
          <w:lang w:val="en-US"/>
        </w:rPr>
        <w:t>Post-introduction evaluations (PIEs) conducted for the PCV and rotavirus vaccine introductions indicate generally successful and smooth introductions of both vaccines and good acceptance by the population.</w:t>
      </w:r>
      <w:r w:rsidR="006019F4">
        <w:rPr>
          <w:rStyle w:val="FootnoteReference"/>
          <w:rFonts w:ascii="Arial" w:hAnsi="Arial" w:cs="Arial"/>
          <w:lang w:val="en-US"/>
        </w:rPr>
        <w:footnoteReference w:id="24"/>
      </w:r>
      <w:r>
        <w:rPr>
          <w:rFonts w:ascii="Arial" w:hAnsi="Arial" w:cs="Arial"/>
          <w:lang w:val="en-US"/>
        </w:rPr>
        <w:t xml:space="preserve"> In both cases, there was extensive training nation-wide – with most HEWS trained – and personnel from private and NGO-run health facilities were included in the training of training </w:t>
      </w:r>
      <w:r w:rsidR="006019F4">
        <w:rPr>
          <w:rFonts w:ascii="Arial" w:hAnsi="Arial" w:cs="Arial"/>
          <w:lang w:val="en-US"/>
        </w:rPr>
        <w:t xml:space="preserve">(TOT) </w:t>
      </w:r>
      <w:r>
        <w:rPr>
          <w:rFonts w:ascii="Arial" w:hAnsi="Arial" w:cs="Arial"/>
          <w:lang w:val="en-US"/>
        </w:rPr>
        <w:t>courses. Both</w:t>
      </w:r>
      <w:r w:rsidR="00410919">
        <w:rPr>
          <w:rFonts w:ascii="Arial" w:hAnsi="Arial" w:cs="Arial"/>
          <w:lang w:val="en-US"/>
        </w:rPr>
        <w:t xml:space="preserve"> vaccine</w:t>
      </w:r>
      <w:r>
        <w:rPr>
          <w:rFonts w:ascii="Arial" w:hAnsi="Arial" w:cs="Arial"/>
          <w:lang w:val="en-US"/>
        </w:rPr>
        <w:t xml:space="preserve"> introductions </w:t>
      </w:r>
      <w:r w:rsidR="00410919">
        <w:rPr>
          <w:rFonts w:ascii="Arial" w:hAnsi="Arial" w:cs="Arial"/>
          <w:lang w:val="en-US"/>
        </w:rPr>
        <w:t>had a</w:t>
      </w:r>
      <w:r>
        <w:rPr>
          <w:rFonts w:ascii="Arial" w:hAnsi="Arial" w:cs="Arial"/>
          <w:lang w:val="en-US"/>
        </w:rPr>
        <w:t xml:space="preserve"> strong advocacy and communications</w:t>
      </w:r>
      <w:r w:rsidR="00410919">
        <w:rPr>
          <w:rFonts w:ascii="Arial" w:hAnsi="Arial" w:cs="Arial"/>
          <w:lang w:val="en-US"/>
        </w:rPr>
        <w:t xml:space="preserve"> component</w:t>
      </w:r>
      <w:r>
        <w:rPr>
          <w:rFonts w:ascii="Arial" w:hAnsi="Arial" w:cs="Arial"/>
          <w:lang w:val="en-US"/>
        </w:rPr>
        <w:t xml:space="preserve">, including the participation of influential leaders in launch ceremonies and in </w:t>
      </w:r>
      <w:r w:rsidR="00410919">
        <w:rPr>
          <w:rFonts w:ascii="Arial" w:hAnsi="Arial" w:cs="Arial"/>
          <w:lang w:val="en-US"/>
        </w:rPr>
        <w:t>raising public awareness of the new vaccine, as well as extensive media coverage. No stockouts of the new vaccines were reported in either PIE</w:t>
      </w:r>
      <w:r w:rsidR="003707DB">
        <w:rPr>
          <w:rFonts w:ascii="Arial" w:hAnsi="Arial" w:cs="Arial"/>
          <w:lang w:val="en-US"/>
        </w:rPr>
        <w:t>, nor in the 2014 and 2015 JFRs. There also were not any</w:t>
      </w:r>
      <w:r w:rsidR="00410919">
        <w:rPr>
          <w:rFonts w:ascii="Arial" w:hAnsi="Arial" w:cs="Arial"/>
          <w:lang w:val="en-US"/>
        </w:rPr>
        <w:t xml:space="preserve"> indications of the vaccine introduction disrupting the routine immunization program. </w:t>
      </w:r>
    </w:p>
    <w:p w14:paraId="08E39DBF" w14:textId="18EC41AD" w:rsidR="00410919" w:rsidRDefault="00410919" w:rsidP="00DA2F74">
      <w:pPr>
        <w:rPr>
          <w:rFonts w:ascii="Arial" w:hAnsi="Arial" w:cs="Arial"/>
          <w:lang w:val="en-US"/>
        </w:rPr>
      </w:pPr>
      <w:r>
        <w:rPr>
          <w:rFonts w:ascii="Arial" w:hAnsi="Arial" w:cs="Arial"/>
          <w:lang w:val="en-US"/>
        </w:rPr>
        <w:t>Immunization coverage rates for the new vaccines were low in the year following their launches. The PCV3 coverage rate was only 38% in 2012 and the PCV roll-out took three months to reach all regions. However, coverage has risen steadily each year and is now 85% (WUENIC estimate). Rotavirus coverage also rose from 63% in 2014 to 83% in 2015.</w:t>
      </w:r>
    </w:p>
    <w:p w14:paraId="2FDBA8EC" w14:textId="58770D7D" w:rsidR="00410919" w:rsidRDefault="00410919" w:rsidP="00DA2F74">
      <w:pPr>
        <w:rPr>
          <w:rFonts w:ascii="Arial" w:hAnsi="Arial" w:cs="Arial"/>
          <w:lang w:val="en-US"/>
        </w:rPr>
      </w:pPr>
      <w:r>
        <w:rPr>
          <w:rFonts w:ascii="Arial" w:hAnsi="Arial" w:cs="Arial"/>
          <w:lang w:val="en-US"/>
        </w:rPr>
        <w:t xml:space="preserve">While the introduction of each vaccine stimulated expansion of the cold chain system, cold chain capacity was still found to be insufficient, especially after the introduction of rotavirus vaccine, which resulted in crowded cold rooms and </w:t>
      </w:r>
      <w:r w:rsidR="006019F4">
        <w:rPr>
          <w:rFonts w:ascii="Arial" w:hAnsi="Arial" w:cs="Arial"/>
          <w:lang w:val="en-US"/>
        </w:rPr>
        <w:t xml:space="preserve">over-packed </w:t>
      </w:r>
      <w:r>
        <w:rPr>
          <w:rFonts w:ascii="Arial" w:hAnsi="Arial" w:cs="Arial"/>
          <w:lang w:val="en-US"/>
        </w:rPr>
        <w:t>refrigerators at different levels. Other problems reported with both vaccine introductions include poor temperature monitoring, uneven quality and length of the training at lower levels (which ranged from as little as 30 minutes to one day for HEWs in the case of PCV), inadequate coverage monitoring and reporting in many locations, and poor AEFI surveillance.</w:t>
      </w:r>
      <w:r w:rsidR="004A78E2">
        <w:rPr>
          <w:rFonts w:ascii="Arial" w:hAnsi="Arial" w:cs="Arial"/>
          <w:lang w:val="en-US"/>
        </w:rPr>
        <w:t xml:space="preserve"> </w:t>
      </w:r>
      <w:r w:rsidR="004A78E2" w:rsidRPr="004A78E2">
        <w:rPr>
          <w:rFonts w:ascii="Arial" w:hAnsi="Arial" w:cs="Arial"/>
          <w:lang w:val="en-US"/>
        </w:rPr>
        <w:t>To improve the cold chain and temperature monitoring gaps</w:t>
      </w:r>
      <w:r w:rsidR="004A78E2">
        <w:rPr>
          <w:rFonts w:ascii="Arial" w:hAnsi="Arial" w:cs="Arial"/>
          <w:lang w:val="en-US"/>
        </w:rPr>
        <w:t>,</w:t>
      </w:r>
      <w:r w:rsidR="004A78E2" w:rsidRPr="004A78E2">
        <w:rPr>
          <w:rFonts w:ascii="Arial" w:hAnsi="Arial" w:cs="Arial"/>
          <w:lang w:val="en-US"/>
        </w:rPr>
        <w:t xml:space="preserve"> the </w:t>
      </w:r>
      <w:r w:rsidR="004A78E2">
        <w:rPr>
          <w:rFonts w:ascii="Arial" w:hAnsi="Arial" w:cs="Arial"/>
          <w:lang w:val="en-US"/>
        </w:rPr>
        <w:t xml:space="preserve">Ministry of Health, </w:t>
      </w:r>
      <w:r w:rsidR="004A78E2" w:rsidRPr="004A78E2">
        <w:rPr>
          <w:rFonts w:ascii="Arial" w:hAnsi="Arial" w:cs="Arial"/>
          <w:lang w:val="en-US"/>
        </w:rPr>
        <w:t>in collaboration with GAVI and partners</w:t>
      </w:r>
      <w:r w:rsidR="004A78E2">
        <w:rPr>
          <w:rFonts w:ascii="Arial" w:hAnsi="Arial" w:cs="Arial"/>
          <w:lang w:val="en-US"/>
        </w:rPr>
        <w:t xml:space="preserve">, subsequently </w:t>
      </w:r>
      <w:r w:rsidR="004A78E2" w:rsidRPr="004A78E2">
        <w:rPr>
          <w:rFonts w:ascii="Arial" w:hAnsi="Arial" w:cs="Arial"/>
          <w:lang w:val="en-US"/>
        </w:rPr>
        <w:t>procured cold rooms, ice</w:t>
      </w:r>
      <w:r w:rsidR="004A78E2">
        <w:rPr>
          <w:rFonts w:ascii="Arial" w:hAnsi="Arial" w:cs="Arial"/>
          <w:lang w:val="en-US"/>
        </w:rPr>
        <w:t>-</w:t>
      </w:r>
      <w:r w:rsidR="004A78E2" w:rsidRPr="004A78E2">
        <w:rPr>
          <w:rFonts w:ascii="Arial" w:hAnsi="Arial" w:cs="Arial"/>
          <w:lang w:val="en-US"/>
        </w:rPr>
        <w:t xml:space="preserve">lined refrigerators, and introduced solar direct drive </w:t>
      </w:r>
      <w:r w:rsidR="004A78E2">
        <w:rPr>
          <w:rFonts w:ascii="Arial" w:hAnsi="Arial" w:cs="Arial"/>
          <w:lang w:val="en-US"/>
        </w:rPr>
        <w:t xml:space="preserve">(SDD) refrigerators, as well as a </w:t>
      </w:r>
      <w:r w:rsidR="004A78E2" w:rsidRPr="004A78E2">
        <w:rPr>
          <w:rFonts w:ascii="Arial" w:hAnsi="Arial" w:cs="Arial"/>
          <w:lang w:val="en-US"/>
        </w:rPr>
        <w:t>continuous temperature monitoring system.</w:t>
      </w:r>
    </w:p>
    <w:p w14:paraId="4CD0ACFB" w14:textId="7B1F43DA" w:rsidR="00410919" w:rsidRDefault="00410919" w:rsidP="00DA2F74">
      <w:pPr>
        <w:rPr>
          <w:rFonts w:ascii="Arial" w:hAnsi="Arial" w:cs="Arial"/>
          <w:lang w:val="en-US"/>
        </w:rPr>
      </w:pPr>
      <w:r>
        <w:rPr>
          <w:rFonts w:ascii="Arial" w:hAnsi="Arial" w:cs="Arial"/>
          <w:lang w:val="en-US"/>
        </w:rPr>
        <w:t xml:space="preserve">Ethiopia conducted nation-wide meningitis A campaigns for 1-29 year olds in three phases from 2013 to 2015, starting with the regions at highest risk and ending in late 2015 with those at lowest risk. A post-campaign survey conducted in the Phase II zones in 2014 found a 93.5% coverage rate.  </w:t>
      </w:r>
    </w:p>
    <w:p w14:paraId="797AFA01" w14:textId="0D4F4644" w:rsidR="00873B54" w:rsidRDefault="00873B54" w:rsidP="00DA2F74">
      <w:pPr>
        <w:rPr>
          <w:rFonts w:ascii="Arial" w:hAnsi="Arial" w:cs="Arial"/>
          <w:lang w:val="en-US"/>
        </w:rPr>
      </w:pPr>
      <w:r>
        <w:rPr>
          <w:rFonts w:ascii="Arial" w:hAnsi="Arial" w:cs="Arial"/>
          <w:lang w:val="en-US"/>
        </w:rPr>
        <w:t xml:space="preserve">The national immunization program plans to introduce two more vaccines into the routine program in 2018 -- meningitis A and HPV – and two more in 2019 – measles-rubella and </w:t>
      </w:r>
      <w:r>
        <w:rPr>
          <w:rFonts w:ascii="Arial" w:hAnsi="Arial" w:cs="Arial"/>
          <w:lang w:val="en-US"/>
        </w:rPr>
        <w:lastRenderedPageBreak/>
        <w:t>yellow fever. A pilot HPV introduction in two zones is currently underway, with reportedly high demand for the vaccine, due to media coverage about cervical cancer.</w:t>
      </w:r>
    </w:p>
    <w:p w14:paraId="3A7A7E58" w14:textId="5FF8279C" w:rsidR="00914A96" w:rsidRDefault="00914A96" w:rsidP="00914A96">
      <w:pPr>
        <w:pStyle w:val="ListParagraph"/>
        <w:numPr>
          <w:ilvl w:val="0"/>
          <w:numId w:val="3"/>
        </w:numPr>
        <w:rPr>
          <w:rFonts w:ascii="Arial" w:hAnsi="Arial" w:cs="Arial"/>
          <w:b/>
          <w:sz w:val="24"/>
          <w:lang w:val="en-US"/>
        </w:rPr>
      </w:pPr>
      <w:r w:rsidRPr="006140E6">
        <w:rPr>
          <w:rFonts w:ascii="Arial" w:hAnsi="Arial" w:cs="Arial"/>
          <w:b/>
          <w:sz w:val="24"/>
          <w:lang w:val="en-US"/>
        </w:rPr>
        <w:t>Partner support to address remaining challenges to meet the GVAP goals and targets</w:t>
      </w:r>
    </w:p>
    <w:p w14:paraId="3E8B488E" w14:textId="59EB576F" w:rsidR="00D6260F" w:rsidRDefault="00D6260F" w:rsidP="00D6260F">
      <w:pPr>
        <w:rPr>
          <w:rFonts w:ascii="Arial" w:hAnsi="Arial" w:cs="Arial"/>
          <w:lang w:val="en-US"/>
        </w:rPr>
      </w:pPr>
      <w:r>
        <w:rPr>
          <w:rFonts w:ascii="Arial" w:hAnsi="Arial" w:cs="Arial"/>
          <w:lang w:val="en-US"/>
        </w:rPr>
        <w:t>The Ethiopian government has benefited from every type of GAVI support that the organization offers, including support for new vaccine introductions, immunization system strengthening (ISS), health system strengthening (HSS) and civil society organizations (CSO).</w:t>
      </w:r>
    </w:p>
    <w:p w14:paraId="16AF4FDC" w14:textId="383AFE2A" w:rsidR="00A1405E" w:rsidRDefault="004A78E2" w:rsidP="00D6260F">
      <w:pPr>
        <w:rPr>
          <w:rFonts w:ascii="Arial" w:hAnsi="Arial" w:cs="Arial"/>
          <w:lang w:val="en-US"/>
        </w:rPr>
      </w:pPr>
      <w:r>
        <w:rPr>
          <w:rFonts w:ascii="Arial" w:hAnsi="Arial" w:cs="Arial"/>
          <w:lang w:val="en-US"/>
        </w:rPr>
        <w:t>Technical and financial s</w:t>
      </w:r>
      <w:r w:rsidR="00A1405E">
        <w:rPr>
          <w:rFonts w:ascii="Arial" w:hAnsi="Arial" w:cs="Arial"/>
          <w:lang w:val="en-US"/>
        </w:rPr>
        <w:t xml:space="preserve">upport from GAVI and many other partners has been critical in developing the country’s disease surveillance system for polio, measles and other vaccine-preventable diseases, </w:t>
      </w:r>
      <w:r>
        <w:rPr>
          <w:rFonts w:ascii="Arial" w:hAnsi="Arial" w:cs="Arial"/>
          <w:lang w:val="en-US"/>
        </w:rPr>
        <w:t>and in the implementation of</w:t>
      </w:r>
      <w:r w:rsidR="00A1405E">
        <w:rPr>
          <w:rFonts w:ascii="Arial" w:hAnsi="Arial" w:cs="Arial"/>
          <w:lang w:val="en-US"/>
        </w:rPr>
        <w:t xml:space="preserve"> </w:t>
      </w:r>
      <w:r>
        <w:rPr>
          <w:rFonts w:ascii="Arial" w:hAnsi="Arial" w:cs="Arial"/>
          <w:lang w:val="en-US"/>
        </w:rPr>
        <w:t>numerous</w:t>
      </w:r>
      <w:r w:rsidR="00A1405E">
        <w:rPr>
          <w:rFonts w:ascii="Arial" w:hAnsi="Arial" w:cs="Arial"/>
          <w:lang w:val="en-US"/>
        </w:rPr>
        <w:t xml:space="preserve"> polio and measles SIAs, the national meningitis vaccination campaigns and TT campaigns </w:t>
      </w:r>
      <w:r>
        <w:rPr>
          <w:rFonts w:ascii="Arial" w:hAnsi="Arial" w:cs="Arial"/>
          <w:lang w:val="en-US"/>
        </w:rPr>
        <w:t>in high-risk areas</w:t>
      </w:r>
      <w:r w:rsidR="00A1405E">
        <w:rPr>
          <w:rFonts w:ascii="Arial" w:hAnsi="Arial" w:cs="Arial"/>
          <w:lang w:val="en-US"/>
        </w:rPr>
        <w:t xml:space="preserve">. Partners, including through the HSS grant, also provide critical </w:t>
      </w:r>
      <w:r>
        <w:rPr>
          <w:rFonts w:ascii="Arial" w:hAnsi="Arial" w:cs="Arial"/>
          <w:lang w:val="en-US"/>
        </w:rPr>
        <w:t>aid</w:t>
      </w:r>
      <w:r w:rsidR="00A1405E">
        <w:rPr>
          <w:rFonts w:ascii="Arial" w:hAnsi="Arial" w:cs="Arial"/>
          <w:lang w:val="en-US"/>
        </w:rPr>
        <w:t xml:space="preserve"> to the routine immunization program, by supporting refresher training of HEWs; equipping newly constructed health centers; procuring essential drugs and supplies for health posts; and assisting with microplanning and data quality improvements. GAVI’s CSO grant has supported local organizations to improve immunization services in hard-to-reach and low-coverage areas, especially pastoralist areas.</w:t>
      </w:r>
    </w:p>
    <w:p w14:paraId="479D6D48" w14:textId="0A581719" w:rsidR="00A1405E" w:rsidRDefault="00A1405E" w:rsidP="00D6260F">
      <w:pPr>
        <w:rPr>
          <w:rFonts w:ascii="Arial" w:hAnsi="Arial" w:cs="Arial"/>
          <w:lang w:val="en-US"/>
        </w:rPr>
      </w:pPr>
      <w:r>
        <w:rPr>
          <w:rFonts w:ascii="Arial" w:hAnsi="Arial" w:cs="Arial"/>
          <w:lang w:val="en-US"/>
        </w:rPr>
        <w:t>Two partner-supported activities to highlight that are aimed at resolving key bottlenecks and challenges to the country further strengthening and expanding its immunization program are the following:</w:t>
      </w:r>
    </w:p>
    <w:p w14:paraId="2CE44F67" w14:textId="77777777" w:rsidR="008D3BDF" w:rsidRPr="008D3BDF" w:rsidRDefault="00A1405E" w:rsidP="008D3BDF">
      <w:pPr>
        <w:rPr>
          <w:rFonts w:ascii="Arial" w:hAnsi="Arial" w:cs="Arial"/>
          <w:b/>
          <w:lang w:val="en-US"/>
        </w:rPr>
      </w:pPr>
      <w:r w:rsidRPr="008D3BDF">
        <w:rPr>
          <w:rFonts w:ascii="Arial" w:hAnsi="Arial" w:cs="Arial"/>
          <w:b/>
          <w:lang w:val="en-US"/>
        </w:rPr>
        <w:t>The Cold Chain Rehabilitation and Expansion Plan (2014-18)</w:t>
      </w:r>
    </w:p>
    <w:p w14:paraId="7D7630EE" w14:textId="5D68D394" w:rsidR="00A1405E" w:rsidRPr="008D3BDF" w:rsidRDefault="008D3BDF" w:rsidP="008D3BDF">
      <w:pPr>
        <w:rPr>
          <w:rFonts w:ascii="Arial" w:hAnsi="Arial" w:cs="Arial"/>
          <w:lang w:val="en-US"/>
        </w:rPr>
      </w:pPr>
      <w:r>
        <w:rPr>
          <w:rFonts w:ascii="Arial" w:hAnsi="Arial" w:cs="Arial"/>
          <w:lang w:val="en-US"/>
        </w:rPr>
        <w:t>This plan</w:t>
      </w:r>
      <w:r w:rsidR="00A1405E" w:rsidRPr="008D3BDF">
        <w:rPr>
          <w:rFonts w:ascii="Arial" w:hAnsi="Arial" w:cs="Arial"/>
          <w:lang w:val="en-US"/>
        </w:rPr>
        <w:t>, supported by the GAVI HSS grant and many partners, will enable the country to introduce HPV, MR and other new vaccines without compromising the cold chain</w:t>
      </w:r>
      <w:r w:rsidR="004A78E2" w:rsidRPr="008D3BDF">
        <w:rPr>
          <w:rFonts w:ascii="Arial" w:hAnsi="Arial" w:cs="Arial"/>
          <w:lang w:val="en-US"/>
        </w:rPr>
        <w:t xml:space="preserve"> system. </w:t>
      </w:r>
      <w:r>
        <w:rPr>
          <w:rFonts w:ascii="Arial" w:hAnsi="Arial" w:cs="Arial"/>
          <w:lang w:val="en-US"/>
        </w:rPr>
        <w:t>It</w:t>
      </w:r>
      <w:r w:rsidR="00A1405E" w:rsidRPr="008D3BDF">
        <w:rPr>
          <w:rFonts w:ascii="Arial" w:hAnsi="Arial" w:cs="Arial"/>
          <w:lang w:val="en-US"/>
        </w:rPr>
        <w:t xml:space="preserve"> should </w:t>
      </w:r>
      <w:r w:rsidR="004A78E2" w:rsidRPr="008D3BDF">
        <w:rPr>
          <w:rFonts w:ascii="Arial" w:hAnsi="Arial" w:cs="Arial"/>
          <w:lang w:val="en-US"/>
        </w:rPr>
        <w:t xml:space="preserve">also </w:t>
      </w:r>
      <w:r w:rsidR="00A1405E" w:rsidRPr="008D3BDF">
        <w:rPr>
          <w:rFonts w:ascii="Arial" w:hAnsi="Arial" w:cs="Arial"/>
          <w:lang w:val="en-US"/>
        </w:rPr>
        <w:t>help increase the availability of daily EPI services at health facilities</w:t>
      </w:r>
      <w:r w:rsidR="0044441D" w:rsidRPr="008D3BDF">
        <w:rPr>
          <w:rFonts w:ascii="Arial" w:hAnsi="Arial" w:cs="Arial"/>
          <w:lang w:val="en-US"/>
        </w:rPr>
        <w:t>, including health posts</w:t>
      </w:r>
      <w:r w:rsidRPr="008D3BDF">
        <w:rPr>
          <w:rFonts w:ascii="Arial" w:hAnsi="Arial" w:cs="Arial"/>
          <w:lang w:val="en-US"/>
        </w:rPr>
        <w:t>,</w:t>
      </w:r>
      <w:r w:rsidR="0044441D" w:rsidRPr="008D3BDF">
        <w:rPr>
          <w:rFonts w:ascii="Arial" w:hAnsi="Arial" w:cs="Arial"/>
          <w:lang w:val="en-US"/>
        </w:rPr>
        <w:t xml:space="preserve"> by equipping </w:t>
      </w:r>
      <w:r w:rsidRPr="008D3BDF">
        <w:rPr>
          <w:rFonts w:ascii="Arial" w:hAnsi="Arial" w:cs="Arial"/>
          <w:lang w:val="en-US"/>
        </w:rPr>
        <w:t xml:space="preserve">them with cold chain equipment </w:t>
      </w:r>
      <w:r w:rsidR="0044441D" w:rsidRPr="008D3BDF">
        <w:rPr>
          <w:rFonts w:ascii="Arial" w:hAnsi="Arial" w:cs="Arial"/>
          <w:lang w:val="en-US"/>
        </w:rPr>
        <w:t xml:space="preserve">and </w:t>
      </w:r>
      <w:r w:rsidRPr="008D3BDF">
        <w:rPr>
          <w:rFonts w:ascii="Arial" w:hAnsi="Arial" w:cs="Arial"/>
          <w:lang w:val="en-US"/>
        </w:rPr>
        <w:t xml:space="preserve">by </w:t>
      </w:r>
      <w:r w:rsidR="0044441D" w:rsidRPr="008D3BDF">
        <w:rPr>
          <w:rFonts w:ascii="Arial" w:hAnsi="Arial" w:cs="Arial"/>
          <w:lang w:val="en-US"/>
        </w:rPr>
        <w:t>improving the local distribution of vaccines.</w:t>
      </w:r>
      <w:r w:rsidR="00A1405E" w:rsidRPr="008D3BDF">
        <w:rPr>
          <w:rFonts w:ascii="Arial" w:hAnsi="Arial" w:cs="Arial"/>
          <w:lang w:val="en-US"/>
        </w:rPr>
        <w:t xml:space="preserve"> </w:t>
      </w:r>
      <w:r w:rsidR="0044441D" w:rsidRPr="008D3BDF">
        <w:rPr>
          <w:rFonts w:ascii="Arial" w:hAnsi="Arial" w:cs="Arial"/>
          <w:lang w:val="en-US"/>
        </w:rPr>
        <w:t xml:space="preserve">The plan involves the transition of the vaccine supply chain system from the FMOH to the PFSA and includes constructing cold rooms at the airport in Addis Ababa; procuring </w:t>
      </w:r>
      <w:r w:rsidR="00A441A1" w:rsidRPr="008D3BDF">
        <w:rPr>
          <w:rFonts w:ascii="Arial" w:hAnsi="Arial" w:cs="Arial"/>
          <w:lang w:val="en-US"/>
        </w:rPr>
        <w:t xml:space="preserve">20 </w:t>
      </w:r>
      <w:r w:rsidR="0044441D" w:rsidRPr="008D3BDF">
        <w:rPr>
          <w:rFonts w:ascii="Arial" w:hAnsi="Arial" w:cs="Arial"/>
          <w:lang w:val="en-US"/>
        </w:rPr>
        <w:t>refrigerator trucks</w:t>
      </w:r>
      <w:r w:rsidRPr="008D3BDF">
        <w:rPr>
          <w:rFonts w:ascii="Arial" w:hAnsi="Arial" w:cs="Arial"/>
          <w:lang w:val="en-US"/>
        </w:rPr>
        <w:t xml:space="preserve"> and thousands of vaccine carriers and cold boxes</w:t>
      </w:r>
      <w:r w:rsidR="0044441D" w:rsidRPr="008D3BDF">
        <w:rPr>
          <w:rFonts w:ascii="Arial" w:hAnsi="Arial" w:cs="Arial"/>
          <w:lang w:val="en-US"/>
        </w:rPr>
        <w:t xml:space="preserve">; establishing </w:t>
      </w:r>
      <w:r w:rsidR="00A441A1" w:rsidRPr="008D3BDF">
        <w:rPr>
          <w:rFonts w:ascii="Arial" w:hAnsi="Arial" w:cs="Arial"/>
          <w:lang w:val="en-US"/>
        </w:rPr>
        <w:t xml:space="preserve">a network for 17 </w:t>
      </w:r>
      <w:r w:rsidR="0044441D" w:rsidRPr="008D3BDF">
        <w:rPr>
          <w:rFonts w:ascii="Arial" w:hAnsi="Arial" w:cs="Arial"/>
          <w:lang w:val="en-US"/>
        </w:rPr>
        <w:t>regiona</w:t>
      </w:r>
      <w:r w:rsidR="00A441A1" w:rsidRPr="008D3BDF">
        <w:rPr>
          <w:rFonts w:ascii="Arial" w:hAnsi="Arial" w:cs="Arial"/>
          <w:lang w:val="en-US"/>
        </w:rPr>
        <w:t>l storage and distribution hubs</w:t>
      </w:r>
      <w:r w:rsidR="0044441D" w:rsidRPr="008D3BDF">
        <w:rPr>
          <w:rFonts w:ascii="Arial" w:hAnsi="Arial" w:cs="Arial"/>
          <w:lang w:val="en-US"/>
        </w:rPr>
        <w:t>;</w:t>
      </w:r>
      <w:r w:rsidR="00D126F0" w:rsidRPr="008D3BDF">
        <w:rPr>
          <w:rFonts w:ascii="Arial" w:hAnsi="Arial" w:cs="Arial"/>
          <w:lang w:val="en-US"/>
        </w:rPr>
        <w:t xml:space="preserve"> </w:t>
      </w:r>
      <w:r w:rsidR="006C160F" w:rsidRPr="008D3BDF">
        <w:rPr>
          <w:rFonts w:ascii="Arial" w:hAnsi="Arial" w:cs="Arial"/>
          <w:lang w:val="en-US"/>
        </w:rPr>
        <w:t xml:space="preserve">establishing a continuous temperature monitoring system at all vaccine storage sites; </w:t>
      </w:r>
      <w:r w:rsidR="00D126F0" w:rsidRPr="008D3BDF">
        <w:rPr>
          <w:rFonts w:ascii="Arial" w:hAnsi="Arial" w:cs="Arial"/>
          <w:lang w:val="en-US"/>
        </w:rPr>
        <w:t xml:space="preserve">and providing </w:t>
      </w:r>
      <w:r w:rsidR="0044441D" w:rsidRPr="008D3BDF">
        <w:rPr>
          <w:rFonts w:ascii="Arial" w:hAnsi="Arial" w:cs="Arial"/>
          <w:lang w:val="en-US"/>
        </w:rPr>
        <w:t>refrigerators</w:t>
      </w:r>
      <w:r w:rsidR="00D126F0" w:rsidRPr="008D3BDF">
        <w:rPr>
          <w:rFonts w:ascii="Arial" w:hAnsi="Arial" w:cs="Arial"/>
          <w:lang w:val="en-US"/>
        </w:rPr>
        <w:t xml:space="preserve"> and other cold chain equipment to all health facilities, including health posts, with a focus on solar-powered equipment. </w:t>
      </w:r>
      <w:r w:rsidR="006C160F" w:rsidRPr="008D3BDF">
        <w:rPr>
          <w:rFonts w:ascii="Arial" w:hAnsi="Arial" w:cs="Arial"/>
          <w:lang w:val="en-US"/>
        </w:rPr>
        <w:t>Four</w:t>
      </w:r>
      <w:r w:rsidR="00D126F0" w:rsidRPr="008D3BDF">
        <w:rPr>
          <w:rFonts w:ascii="Arial" w:hAnsi="Arial" w:cs="Arial"/>
          <w:lang w:val="en-US"/>
        </w:rPr>
        <w:t xml:space="preserve"> regional hubs have already been established, manned by several newly-created and trained Technical Assistants responsible for cold chain maintenance and vaccine management. </w:t>
      </w:r>
      <w:r w:rsidR="00A441A1" w:rsidRPr="008D3BDF">
        <w:rPr>
          <w:rFonts w:ascii="Arial" w:hAnsi="Arial" w:cs="Arial"/>
          <w:lang w:val="en-US"/>
        </w:rPr>
        <w:t xml:space="preserve">While the </w:t>
      </w:r>
      <w:r w:rsidR="006C160F" w:rsidRPr="008D3BDF">
        <w:rPr>
          <w:rFonts w:ascii="Arial" w:hAnsi="Arial" w:cs="Arial"/>
          <w:lang w:val="en-US"/>
        </w:rPr>
        <w:t xml:space="preserve">regional </w:t>
      </w:r>
      <w:r w:rsidR="00A441A1" w:rsidRPr="008D3BDF">
        <w:rPr>
          <w:rFonts w:ascii="Arial" w:hAnsi="Arial" w:cs="Arial"/>
          <w:lang w:val="en-US"/>
        </w:rPr>
        <w:t xml:space="preserve">hubs are currently delivering vaccines and supplies to the zonal and district-level stores, </w:t>
      </w:r>
      <w:r w:rsidR="006C160F" w:rsidRPr="008D3BDF">
        <w:rPr>
          <w:rFonts w:ascii="Arial" w:hAnsi="Arial" w:cs="Arial"/>
          <w:lang w:val="en-US"/>
        </w:rPr>
        <w:t>during the last phase of th</w:t>
      </w:r>
      <w:r w:rsidR="00A441A1" w:rsidRPr="008D3BDF">
        <w:rPr>
          <w:rFonts w:ascii="Arial" w:hAnsi="Arial" w:cs="Arial"/>
          <w:lang w:val="en-US"/>
        </w:rPr>
        <w:t xml:space="preserve">e </w:t>
      </w:r>
      <w:r w:rsidR="006C160F" w:rsidRPr="008D3BDF">
        <w:rPr>
          <w:rFonts w:ascii="Arial" w:hAnsi="Arial" w:cs="Arial"/>
          <w:lang w:val="en-US"/>
        </w:rPr>
        <w:t>transition plan, these hubs will make monthly deliveries</w:t>
      </w:r>
      <w:r w:rsidR="00A441A1" w:rsidRPr="008D3BDF">
        <w:rPr>
          <w:rFonts w:ascii="Arial" w:hAnsi="Arial" w:cs="Arial"/>
          <w:lang w:val="en-US"/>
        </w:rPr>
        <w:t xml:space="preserve"> directly to health facilities</w:t>
      </w:r>
      <w:r w:rsidR="006C160F" w:rsidRPr="008D3BDF">
        <w:rPr>
          <w:rFonts w:ascii="Arial" w:hAnsi="Arial" w:cs="Arial"/>
          <w:lang w:val="en-US"/>
        </w:rPr>
        <w:t>,</w:t>
      </w:r>
      <w:r w:rsidR="00A441A1" w:rsidRPr="008D3BDF">
        <w:rPr>
          <w:rFonts w:ascii="Arial" w:hAnsi="Arial" w:cs="Arial"/>
          <w:lang w:val="en-US"/>
        </w:rPr>
        <w:t xml:space="preserve"> </w:t>
      </w:r>
      <w:r w:rsidRPr="008D3BDF">
        <w:rPr>
          <w:rFonts w:ascii="Arial" w:hAnsi="Arial" w:cs="Arial"/>
          <w:lang w:val="en-US"/>
        </w:rPr>
        <w:t>eliminating</w:t>
      </w:r>
      <w:r w:rsidR="00A441A1" w:rsidRPr="008D3BDF">
        <w:rPr>
          <w:rFonts w:ascii="Arial" w:hAnsi="Arial" w:cs="Arial"/>
          <w:lang w:val="en-US"/>
        </w:rPr>
        <w:t xml:space="preserve"> the </w:t>
      </w:r>
      <w:r w:rsidR="006C160F" w:rsidRPr="008D3BDF">
        <w:rPr>
          <w:rFonts w:ascii="Arial" w:hAnsi="Arial" w:cs="Arial"/>
          <w:lang w:val="en-US"/>
        </w:rPr>
        <w:t>need for the zonal and regional stores</w:t>
      </w:r>
      <w:r w:rsidRPr="008D3BDF">
        <w:rPr>
          <w:rFonts w:ascii="Arial" w:hAnsi="Arial" w:cs="Arial"/>
          <w:lang w:val="en-US"/>
        </w:rPr>
        <w:t xml:space="preserve"> or for health facilities to pick up vaccines</w:t>
      </w:r>
      <w:r w:rsidR="006C160F" w:rsidRPr="008D3BDF">
        <w:rPr>
          <w:rFonts w:ascii="Arial" w:hAnsi="Arial" w:cs="Arial"/>
          <w:lang w:val="en-US"/>
        </w:rPr>
        <w:t>. The delivery of vaccines to health facilities</w:t>
      </w:r>
      <w:r w:rsidRPr="008D3BDF">
        <w:rPr>
          <w:rFonts w:ascii="Arial" w:hAnsi="Arial" w:cs="Arial"/>
          <w:lang w:val="en-US"/>
        </w:rPr>
        <w:t xml:space="preserve">, coupled with the acquisition of refrigerators in all facilities, will enable health centers and posts to </w:t>
      </w:r>
      <w:r>
        <w:rPr>
          <w:rFonts w:ascii="Arial" w:hAnsi="Arial" w:cs="Arial"/>
          <w:lang w:val="en-US"/>
        </w:rPr>
        <w:t xml:space="preserve">comply with </w:t>
      </w:r>
      <w:r w:rsidRPr="008D3BDF">
        <w:rPr>
          <w:rFonts w:ascii="Arial" w:hAnsi="Arial" w:cs="Arial"/>
          <w:lang w:val="en-US"/>
        </w:rPr>
        <w:t xml:space="preserve">the government policy of providing immunization </w:t>
      </w:r>
      <w:r>
        <w:rPr>
          <w:rFonts w:ascii="Arial" w:hAnsi="Arial" w:cs="Arial"/>
          <w:lang w:val="en-US"/>
        </w:rPr>
        <w:t xml:space="preserve">services on a daily basis, and should therefore have an important impact on </w:t>
      </w:r>
      <w:r w:rsidR="006C160F" w:rsidRPr="008D3BDF">
        <w:rPr>
          <w:rFonts w:ascii="Arial" w:hAnsi="Arial" w:cs="Arial"/>
          <w:lang w:val="en-US"/>
        </w:rPr>
        <w:t>immunization coverage</w:t>
      </w:r>
      <w:r w:rsidR="00D126F0" w:rsidRPr="008D3BDF">
        <w:rPr>
          <w:rFonts w:ascii="Arial" w:hAnsi="Arial" w:cs="Arial"/>
          <w:lang w:val="en-US"/>
        </w:rPr>
        <w:t>.</w:t>
      </w:r>
    </w:p>
    <w:p w14:paraId="36BED40D" w14:textId="39F55B72" w:rsidR="008D3BDF" w:rsidRPr="00B637A0" w:rsidRDefault="00D126F0" w:rsidP="008D3BDF">
      <w:pPr>
        <w:rPr>
          <w:rFonts w:ascii="Arial" w:hAnsi="Arial" w:cs="Arial"/>
          <w:b/>
          <w:lang w:val="en-US"/>
        </w:rPr>
      </w:pPr>
      <w:r w:rsidRPr="00B637A0">
        <w:rPr>
          <w:rFonts w:ascii="Arial" w:hAnsi="Arial" w:cs="Arial"/>
          <w:b/>
          <w:lang w:val="en-US"/>
        </w:rPr>
        <w:t xml:space="preserve">The Routine Immunization Improvement Plan (RIIP) </w:t>
      </w:r>
    </w:p>
    <w:p w14:paraId="2650F0BD" w14:textId="2D1F9823" w:rsidR="00D126F0" w:rsidRDefault="00D126F0" w:rsidP="008D3BDF">
      <w:pPr>
        <w:rPr>
          <w:rFonts w:ascii="Arial" w:hAnsi="Arial" w:cs="Arial"/>
          <w:color w:val="000000" w:themeColor="text1"/>
          <w:lang w:val="en-US"/>
        </w:rPr>
      </w:pPr>
      <w:r w:rsidRPr="00B637A0">
        <w:rPr>
          <w:rFonts w:ascii="Arial" w:hAnsi="Arial" w:cs="Arial"/>
          <w:color w:val="000000" w:themeColor="text1"/>
          <w:lang w:val="en-US"/>
        </w:rPr>
        <w:lastRenderedPageBreak/>
        <w:t>This plan, started in 2014 to increase immunization coverage in the country’s 51 poorest-performing zones, is heavily supported by multiple partners, including UNICEF, WHO, CDC and USAID</w:t>
      </w:r>
      <w:r w:rsidR="00B637A0" w:rsidRPr="00B637A0">
        <w:rPr>
          <w:rFonts w:ascii="Arial" w:hAnsi="Arial" w:cs="Arial"/>
          <w:color w:val="000000" w:themeColor="text1"/>
          <w:lang w:val="en-US"/>
        </w:rPr>
        <w:t>’s Last 10 Kilometers (L10K) project</w:t>
      </w:r>
      <w:r w:rsidRPr="00B637A0">
        <w:rPr>
          <w:rFonts w:ascii="Arial" w:hAnsi="Arial" w:cs="Arial"/>
          <w:color w:val="000000" w:themeColor="text1"/>
          <w:lang w:val="en-US"/>
        </w:rPr>
        <w:t xml:space="preserve">. A key component of the plan involves the recruitment, training and placement of 51 EPI Technical Assistants (one per zone) </w:t>
      </w:r>
      <w:r w:rsidR="00B637A0">
        <w:rPr>
          <w:rFonts w:ascii="Arial" w:hAnsi="Arial" w:cs="Arial"/>
          <w:color w:val="000000" w:themeColor="text1"/>
          <w:lang w:val="en-US"/>
        </w:rPr>
        <w:t xml:space="preserve">whose salaries and other costs are </w:t>
      </w:r>
      <w:r w:rsidR="008D2A44" w:rsidRPr="00B637A0">
        <w:rPr>
          <w:rFonts w:ascii="Arial" w:hAnsi="Arial" w:cs="Arial"/>
          <w:color w:val="000000" w:themeColor="text1"/>
          <w:lang w:val="en-US"/>
        </w:rPr>
        <w:t>support</w:t>
      </w:r>
      <w:r w:rsidR="00B637A0" w:rsidRPr="00B637A0">
        <w:rPr>
          <w:rFonts w:ascii="Arial" w:hAnsi="Arial" w:cs="Arial"/>
          <w:color w:val="000000" w:themeColor="text1"/>
          <w:lang w:val="en-US"/>
        </w:rPr>
        <w:t xml:space="preserve">ed by </w:t>
      </w:r>
      <w:r w:rsidRPr="00B637A0">
        <w:rPr>
          <w:rFonts w:ascii="Arial" w:hAnsi="Arial" w:cs="Arial"/>
          <w:color w:val="000000" w:themeColor="text1"/>
          <w:lang w:val="en-US"/>
        </w:rPr>
        <w:t>the various partners</w:t>
      </w:r>
      <w:r w:rsidR="00B637A0">
        <w:rPr>
          <w:rFonts w:ascii="Arial" w:hAnsi="Arial" w:cs="Arial"/>
          <w:color w:val="000000" w:themeColor="text1"/>
          <w:lang w:val="en-US"/>
        </w:rPr>
        <w:t>. These EPI Technical Assistants</w:t>
      </w:r>
      <w:r w:rsidRPr="00B637A0">
        <w:rPr>
          <w:rFonts w:ascii="Arial" w:hAnsi="Arial" w:cs="Arial"/>
          <w:color w:val="000000" w:themeColor="text1"/>
          <w:lang w:val="en-US"/>
        </w:rPr>
        <w:t xml:space="preserve"> help zones and districts with immunization-related trainings, microplanning, social mobilization, and monitoring and reporting. Coverage data collected by the project shows a marked improvement in the overall </w:t>
      </w:r>
      <w:r w:rsidR="008D2A44" w:rsidRPr="00B637A0">
        <w:rPr>
          <w:rFonts w:ascii="Arial" w:hAnsi="Arial" w:cs="Arial"/>
          <w:color w:val="000000" w:themeColor="text1"/>
          <w:lang w:val="en-US"/>
        </w:rPr>
        <w:t xml:space="preserve">coverage of three pentavalent doses in the 51 zones </w:t>
      </w:r>
      <w:r w:rsidR="00E1542F" w:rsidRPr="00B637A0">
        <w:rPr>
          <w:rFonts w:ascii="Arial" w:hAnsi="Arial" w:cs="Arial"/>
          <w:color w:val="000000" w:themeColor="text1"/>
          <w:lang w:val="en-US"/>
        </w:rPr>
        <w:t>and</w:t>
      </w:r>
      <w:r w:rsidR="00B637A0" w:rsidRPr="00B637A0">
        <w:rPr>
          <w:rFonts w:ascii="Arial" w:hAnsi="Arial" w:cs="Arial"/>
          <w:color w:val="000000" w:themeColor="text1"/>
          <w:lang w:val="en-US"/>
        </w:rPr>
        <w:t xml:space="preserve"> in </w:t>
      </w:r>
      <w:r w:rsidR="008D2A44" w:rsidRPr="00B637A0">
        <w:rPr>
          <w:rFonts w:ascii="Arial" w:hAnsi="Arial" w:cs="Arial"/>
          <w:color w:val="000000" w:themeColor="text1"/>
          <w:lang w:val="en-US"/>
        </w:rPr>
        <w:t>the percent of zones achieving coverage of ≥80% (from 17% in 2013 to 41% in 2015)</w:t>
      </w:r>
      <w:r w:rsidR="00E1542F" w:rsidRPr="00B637A0">
        <w:rPr>
          <w:rFonts w:ascii="Arial" w:hAnsi="Arial" w:cs="Arial"/>
          <w:color w:val="000000" w:themeColor="text1"/>
          <w:lang w:val="en-US"/>
        </w:rPr>
        <w:t xml:space="preserve"> (Figure 2)</w:t>
      </w:r>
      <w:r w:rsidR="008D2A44" w:rsidRPr="00B637A0">
        <w:rPr>
          <w:rFonts w:ascii="Arial" w:hAnsi="Arial" w:cs="Arial"/>
          <w:color w:val="000000" w:themeColor="text1"/>
          <w:lang w:val="en-US"/>
        </w:rPr>
        <w:t xml:space="preserve">. However, partner funding for the RIIP is only assured for 2.5 years, after which </w:t>
      </w:r>
      <w:r w:rsidR="00B637A0">
        <w:rPr>
          <w:rFonts w:ascii="Arial" w:hAnsi="Arial" w:cs="Arial"/>
          <w:color w:val="000000" w:themeColor="text1"/>
          <w:lang w:val="en-US"/>
        </w:rPr>
        <w:t xml:space="preserve">time </w:t>
      </w:r>
      <w:r w:rsidR="008D2A44" w:rsidRPr="00B637A0">
        <w:rPr>
          <w:rFonts w:ascii="Arial" w:hAnsi="Arial" w:cs="Arial"/>
          <w:color w:val="000000" w:themeColor="text1"/>
          <w:lang w:val="en-US"/>
        </w:rPr>
        <w:t>the Government will need to assume the costs of the Technical Assistants and associated operational costs or mobilize new resources.</w:t>
      </w:r>
    </w:p>
    <w:p w14:paraId="2035EF15" w14:textId="44913812" w:rsidR="00E1542F" w:rsidRPr="001A55DB" w:rsidRDefault="001A55DB" w:rsidP="001A55DB">
      <w:pPr>
        <w:pStyle w:val="Caption"/>
        <w:rPr>
          <w:rFonts w:ascii="Arial" w:hAnsi="Arial" w:cs="Arial"/>
          <w:b w:val="0"/>
          <w:color w:val="auto"/>
          <w:sz w:val="22"/>
          <w:lang w:val="en-US"/>
        </w:rPr>
      </w:pPr>
      <w:r w:rsidRPr="001A55DB">
        <w:rPr>
          <w:rFonts w:ascii="Arial" w:hAnsi="Arial" w:cs="Arial"/>
          <w:color w:val="auto"/>
          <w:sz w:val="22"/>
        </w:rPr>
        <w:t xml:space="preserve">Figure </w:t>
      </w:r>
      <w:r w:rsidRPr="001A55DB">
        <w:rPr>
          <w:rFonts w:ascii="Arial" w:hAnsi="Arial" w:cs="Arial"/>
          <w:color w:val="auto"/>
          <w:sz w:val="22"/>
        </w:rPr>
        <w:fldChar w:fldCharType="begin"/>
      </w:r>
      <w:r w:rsidRPr="001A55DB">
        <w:rPr>
          <w:rFonts w:ascii="Arial" w:hAnsi="Arial" w:cs="Arial"/>
          <w:color w:val="auto"/>
          <w:sz w:val="22"/>
        </w:rPr>
        <w:instrText xml:space="preserve"> SEQ Figure \* ARABIC </w:instrText>
      </w:r>
      <w:r w:rsidRPr="001A55DB">
        <w:rPr>
          <w:rFonts w:ascii="Arial" w:hAnsi="Arial" w:cs="Arial"/>
          <w:color w:val="auto"/>
          <w:sz w:val="22"/>
        </w:rPr>
        <w:fldChar w:fldCharType="separate"/>
      </w:r>
      <w:r w:rsidR="00651A7C">
        <w:rPr>
          <w:rFonts w:ascii="Arial" w:hAnsi="Arial" w:cs="Arial"/>
          <w:noProof/>
          <w:color w:val="auto"/>
          <w:sz w:val="22"/>
        </w:rPr>
        <w:t>2</w:t>
      </w:r>
      <w:r w:rsidRPr="001A55DB">
        <w:rPr>
          <w:rFonts w:ascii="Arial" w:hAnsi="Arial" w:cs="Arial"/>
          <w:color w:val="auto"/>
          <w:sz w:val="22"/>
        </w:rPr>
        <w:fldChar w:fldCharType="end"/>
      </w:r>
      <w:r w:rsidRPr="001A55DB">
        <w:rPr>
          <w:rFonts w:ascii="Arial" w:hAnsi="Arial" w:cs="Arial"/>
          <w:color w:val="auto"/>
          <w:sz w:val="22"/>
        </w:rPr>
        <w:t xml:space="preserve">: </w:t>
      </w:r>
      <w:r w:rsidR="00B637A0" w:rsidRPr="001A55DB">
        <w:rPr>
          <w:rFonts w:ascii="Arial" w:hAnsi="Arial" w:cs="Arial"/>
          <w:color w:val="auto"/>
          <w:sz w:val="22"/>
          <w:lang w:val="en-US"/>
        </w:rPr>
        <w:t>Coverage data for three doses of p</w:t>
      </w:r>
      <w:r w:rsidR="00E1542F" w:rsidRPr="001A55DB">
        <w:rPr>
          <w:rFonts w:ascii="Arial" w:hAnsi="Arial" w:cs="Arial"/>
          <w:color w:val="auto"/>
          <w:sz w:val="22"/>
          <w:lang w:val="en-US"/>
        </w:rPr>
        <w:t xml:space="preserve">entavalent vaccine in the </w:t>
      </w:r>
      <w:r w:rsidR="00B637A0" w:rsidRPr="001A55DB">
        <w:rPr>
          <w:rFonts w:ascii="Arial" w:hAnsi="Arial" w:cs="Arial"/>
          <w:color w:val="auto"/>
          <w:sz w:val="22"/>
          <w:lang w:val="en-US"/>
        </w:rPr>
        <w:t>51</w:t>
      </w:r>
      <w:r w:rsidR="00BD74C8" w:rsidRPr="001A55DB">
        <w:rPr>
          <w:rFonts w:ascii="Arial" w:hAnsi="Arial" w:cs="Arial"/>
          <w:color w:val="auto"/>
          <w:sz w:val="22"/>
          <w:lang w:val="en-US"/>
        </w:rPr>
        <w:t xml:space="preserve"> </w:t>
      </w:r>
      <w:r w:rsidR="00E1542F" w:rsidRPr="001A55DB">
        <w:rPr>
          <w:rFonts w:ascii="Arial" w:hAnsi="Arial" w:cs="Arial"/>
          <w:color w:val="auto"/>
          <w:sz w:val="22"/>
          <w:lang w:val="en-US"/>
        </w:rPr>
        <w:t xml:space="preserve">target zones of the </w:t>
      </w:r>
      <w:r w:rsidR="005C1966" w:rsidRPr="001A55DB">
        <w:rPr>
          <w:rFonts w:ascii="Arial" w:hAnsi="Arial" w:cs="Arial"/>
          <w:color w:val="auto"/>
          <w:sz w:val="22"/>
          <w:lang w:val="en-US"/>
        </w:rPr>
        <w:t xml:space="preserve">partner-supported </w:t>
      </w:r>
      <w:r w:rsidR="00E1542F" w:rsidRPr="001A55DB">
        <w:rPr>
          <w:rFonts w:ascii="Arial" w:hAnsi="Arial" w:cs="Arial"/>
          <w:color w:val="auto"/>
          <w:sz w:val="22"/>
          <w:lang w:val="en-US"/>
        </w:rPr>
        <w:t>Routine Immunization Improvement Plan</w:t>
      </w:r>
      <w:r w:rsidR="00BD74C8" w:rsidRPr="001A55DB">
        <w:rPr>
          <w:rFonts w:ascii="Arial" w:hAnsi="Arial" w:cs="Arial"/>
          <w:color w:val="auto"/>
          <w:sz w:val="22"/>
          <w:lang w:val="en-US"/>
        </w:rPr>
        <w:t xml:space="preserve"> (project data)</w:t>
      </w:r>
    </w:p>
    <w:p w14:paraId="777CB107" w14:textId="10F3DFD5" w:rsidR="00E1542F" w:rsidRDefault="00E1542F" w:rsidP="00E1542F">
      <w:pPr>
        <w:ind w:left="360"/>
        <w:jc w:val="center"/>
        <w:rPr>
          <w:rFonts w:ascii="Arial" w:hAnsi="Arial" w:cs="Arial"/>
          <w:lang w:val="en-US"/>
        </w:rPr>
      </w:pPr>
      <w:r w:rsidRPr="00E1542F">
        <w:rPr>
          <w:rFonts w:ascii="Arial" w:hAnsi="Arial" w:cs="Arial"/>
          <w:noProof/>
          <w:lang w:eastAsia="zh-CN"/>
        </w:rPr>
        <w:drawing>
          <wp:inline distT="0" distB="0" distL="0" distR="0" wp14:anchorId="76DE9DA8" wp14:editId="6A2726EF">
            <wp:extent cx="5283199" cy="3962400"/>
            <wp:effectExtent l="19050" t="19050" r="133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4268" cy="3978201"/>
                    </a:xfrm>
                    <a:prstGeom prst="rect">
                      <a:avLst/>
                    </a:prstGeom>
                    <a:ln>
                      <a:solidFill>
                        <a:schemeClr val="tx1"/>
                      </a:solidFill>
                    </a:ln>
                  </pic:spPr>
                </pic:pic>
              </a:graphicData>
            </a:graphic>
          </wp:inline>
        </w:drawing>
      </w:r>
    </w:p>
    <w:p w14:paraId="08CEF38E" w14:textId="0965908C" w:rsidR="008D2A44" w:rsidRDefault="008D2A44" w:rsidP="00061C69">
      <w:pPr>
        <w:rPr>
          <w:rFonts w:ascii="Arial" w:hAnsi="Arial" w:cs="Arial"/>
          <w:lang w:val="en-US"/>
        </w:rPr>
      </w:pPr>
      <w:r>
        <w:rPr>
          <w:rFonts w:ascii="Arial" w:hAnsi="Arial" w:cs="Arial"/>
          <w:lang w:val="en-US"/>
        </w:rPr>
        <w:t>Many partners are providing assistance to the immunization program in Ethiopia, often in specific parts of the country. It has been suggested that a mapping of partner activities be undertaken to allow better coordination and planning by the Government, avoid duplication and identify current gaps in support.</w:t>
      </w:r>
    </w:p>
    <w:p w14:paraId="7ECCB8DB" w14:textId="77777777" w:rsidR="002652D3" w:rsidRDefault="002652D3">
      <w:pPr>
        <w:rPr>
          <w:rFonts w:ascii="Arial" w:hAnsi="Arial" w:cs="Arial"/>
          <w:b/>
          <w:sz w:val="26"/>
          <w:szCs w:val="26"/>
          <w:lang w:val="en-US"/>
        </w:rPr>
      </w:pPr>
      <w:r>
        <w:rPr>
          <w:rFonts w:ascii="Arial" w:hAnsi="Arial" w:cs="Arial"/>
          <w:b/>
          <w:sz w:val="26"/>
          <w:szCs w:val="26"/>
          <w:lang w:val="en-US"/>
        </w:rPr>
        <w:br w:type="page"/>
      </w:r>
    </w:p>
    <w:p w14:paraId="22AE0625" w14:textId="246982D4" w:rsidR="00061C69" w:rsidRPr="00061C69" w:rsidRDefault="00061C69" w:rsidP="00061C69">
      <w:pPr>
        <w:rPr>
          <w:rFonts w:ascii="Arial" w:hAnsi="Arial" w:cs="Arial"/>
          <w:b/>
          <w:sz w:val="26"/>
          <w:szCs w:val="26"/>
          <w:lang w:val="en-US"/>
        </w:rPr>
      </w:pPr>
      <w:r w:rsidRPr="00061C69">
        <w:rPr>
          <w:rFonts w:ascii="Arial" w:hAnsi="Arial" w:cs="Arial"/>
          <w:b/>
          <w:sz w:val="26"/>
          <w:szCs w:val="26"/>
          <w:lang w:val="en-US"/>
        </w:rPr>
        <w:lastRenderedPageBreak/>
        <w:t>Acknowledgments</w:t>
      </w:r>
    </w:p>
    <w:p w14:paraId="092E6DF8" w14:textId="738838F6" w:rsidR="00061C69" w:rsidRDefault="00061C69" w:rsidP="00061C69">
      <w:pPr>
        <w:rPr>
          <w:rFonts w:ascii="Arial" w:hAnsi="Arial" w:cs="Arial"/>
          <w:lang w:val="en-US"/>
        </w:rPr>
      </w:pPr>
      <w:r>
        <w:rPr>
          <w:rFonts w:ascii="Arial" w:hAnsi="Arial" w:cs="Arial"/>
          <w:lang w:val="en-US"/>
        </w:rPr>
        <w:t xml:space="preserve">We would like to thank the following persons who were interviewed </w:t>
      </w:r>
      <w:r w:rsidR="002652D3">
        <w:rPr>
          <w:rFonts w:ascii="Arial" w:hAnsi="Arial" w:cs="Arial"/>
          <w:lang w:val="en-US"/>
        </w:rPr>
        <w:t xml:space="preserve">or who reviewed </w:t>
      </w:r>
      <w:r>
        <w:rPr>
          <w:rFonts w:ascii="Arial" w:hAnsi="Arial" w:cs="Arial"/>
          <w:lang w:val="en-US"/>
        </w:rPr>
        <w:t>this report:</w:t>
      </w:r>
    </w:p>
    <w:p w14:paraId="12FDB6C3" w14:textId="49A14292" w:rsidR="00061C69" w:rsidRPr="00061C69" w:rsidRDefault="002652D3" w:rsidP="00061C69">
      <w:pPr>
        <w:pStyle w:val="ListParagraph"/>
        <w:numPr>
          <w:ilvl w:val="0"/>
          <w:numId w:val="35"/>
        </w:numPr>
        <w:contextualSpacing w:val="0"/>
        <w:rPr>
          <w:rFonts w:ascii="Arial" w:hAnsi="Arial" w:cs="Arial"/>
          <w:lang w:val="en-US"/>
        </w:rPr>
      </w:pPr>
      <w:r>
        <w:rPr>
          <w:rFonts w:ascii="Arial" w:hAnsi="Arial" w:cs="Arial"/>
          <w:lang w:val="en-US"/>
        </w:rPr>
        <w:t>Robert Perry</w:t>
      </w:r>
      <w:r w:rsidR="00061C69" w:rsidRPr="00061C69">
        <w:rPr>
          <w:rFonts w:ascii="Arial" w:hAnsi="Arial" w:cs="Arial"/>
          <w:lang w:val="en-US"/>
        </w:rPr>
        <w:t xml:space="preserve"> </w:t>
      </w:r>
      <w:r>
        <w:rPr>
          <w:rFonts w:ascii="Arial" w:hAnsi="Arial" w:cs="Arial"/>
          <w:lang w:val="en-US"/>
        </w:rPr>
        <w:t>(WHO HQ)</w:t>
      </w:r>
    </w:p>
    <w:p w14:paraId="0182656D" w14:textId="37914680" w:rsidR="00061C69" w:rsidRPr="00061C69" w:rsidRDefault="00061C69" w:rsidP="00061C69">
      <w:pPr>
        <w:pStyle w:val="ListParagraph"/>
        <w:numPr>
          <w:ilvl w:val="0"/>
          <w:numId w:val="35"/>
        </w:numPr>
        <w:contextualSpacing w:val="0"/>
        <w:rPr>
          <w:rFonts w:ascii="Arial" w:hAnsi="Arial" w:cs="Arial"/>
          <w:lang w:val="en-US"/>
        </w:rPr>
      </w:pPr>
      <w:r w:rsidRPr="00061C69">
        <w:rPr>
          <w:rFonts w:ascii="Arial" w:hAnsi="Arial" w:cs="Arial"/>
          <w:lang w:val="en-US"/>
        </w:rPr>
        <w:t xml:space="preserve">Messeret Eshetu, </w:t>
      </w:r>
      <w:r w:rsidR="002652D3">
        <w:rPr>
          <w:rFonts w:ascii="Arial" w:hAnsi="Arial" w:cs="Arial"/>
          <w:lang w:val="en-US"/>
        </w:rPr>
        <w:t>(</w:t>
      </w:r>
      <w:r w:rsidRPr="00061C69">
        <w:rPr>
          <w:rFonts w:ascii="Arial" w:hAnsi="Arial" w:cs="Arial"/>
          <w:lang w:val="en-US"/>
        </w:rPr>
        <w:t>WHO ESA IST</w:t>
      </w:r>
      <w:r w:rsidR="002652D3">
        <w:rPr>
          <w:rFonts w:ascii="Arial" w:hAnsi="Arial" w:cs="Arial"/>
          <w:lang w:val="en-US"/>
        </w:rPr>
        <w:t>)</w:t>
      </w:r>
    </w:p>
    <w:p w14:paraId="60EA350D" w14:textId="78234AE7" w:rsidR="00061C69" w:rsidRPr="00061C69" w:rsidRDefault="00061C69" w:rsidP="00061C69">
      <w:pPr>
        <w:pStyle w:val="ListParagraph"/>
        <w:numPr>
          <w:ilvl w:val="0"/>
          <w:numId w:val="35"/>
        </w:numPr>
        <w:contextualSpacing w:val="0"/>
        <w:rPr>
          <w:rFonts w:ascii="Arial" w:hAnsi="Arial" w:cs="Arial"/>
          <w:lang w:val="en-US"/>
        </w:rPr>
      </w:pPr>
      <w:r w:rsidRPr="00061C69">
        <w:rPr>
          <w:rFonts w:ascii="Arial" w:hAnsi="Arial" w:cs="Arial"/>
          <w:lang w:val="en-US"/>
        </w:rPr>
        <w:t xml:space="preserve">Thomas Karengera, </w:t>
      </w:r>
      <w:r w:rsidR="002652D3">
        <w:rPr>
          <w:rFonts w:ascii="Arial" w:hAnsi="Arial" w:cs="Arial"/>
          <w:lang w:val="en-US"/>
        </w:rPr>
        <w:t>(WHO CO</w:t>
      </w:r>
      <w:r w:rsidRPr="00061C69">
        <w:rPr>
          <w:rFonts w:ascii="Arial" w:hAnsi="Arial" w:cs="Arial"/>
          <w:lang w:val="en-US"/>
        </w:rPr>
        <w:t>)</w:t>
      </w:r>
    </w:p>
    <w:p w14:paraId="48ED6728" w14:textId="6529AF65" w:rsidR="00061C69" w:rsidRPr="00061C69" w:rsidRDefault="00061C69" w:rsidP="00061C69">
      <w:pPr>
        <w:pStyle w:val="ListParagraph"/>
        <w:numPr>
          <w:ilvl w:val="0"/>
          <w:numId w:val="35"/>
        </w:numPr>
        <w:contextualSpacing w:val="0"/>
        <w:rPr>
          <w:rFonts w:ascii="Arial" w:hAnsi="Arial" w:cs="Arial"/>
          <w:lang w:val="en-US"/>
        </w:rPr>
      </w:pPr>
      <w:r w:rsidRPr="00061C69">
        <w:rPr>
          <w:rFonts w:ascii="Arial" w:hAnsi="Arial" w:cs="Arial"/>
          <w:lang w:val="en-US"/>
        </w:rPr>
        <w:t xml:space="preserve">Assefu Lemlem, </w:t>
      </w:r>
      <w:r w:rsidR="002652D3">
        <w:rPr>
          <w:rFonts w:ascii="Arial" w:hAnsi="Arial" w:cs="Arial"/>
          <w:lang w:val="en-US"/>
        </w:rPr>
        <w:t>(WHO CO)</w:t>
      </w:r>
    </w:p>
    <w:p w14:paraId="14021C40" w14:textId="77777777" w:rsidR="00061C69" w:rsidRPr="008D2A44" w:rsidRDefault="00061C69" w:rsidP="00061C69">
      <w:pPr>
        <w:rPr>
          <w:rFonts w:ascii="Arial" w:hAnsi="Arial" w:cs="Arial"/>
          <w:lang w:val="en-US"/>
        </w:rPr>
      </w:pPr>
    </w:p>
    <w:p w14:paraId="2401FDCE" w14:textId="4189807D" w:rsidR="00914A96" w:rsidRPr="006140E6" w:rsidRDefault="00914A96" w:rsidP="00914A96">
      <w:pPr>
        <w:rPr>
          <w:rFonts w:ascii="Arial" w:hAnsi="Arial" w:cs="Arial"/>
          <w:lang w:val="en-US"/>
        </w:rPr>
      </w:pPr>
    </w:p>
    <w:p w14:paraId="58D91CC2" w14:textId="77777777" w:rsidR="00914A96" w:rsidRPr="006140E6" w:rsidRDefault="00914A96">
      <w:pPr>
        <w:rPr>
          <w:rFonts w:ascii="Arial" w:hAnsi="Arial" w:cs="Arial"/>
          <w:lang w:val="en-US"/>
        </w:rPr>
        <w:sectPr w:rsidR="00914A96" w:rsidRPr="006140E6" w:rsidSect="00914A96">
          <w:footerReference w:type="default" r:id="rId11"/>
          <w:pgSz w:w="11906" w:h="16838"/>
          <w:pgMar w:top="1440" w:right="1440" w:bottom="1440" w:left="1440" w:header="709" w:footer="709" w:gutter="0"/>
          <w:cols w:space="708"/>
          <w:docGrid w:linePitch="360"/>
        </w:sectPr>
      </w:pPr>
    </w:p>
    <w:p w14:paraId="5C334335" w14:textId="77777777" w:rsidR="00D27284" w:rsidRPr="006140E6" w:rsidRDefault="00D27284" w:rsidP="00D27284">
      <w:pPr>
        <w:rPr>
          <w:rFonts w:ascii="Arial" w:hAnsi="Arial" w:cs="Arial"/>
          <w:b/>
          <w:sz w:val="24"/>
          <w:lang w:val="en-US"/>
        </w:rPr>
      </w:pPr>
      <w:r w:rsidRPr="006140E6">
        <w:rPr>
          <w:rFonts w:ascii="Arial" w:hAnsi="Arial" w:cs="Arial"/>
          <w:b/>
          <w:sz w:val="24"/>
          <w:lang w:val="en-US"/>
        </w:rPr>
        <w:lastRenderedPageBreak/>
        <w:t>ANNEXES</w:t>
      </w:r>
    </w:p>
    <w:p w14:paraId="35A63FFE" w14:textId="77777777" w:rsidR="00D27284" w:rsidRPr="006140E6" w:rsidRDefault="00D27284" w:rsidP="00D27284">
      <w:pPr>
        <w:rPr>
          <w:rFonts w:ascii="Arial" w:hAnsi="Arial" w:cs="Arial"/>
          <w:b/>
          <w:sz w:val="24"/>
          <w:lang w:val="en-US"/>
        </w:rPr>
      </w:pPr>
      <w:r w:rsidRPr="006140E6">
        <w:rPr>
          <w:rFonts w:ascii="Arial" w:hAnsi="Arial" w:cs="Arial"/>
          <w:b/>
          <w:sz w:val="24"/>
          <w:lang w:val="en-US"/>
        </w:rPr>
        <w:t>Annex 1: Country immunization profile</w:t>
      </w:r>
    </w:p>
    <w:p w14:paraId="7DD63D9C" w14:textId="77777777" w:rsidR="00D27284" w:rsidRPr="006140E6" w:rsidRDefault="00D27284" w:rsidP="00D27284">
      <w:pPr>
        <w:pStyle w:val="ListParagraph"/>
        <w:numPr>
          <w:ilvl w:val="0"/>
          <w:numId w:val="22"/>
        </w:numPr>
        <w:rPr>
          <w:b/>
          <w:bCs/>
          <w:sz w:val="24"/>
          <w:szCs w:val="24"/>
          <w:lang w:val="en-US"/>
        </w:rPr>
      </w:pPr>
      <w:r w:rsidRPr="006140E6">
        <w:rPr>
          <w:b/>
          <w:bCs/>
          <w:sz w:val="24"/>
          <w:szCs w:val="24"/>
          <w:lang w:val="en-US"/>
        </w:rPr>
        <w:t>Polio</w:t>
      </w:r>
    </w:p>
    <w:p w14:paraId="1F069737" w14:textId="72867750" w:rsidR="00D27284" w:rsidRPr="006140E6" w:rsidRDefault="00D27284" w:rsidP="00D27284">
      <w:pPr>
        <w:pStyle w:val="ListParagraph"/>
        <w:numPr>
          <w:ilvl w:val="0"/>
          <w:numId w:val="24"/>
        </w:numPr>
        <w:rPr>
          <w:b/>
          <w:bCs/>
          <w:sz w:val="24"/>
          <w:szCs w:val="24"/>
          <w:lang w:val="en-US"/>
        </w:rPr>
      </w:pPr>
      <w:r w:rsidRPr="006140E6">
        <w:rPr>
          <w:b/>
          <w:bCs/>
          <w:sz w:val="24"/>
          <w:szCs w:val="24"/>
          <w:lang w:val="en-US"/>
        </w:rPr>
        <w:t xml:space="preserve">Transmission stopped in </w:t>
      </w:r>
      <w:r w:rsidRPr="003707DB">
        <w:rPr>
          <w:b/>
          <w:bCs/>
          <w:sz w:val="24"/>
          <w:szCs w:val="24"/>
          <w:lang w:val="en-US"/>
        </w:rPr>
        <w:t xml:space="preserve">year </w:t>
      </w:r>
      <w:r w:rsidR="00CA5738" w:rsidRPr="003707DB">
        <w:rPr>
          <w:b/>
          <w:bCs/>
          <w:sz w:val="24"/>
          <w:szCs w:val="24"/>
          <w:lang w:val="en-US"/>
        </w:rPr>
        <w:t>2001 (imported cases in 2013 and 2015)</w:t>
      </w:r>
      <w:r w:rsidRPr="003707DB">
        <w:rPr>
          <w:b/>
          <w:bCs/>
          <w:sz w:val="24"/>
          <w:szCs w:val="24"/>
          <w:lang w:val="en-US"/>
        </w:rPr>
        <w:t>.</w:t>
      </w:r>
    </w:p>
    <w:p w14:paraId="5AE3D11A" w14:textId="15356432" w:rsidR="00D27284" w:rsidRPr="006140E6" w:rsidRDefault="00D27284" w:rsidP="00D27284">
      <w:pPr>
        <w:pStyle w:val="ListParagraph"/>
        <w:numPr>
          <w:ilvl w:val="0"/>
          <w:numId w:val="24"/>
        </w:numPr>
        <w:rPr>
          <w:b/>
          <w:bCs/>
          <w:sz w:val="24"/>
          <w:szCs w:val="24"/>
          <w:lang w:val="en-US"/>
        </w:rPr>
      </w:pPr>
      <w:r w:rsidRPr="006140E6">
        <w:rPr>
          <w:b/>
          <w:bCs/>
          <w:sz w:val="24"/>
          <w:szCs w:val="24"/>
          <w:lang w:val="en-US"/>
        </w:rPr>
        <w:t>Eradication certified</w:t>
      </w:r>
      <w:r w:rsidR="005C1966">
        <w:rPr>
          <w:b/>
          <w:bCs/>
          <w:sz w:val="24"/>
          <w:szCs w:val="24"/>
          <w:lang w:val="en-US"/>
        </w:rPr>
        <w:t>: not yet</w:t>
      </w:r>
      <w:r w:rsidR="00CA5738">
        <w:rPr>
          <w:b/>
          <w:bCs/>
          <w:sz w:val="24"/>
          <w:szCs w:val="24"/>
          <w:lang w:val="en-US"/>
        </w:rPr>
        <w:t xml:space="preserve"> (planned for 2018)</w:t>
      </w:r>
      <w:r w:rsidR="00061C69">
        <w:rPr>
          <w:b/>
          <w:bCs/>
          <w:sz w:val="24"/>
          <w:szCs w:val="24"/>
          <w:lang w:val="en-US"/>
        </w:rPr>
        <w:t>.</w:t>
      </w:r>
    </w:p>
    <w:p w14:paraId="70D9AE28" w14:textId="77777777" w:rsidR="00D27284" w:rsidRPr="006140E6" w:rsidRDefault="00D27284" w:rsidP="00D27284">
      <w:pPr>
        <w:pStyle w:val="ListParagraph"/>
        <w:ind w:left="1080"/>
        <w:rPr>
          <w:b/>
          <w:bCs/>
          <w:sz w:val="24"/>
          <w:szCs w:val="24"/>
          <w:lang w:val="en-US"/>
        </w:rPr>
      </w:pPr>
    </w:p>
    <w:p w14:paraId="69FB1AF5" w14:textId="77777777" w:rsidR="00D27284" w:rsidRDefault="00D27284" w:rsidP="00D27284">
      <w:pPr>
        <w:pStyle w:val="ListParagraph"/>
        <w:numPr>
          <w:ilvl w:val="0"/>
          <w:numId w:val="22"/>
        </w:numPr>
        <w:rPr>
          <w:b/>
          <w:bCs/>
          <w:sz w:val="24"/>
          <w:szCs w:val="24"/>
          <w:lang w:val="en-US"/>
        </w:rPr>
      </w:pPr>
      <w:r w:rsidRPr="006140E6">
        <w:rPr>
          <w:b/>
          <w:bCs/>
          <w:sz w:val="24"/>
          <w:szCs w:val="24"/>
          <w:lang w:val="en-US"/>
        </w:rPr>
        <w:t>Measles and rubella</w:t>
      </w:r>
    </w:p>
    <w:p w14:paraId="43E6E671" w14:textId="77777777" w:rsidR="001A55DB" w:rsidRPr="001A55DB" w:rsidRDefault="001A55DB" w:rsidP="001A55DB">
      <w:pPr>
        <w:pStyle w:val="Caption"/>
        <w:rPr>
          <w:rFonts w:ascii="Arial" w:hAnsi="Arial" w:cs="Arial"/>
          <w:color w:val="auto"/>
          <w:sz w:val="22"/>
        </w:rPr>
      </w:pPr>
      <w:r w:rsidRPr="001A55DB">
        <w:rPr>
          <w:rFonts w:ascii="Arial" w:hAnsi="Arial" w:cs="Arial"/>
          <w:color w:val="auto"/>
          <w:sz w:val="22"/>
        </w:rPr>
        <w:t xml:space="preserve">Figure </w:t>
      </w:r>
      <w:r w:rsidRPr="001A55DB">
        <w:rPr>
          <w:rFonts w:ascii="Arial" w:hAnsi="Arial" w:cs="Arial"/>
          <w:color w:val="auto"/>
          <w:sz w:val="22"/>
        </w:rPr>
        <w:fldChar w:fldCharType="begin"/>
      </w:r>
      <w:r w:rsidRPr="001A55DB">
        <w:rPr>
          <w:rFonts w:ascii="Arial" w:hAnsi="Arial" w:cs="Arial"/>
          <w:color w:val="auto"/>
          <w:sz w:val="22"/>
        </w:rPr>
        <w:instrText xml:space="preserve"> SEQ Figure \* ARABIC </w:instrText>
      </w:r>
      <w:r w:rsidRPr="001A55DB">
        <w:rPr>
          <w:rFonts w:ascii="Arial" w:hAnsi="Arial" w:cs="Arial"/>
          <w:color w:val="auto"/>
          <w:sz w:val="22"/>
        </w:rPr>
        <w:fldChar w:fldCharType="separate"/>
      </w:r>
      <w:r w:rsidR="00651A7C">
        <w:rPr>
          <w:rFonts w:ascii="Arial" w:hAnsi="Arial" w:cs="Arial"/>
          <w:noProof/>
          <w:color w:val="auto"/>
          <w:sz w:val="22"/>
        </w:rPr>
        <w:t>3</w:t>
      </w:r>
      <w:r w:rsidRPr="001A55DB">
        <w:rPr>
          <w:rFonts w:ascii="Arial" w:hAnsi="Arial" w:cs="Arial"/>
          <w:color w:val="auto"/>
          <w:sz w:val="22"/>
        </w:rPr>
        <w:fldChar w:fldCharType="end"/>
      </w:r>
      <w:r w:rsidRPr="001A55DB">
        <w:rPr>
          <w:rFonts w:ascii="Arial" w:hAnsi="Arial" w:cs="Arial"/>
          <w:color w:val="auto"/>
          <w:sz w:val="22"/>
        </w:rPr>
        <w:t>: Reported Measles cases and MCV coverage, Ethiopia, 1990-2015</w:t>
      </w:r>
    </w:p>
    <w:p w14:paraId="61460E88" w14:textId="0C235578" w:rsidR="00D27284" w:rsidRPr="006140E6" w:rsidRDefault="00E35B5F" w:rsidP="001A55DB">
      <w:pPr>
        <w:pStyle w:val="Caption"/>
        <w:rPr>
          <w:b w:val="0"/>
          <w:bCs w:val="0"/>
          <w:sz w:val="32"/>
          <w:szCs w:val="32"/>
          <w:lang w:val="en-US"/>
        </w:rPr>
      </w:pPr>
      <w:r w:rsidRPr="006140E6">
        <w:rPr>
          <w:noProof/>
          <w:lang w:eastAsia="zh-CN"/>
        </w:rPr>
        <w:drawing>
          <wp:inline distT="0" distB="0" distL="0" distR="0" wp14:anchorId="62639D6A" wp14:editId="1644B838">
            <wp:extent cx="5724525" cy="3219450"/>
            <wp:effectExtent l="19050" t="19050" r="28575" b="19050"/>
            <wp:docPr id="9" name="Picture 9" descr="Y:\GVAP\Priority_countries\ETH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GVAP\Priority_countries\ETHMCV1_MCV2_MEASL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solidFill>
                        <a:schemeClr val="tx1"/>
                      </a:solidFill>
                    </a:ln>
                  </pic:spPr>
                </pic:pic>
              </a:graphicData>
            </a:graphic>
          </wp:inline>
        </w:drawing>
      </w:r>
    </w:p>
    <w:p w14:paraId="21FD6AAB" w14:textId="582CCA47" w:rsidR="00E35B5F" w:rsidRPr="00651A7C" w:rsidRDefault="001A55DB" w:rsidP="001A55DB">
      <w:pPr>
        <w:pStyle w:val="Caption"/>
        <w:rPr>
          <w:rFonts w:ascii="Arial" w:hAnsi="Arial" w:cs="Arial"/>
          <w:color w:val="auto"/>
          <w:sz w:val="22"/>
        </w:rPr>
      </w:pPr>
      <w:r w:rsidRPr="00651A7C">
        <w:rPr>
          <w:rFonts w:ascii="Arial" w:hAnsi="Arial" w:cs="Arial"/>
          <w:color w:val="auto"/>
          <w:sz w:val="22"/>
        </w:rPr>
        <w:t xml:space="preserve">Table </w:t>
      </w:r>
      <w:r w:rsidRPr="00651A7C">
        <w:rPr>
          <w:rFonts w:ascii="Arial" w:hAnsi="Arial" w:cs="Arial"/>
          <w:color w:val="auto"/>
          <w:sz w:val="22"/>
        </w:rPr>
        <w:fldChar w:fldCharType="begin"/>
      </w:r>
      <w:r w:rsidRPr="00651A7C">
        <w:rPr>
          <w:rFonts w:ascii="Arial" w:hAnsi="Arial" w:cs="Arial"/>
          <w:color w:val="auto"/>
          <w:sz w:val="22"/>
        </w:rPr>
        <w:instrText xml:space="preserve"> SEQ Table \* ARABIC </w:instrText>
      </w:r>
      <w:r w:rsidRPr="00651A7C">
        <w:rPr>
          <w:rFonts w:ascii="Arial" w:hAnsi="Arial" w:cs="Arial"/>
          <w:color w:val="auto"/>
          <w:sz w:val="22"/>
        </w:rPr>
        <w:fldChar w:fldCharType="separate"/>
      </w:r>
      <w:r w:rsidRPr="00651A7C">
        <w:rPr>
          <w:rFonts w:ascii="Arial" w:hAnsi="Arial" w:cs="Arial"/>
          <w:color w:val="auto"/>
          <w:sz w:val="22"/>
        </w:rPr>
        <w:t>1</w:t>
      </w:r>
      <w:r w:rsidRPr="00651A7C">
        <w:rPr>
          <w:rFonts w:ascii="Arial" w:hAnsi="Arial" w:cs="Arial"/>
          <w:color w:val="auto"/>
          <w:sz w:val="22"/>
        </w:rPr>
        <w:fldChar w:fldCharType="end"/>
      </w:r>
      <w:r w:rsidRPr="00651A7C">
        <w:rPr>
          <w:rFonts w:ascii="Arial" w:hAnsi="Arial" w:cs="Arial"/>
          <w:color w:val="auto"/>
          <w:sz w:val="22"/>
        </w:rPr>
        <w:t>:</w:t>
      </w:r>
      <w:r w:rsidR="00D27284" w:rsidRPr="00651A7C">
        <w:rPr>
          <w:rFonts w:ascii="Arial" w:hAnsi="Arial" w:cs="Arial"/>
          <w:color w:val="auto"/>
          <w:sz w:val="22"/>
        </w:rPr>
        <w:t xml:space="preserve"> SIA activities planned in 2016-2017</w:t>
      </w:r>
    </w:p>
    <w:tbl>
      <w:tblPr>
        <w:tblStyle w:val="TableGrid"/>
        <w:tblW w:w="9720" w:type="dxa"/>
        <w:tblInd w:w="-342" w:type="dxa"/>
        <w:tblLook w:val="04A0" w:firstRow="1" w:lastRow="0" w:firstColumn="1" w:lastColumn="0" w:noHBand="0" w:noVBand="1"/>
      </w:tblPr>
      <w:tblGrid>
        <w:gridCol w:w="1127"/>
        <w:gridCol w:w="1358"/>
        <w:gridCol w:w="756"/>
        <w:gridCol w:w="1278"/>
        <w:gridCol w:w="1278"/>
        <w:gridCol w:w="1070"/>
        <w:gridCol w:w="976"/>
        <w:gridCol w:w="944"/>
        <w:gridCol w:w="1218"/>
      </w:tblGrid>
      <w:tr w:rsidR="00E35B5F" w:rsidRPr="00E1542F" w14:paraId="79E26435" w14:textId="77777777" w:rsidTr="00E1542F">
        <w:trPr>
          <w:trHeight w:val="255"/>
        </w:trPr>
        <w:tc>
          <w:tcPr>
            <w:tcW w:w="1127" w:type="dxa"/>
            <w:noWrap/>
            <w:hideMark/>
          </w:tcPr>
          <w:p w14:paraId="7D33C7D9" w14:textId="77777777" w:rsidR="00E35B5F" w:rsidRPr="00E1542F" w:rsidRDefault="00E35B5F" w:rsidP="00E1542F">
            <w:pPr>
              <w:jc w:val="center"/>
              <w:rPr>
                <w:b/>
                <w:lang w:val="en-US"/>
              </w:rPr>
            </w:pPr>
            <w:r w:rsidRPr="00E1542F">
              <w:rPr>
                <w:b/>
                <w:lang w:val="en-US"/>
              </w:rPr>
              <w:t>Activity</w:t>
            </w:r>
          </w:p>
        </w:tc>
        <w:tc>
          <w:tcPr>
            <w:tcW w:w="1267" w:type="dxa"/>
            <w:noWrap/>
            <w:hideMark/>
          </w:tcPr>
          <w:p w14:paraId="4686D295" w14:textId="77777777" w:rsidR="00E35B5F" w:rsidRPr="00E1542F" w:rsidRDefault="00E35B5F" w:rsidP="00E1542F">
            <w:pPr>
              <w:jc w:val="center"/>
              <w:rPr>
                <w:b/>
                <w:lang w:val="en-US"/>
              </w:rPr>
            </w:pPr>
            <w:r w:rsidRPr="00E1542F">
              <w:rPr>
                <w:b/>
                <w:lang w:val="en-US"/>
              </w:rPr>
              <w:t>Intervention</w:t>
            </w:r>
          </w:p>
        </w:tc>
        <w:tc>
          <w:tcPr>
            <w:tcW w:w="756" w:type="dxa"/>
            <w:noWrap/>
            <w:hideMark/>
          </w:tcPr>
          <w:p w14:paraId="3D49769F" w14:textId="77777777" w:rsidR="00E35B5F" w:rsidRPr="00E1542F" w:rsidRDefault="00E35B5F" w:rsidP="00E1542F">
            <w:pPr>
              <w:jc w:val="center"/>
              <w:rPr>
                <w:b/>
                <w:lang w:val="en-US"/>
              </w:rPr>
            </w:pPr>
            <w:r w:rsidRPr="00E1542F">
              <w:rPr>
                <w:b/>
                <w:lang w:val="en-US"/>
              </w:rPr>
              <w:t>Year</w:t>
            </w:r>
          </w:p>
        </w:tc>
        <w:tc>
          <w:tcPr>
            <w:tcW w:w="1220" w:type="dxa"/>
            <w:noWrap/>
            <w:hideMark/>
          </w:tcPr>
          <w:p w14:paraId="46587918" w14:textId="474BCBF3" w:rsidR="00E35B5F" w:rsidRPr="00E1542F" w:rsidRDefault="00E35B5F" w:rsidP="00E1542F">
            <w:pPr>
              <w:jc w:val="center"/>
              <w:rPr>
                <w:b/>
                <w:lang w:val="en-US"/>
              </w:rPr>
            </w:pPr>
            <w:r w:rsidRPr="00E1542F">
              <w:rPr>
                <w:b/>
                <w:lang w:val="en-US"/>
              </w:rPr>
              <w:t>Start</w:t>
            </w:r>
            <w:r w:rsidR="00E1542F" w:rsidRPr="00E1542F">
              <w:rPr>
                <w:b/>
                <w:lang w:val="en-US"/>
              </w:rPr>
              <w:t xml:space="preserve"> </w:t>
            </w:r>
            <w:r w:rsidRPr="00E1542F">
              <w:rPr>
                <w:b/>
                <w:lang w:val="en-US"/>
              </w:rPr>
              <w:t>Date</w:t>
            </w:r>
          </w:p>
        </w:tc>
        <w:tc>
          <w:tcPr>
            <w:tcW w:w="1220" w:type="dxa"/>
            <w:noWrap/>
            <w:hideMark/>
          </w:tcPr>
          <w:p w14:paraId="4B2A648F" w14:textId="41DBF7F4" w:rsidR="00E35B5F" w:rsidRPr="00E1542F" w:rsidRDefault="00E35B5F" w:rsidP="00E1542F">
            <w:pPr>
              <w:jc w:val="center"/>
              <w:rPr>
                <w:b/>
                <w:lang w:val="en-US"/>
              </w:rPr>
            </w:pPr>
            <w:r w:rsidRPr="00E1542F">
              <w:rPr>
                <w:b/>
                <w:lang w:val="en-US"/>
              </w:rPr>
              <w:t>End</w:t>
            </w:r>
            <w:r w:rsidR="00E1542F" w:rsidRPr="00E1542F">
              <w:rPr>
                <w:b/>
                <w:lang w:val="en-US"/>
              </w:rPr>
              <w:t xml:space="preserve"> </w:t>
            </w:r>
            <w:r w:rsidRPr="00E1542F">
              <w:rPr>
                <w:b/>
                <w:lang w:val="en-US"/>
              </w:rPr>
              <w:t>Date</w:t>
            </w:r>
          </w:p>
        </w:tc>
        <w:tc>
          <w:tcPr>
            <w:tcW w:w="1070" w:type="dxa"/>
            <w:noWrap/>
            <w:hideMark/>
          </w:tcPr>
          <w:p w14:paraId="3460AFCC" w14:textId="2EC41AD7" w:rsidR="00E35B5F" w:rsidRPr="00E1542F" w:rsidRDefault="00E35B5F" w:rsidP="00E1542F">
            <w:pPr>
              <w:jc w:val="center"/>
              <w:rPr>
                <w:b/>
                <w:lang w:val="en-US"/>
              </w:rPr>
            </w:pPr>
            <w:r w:rsidRPr="00E1542F">
              <w:rPr>
                <w:b/>
                <w:lang w:val="en-US"/>
              </w:rPr>
              <w:t>Age</w:t>
            </w:r>
            <w:r w:rsidR="00E1542F" w:rsidRPr="00E1542F">
              <w:rPr>
                <w:b/>
                <w:lang w:val="en-US"/>
              </w:rPr>
              <w:t xml:space="preserve"> </w:t>
            </w:r>
            <w:r w:rsidRPr="00E1542F">
              <w:rPr>
                <w:b/>
                <w:lang w:val="en-US"/>
              </w:rPr>
              <w:t>Group</w:t>
            </w:r>
          </w:p>
        </w:tc>
        <w:tc>
          <w:tcPr>
            <w:tcW w:w="960" w:type="dxa"/>
            <w:noWrap/>
            <w:hideMark/>
          </w:tcPr>
          <w:p w14:paraId="7C44E385" w14:textId="77777777" w:rsidR="00E35B5F" w:rsidRPr="00E1542F" w:rsidRDefault="00E35B5F" w:rsidP="00E1542F">
            <w:pPr>
              <w:jc w:val="center"/>
              <w:rPr>
                <w:b/>
                <w:lang w:val="en-US"/>
              </w:rPr>
            </w:pPr>
            <w:r w:rsidRPr="00E1542F">
              <w:rPr>
                <w:b/>
                <w:lang w:val="en-US"/>
              </w:rPr>
              <w:t>Extent</w:t>
            </w:r>
          </w:p>
        </w:tc>
        <w:tc>
          <w:tcPr>
            <w:tcW w:w="904" w:type="dxa"/>
            <w:noWrap/>
            <w:hideMark/>
          </w:tcPr>
          <w:p w14:paraId="79D97147" w14:textId="77777777" w:rsidR="00E35B5F" w:rsidRPr="00E1542F" w:rsidRDefault="00E35B5F" w:rsidP="00E1542F">
            <w:pPr>
              <w:jc w:val="center"/>
              <w:rPr>
                <w:b/>
                <w:lang w:val="en-US"/>
              </w:rPr>
            </w:pPr>
            <w:r w:rsidRPr="00E1542F">
              <w:rPr>
                <w:b/>
                <w:lang w:val="en-US"/>
              </w:rPr>
              <w:t>Status</w:t>
            </w:r>
          </w:p>
        </w:tc>
        <w:tc>
          <w:tcPr>
            <w:tcW w:w="1196" w:type="dxa"/>
            <w:noWrap/>
            <w:hideMark/>
          </w:tcPr>
          <w:p w14:paraId="25DBBCB0" w14:textId="77777777" w:rsidR="00E35B5F" w:rsidRPr="00E1542F" w:rsidRDefault="00E35B5F" w:rsidP="00E1542F">
            <w:pPr>
              <w:jc w:val="center"/>
              <w:rPr>
                <w:b/>
                <w:lang w:val="en-US"/>
              </w:rPr>
            </w:pPr>
            <w:r w:rsidRPr="00E1542F">
              <w:rPr>
                <w:b/>
                <w:lang w:val="en-US"/>
              </w:rPr>
              <w:t>Target</w:t>
            </w:r>
          </w:p>
        </w:tc>
      </w:tr>
      <w:tr w:rsidR="00E35B5F" w:rsidRPr="00E1542F" w14:paraId="37BA479C" w14:textId="77777777" w:rsidTr="00E1542F">
        <w:trPr>
          <w:trHeight w:val="255"/>
        </w:trPr>
        <w:tc>
          <w:tcPr>
            <w:tcW w:w="1127" w:type="dxa"/>
            <w:noWrap/>
            <w:hideMark/>
          </w:tcPr>
          <w:p w14:paraId="7D2B2EE6" w14:textId="77777777" w:rsidR="00E35B5F" w:rsidRPr="00E1542F" w:rsidRDefault="00E35B5F" w:rsidP="00E35B5F">
            <w:pPr>
              <w:rPr>
                <w:lang w:val="en-US"/>
              </w:rPr>
            </w:pPr>
            <w:r w:rsidRPr="00E1542F">
              <w:rPr>
                <w:lang w:val="en-US"/>
              </w:rPr>
              <w:t>ORI</w:t>
            </w:r>
          </w:p>
        </w:tc>
        <w:tc>
          <w:tcPr>
            <w:tcW w:w="1267" w:type="dxa"/>
            <w:noWrap/>
            <w:hideMark/>
          </w:tcPr>
          <w:p w14:paraId="7CB33219" w14:textId="77777777" w:rsidR="00E35B5F" w:rsidRPr="00E1542F" w:rsidRDefault="00E35B5F" w:rsidP="00E35B5F">
            <w:pPr>
              <w:rPr>
                <w:lang w:val="en-US"/>
              </w:rPr>
            </w:pPr>
            <w:r w:rsidRPr="00E1542F">
              <w:rPr>
                <w:lang w:val="en-US"/>
              </w:rPr>
              <w:t>Measles</w:t>
            </w:r>
          </w:p>
        </w:tc>
        <w:tc>
          <w:tcPr>
            <w:tcW w:w="756" w:type="dxa"/>
            <w:noWrap/>
            <w:hideMark/>
          </w:tcPr>
          <w:p w14:paraId="0195F5BA" w14:textId="77777777" w:rsidR="00E35B5F" w:rsidRPr="00E1542F" w:rsidRDefault="00E35B5F" w:rsidP="00E35B5F">
            <w:pPr>
              <w:rPr>
                <w:lang w:val="en-US"/>
              </w:rPr>
            </w:pPr>
            <w:r w:rsidRPr="00E1542F">
              <w:rPr>
                <w:lang w:val="en-US"/>
              </w:rPr>
              <w:t>2016</w:t>
            </w:r>
          </w:p>
        </w:tc>
        <w:tc>
          <w:tcPr>
            <w:tcW w:w="1220" w:type="dxa"/>
            <w:noWrap/>
            <w:hideMark/>
          </w:tcPr>
          <w:p w14:paraId="710091CC" w14:textId="77777777" w:rsidR="00E35B5F" w:rsidRPr="00E1542F" w:rsidRDefault="00E35B5F" w:rsidP="00E35B5F">
            <w:pPr>
              <w:rPr>
                <w:lang w:val="en-US"/>
              </w:rPr>
            </w:pPr>
            <w:r w:rsidRPr="00E1542F">
              <w:rPr>
                <w:lang w:val="en-US"/>
              </w:rPr>
              <w:t>22/04/2016</w:t>
            </w:r>
          </w:p>
        </w:tc>
        <w:tc>
          <w:tcPr>
            <w:tcW w:w="1220" w:type="dxa"/>
            <w:noWrap/>
            <w:hideMark/>
          </w:tcPr>
          <w:p w14:paraId="3DE625EA" w14:textId="77777777" w:rsidR="00E35B5F" w:rsidRPr="00E1542F" w:rsidRDefault="00E35B5F" w:rsidP="00E35B5F">
            <w:pPr>
              <w:rPr>
                <w:lang w:val="en-US"/>
              </w:rPr>
            </w:pPr>
            <w:r w:rsidRPr="00E1542F">
              <w:rPr>
                <w:lang w:val="en-US"/>
              </w:rPr>
              <w:t>28/04/2016</w:t>
            </w:r>
          </w:p>
        </w:tc>
        <w:tc>
          <w:tcPr>
            <w:tcW w:w="1070" w:type="dxa"/>
            <w:noWrap/>
            <w:hideMark/>
          </w:tcPr>
          <w:p w14:paraId="4149491D" w14:textId="1304CB89" w:rsidR="00E35B5F" w:rsidRPr="00E1542F" w:rsidRDefault="00E35B5F" w:rsidP="00E1542F">
            <w:pPr>
              <w:rPr>
                <w:lang w:val="en-US"/>
              </w:rPr>
            </w:pPr>
            <w:r w:rsidRPr="00E1542F">
              <w:rPr>
                <w:lang w:val="en-US"/>
              </w:rPr>
              <w:t xml:space="preserve">6 </w:t>
            </w:r>
            <w:r w:rsidR="00E1542F">
              <w:rPr>
                <w:lang w:val="en-US"/>
              </w:rPr>
              <w:t xml:space="preserve">months to </w:t>
            </w:r>
            <w:r w:rsidRPr="00E1542F">
              <w:rPr>
                <w:lang w:val="en-US"/>
              </w:rPr>
              <w:t xml:space="preserve">&lt;15 </w:t>
            </w:r>
            <w:r w:rsidR="00E1542F">
              <w:rPr>
                <w:lang w:val="en-US"/>
              </w:rPr>
              <w:t>years</w:t>
            </w:r>
          </w:p>
        </w:tc>
        <w:tc>
          <w:tcPr>
            <w:tcW w:w="960" w:type="dxa"/>
            <w:noWrap/>
            <w:hideMark/>
          </w:tcPr>
          <w:p w14:paraId="3386C5D6" w14:textId="77777777" w:rsidR="00E35B5F" w:rsidRPr="00E1542F" w:rsidRDefault="00E35B5F" w:rsidP="00E35B5F">
            <w:pPr>
              <w:rPr>
                <w:lang w:val="en-US"/>
              </w:rPr>
            </w:pPr>
            <w:r w:rsidRPr="00E1542F">
              <w:rPr>
                <w:lang w:val="en-US"/>
              </w:rPr>
              <w:t>Sub-national</w:t>
            </w:r>
          </w:p>
        </w:tc>
        <w:tc>
          <w:tcPr>
            <w:tcW w:w="904" w:type="dxa"/>
            <w:noWrap/>
            <w:hideMark/>
          </w:tcPr>
          <w:p w14:paraId="54607696" w14:textId="77777777" w:rsidR="00E35B5F" w:rsidRPr="00E1542F" w:rsidRDefault="00E35B5F" w:rsidP="00E35B5F">
            <w:pPr>
              <w:rPr>
                <w:lang w:val="en-US"/>
              </w:rPr>
            </w:pPr>
            <w:r w:rsidRPr="00E1542F">
              <w:rPr>
                <w:lang w:val="en-US"/>
              </w:rPr>
              <w:t>done</w:t>
            </w:r>
          </w:p>
        </w:tc>
        <w:tc>
          <w:tcPr>
            <w:tcW w:w="1196" w:type="dxa"/>
            <w:noWrap/>
            <w:hideMark/>
          </w:tcPr>
          <w:p w14:paraId="13B23C26" w14:textId="105D322A" w:rsidR="00E35B5F" w:rsidRPr="00E1542F" w:rsidRDefault="00E35B5F" w:rsidP="00E35B5F">
            <w:pPr>
              <w:rPr>
                <w:lang w:val="en-US"/>
              </w:rPr>
            </w:pPr>
            <w:r w:rsidRPr="00E1542F">
              <w:rPr>
                <w:lang w:val="en-US"/>
              </w:rPr>
              <w:t>25</w:t>
            </w:r>
            <w:r w:rsidR="00E1542F" w:rsidRPr="00E1542F">
              <w:rPr>
                <w:lang w:val="en-US"/>
              </w:rPr>
              <w:t>,</w:t>
            </w:r>
            <w:r w:rsidRPr="00E1542F">
              <w:rPr>
                <w:lang w:val="en-US"/>
              </w:rPr>
              <w:t>894</w:t>
            </w:r>
            <w:r w:rsidR="00E1542F" w:rsidRPr="00E1542F">
              <w:rPr>
                <w:lang w:val="en-US"/>
              </w:rPr>
              <w:t>,</w:t>
            </w:r>
            <w:r w:rsidRPr="00E1542F">
              <w:rPr>
                <w:lang w:val="en-US"/>
              </w:rPr>
              <w:t>518</w:t>
            </w:r>
          </w:p>
        </w:tc>
      </w:tr>
      <w:tr w:rsidR="00E35B5F" w:rsidRPr="00E1542F" w14:paraId="5432F38A" w14:textId="77777777" w:rsidTr="00E1542F">
        <w:trPr>
          <w:trHeight w:val="255"/>
        </w:trPr>
        <w:tc>
          <w:tcPr>
            <w:tcW w:w="1127" w:type="dxa"/>
            <w:noWrap/>
            <w:hideMark/>
          </w:tcPr>
          <w:p w14:paraId="005A024B" w14:textId="77777777" w:rsidR="00E35B5F" w:rsidRPr="00E1542F" w:rsidRDefault="00E35B5F" w:rsidP="00E35B5F">
            <w:pPr>
              <w:rPr>
                <w:lang w:val="en-US"/>
              </w:rPr>
            </w:pPr>
            <w:r w:rsidRPr="00E1542F">
              <w:rPr>
                <w:lang w:val="en-US"/>
              </w:rPr>
              <w:t>SNID</w:t>
            </w:r>
          </w:p>
        </w:tc>
        <w:tc>
          <w:tcPr>
            <w:tcW w:w="1267" w:type="dxa"/>
            <w:noWrap/>
            <w:hideMark/>
          </w:tcPr>
          <w:p w14:paraId="1816A9D3" w14:textId="77777777" w:rsidR="00E35B5F" w:rsidRPr="00E1542F" w:rsidRDefault="00E35B5F" w:rsidP="00E35B5F">
            <w:pPr>
              <w:rPr>
                <w:lang w:val="en-US"/>
              </w:rPr>
            </w:pPr>
            <w:r w:rsidRPr="00E1542F">
              <w:rPr>
                <w:lang w:val="en-US"/>
              </w:rPr>
              <w:t>tOPV</w:t>
            </w:r>
          </w:p>
        </w:tc>
        <w:tc>
          <w:tcPr>
            <w:tcW w:w="756" w:type="dxa"/>
            <w:noWrap/>
            <w:hideMark/>
          </w:tcPr>
          <w:p w14:paraId="387DCE6F" w14:textId="77777777" w:rsidR="00E35B5F" w:rsidRPr="00E1542F" w:rsidRDefault="00E35B5F" w:rsidP="00E35B5F">
            <w:pPr>
              <w:rPr>
                <w:lang w:val="en-US"/>
              </w:rPr>
            </w:pPr>
            <w:r w:rsidRPr="00E1542F">
              <w:rPr>
                <w:lang w:val="en-US"/>
              </w:rPr>
              <w:t>2016</w:t>
            </w:r>
          </w:p>
        </w:tc>
        <w:tc>
          <w:tcPr>
            <w:tcW w:w="1220" w:type="dxa"/>
            <w:noWrap/>
            <w:hideMark/>
          </w:tcPr>
          <w:p w14:paraId="4D6544CF" w14:textId="77777777" w:rsidR="00E35B5F" w:rsidRPr="00E1542F" w:rsidRDefault="00E35B5F" w:rsidP="00E35B5F">
            <w:pPr>
              <w:rPr>
                <w:lang w:val="en-US"/>
              </w:rPr>
            </w:pPr>
            <w:r w:rsidRPr="00E1542F">
              <w:rPr>
                <w:lang w:val="en-US"/>
              </w:rPr>
              <w:t>19/02/2016</w:t>
            </w:r>
          </w:p>
        </w:tc>
        <w:tc>
          <w:tcPr>
            <w:tcW w:w="1220" w:type="dxa"/>
            <w:noWrap/>
            <w:hideMark/>
          </w:tcPr>
          <w:p w14:paraId="410D8600" w14:textId="77777777" w:rsidR="00E35B5F" w:rsidRPr="00E1542F" w:rsidRDefault="00E35B5F" w:rsidP="00E35B5F">
            <w:pPr>
              <w:rPr>
                <w:lang w:val="en-US"/>
              </w:rPr>
            </w:pPr>
            <w:r w:rsidRPr="00E1542F">
              <w:rPr>
                <w:lang w:val="en-US"/>
              </w:rPr>
              <w:t>21/02/2016</w:t>
            </w:r>
          </w:p>
        </w:tc>
        <w:tc>
          <w:tcPr>
            <w:tcW w:w="1070" w:type="dxa"/>
            <w:noWrap/>
            <w:hideMark/>
          </w:tcPr>
          <w:p w14:paraId="3EDA8ECF" w14:textId="77777777" w:rsidR="00E35B5F" w:rsidRPr="00E1542F" w:rsidRDefault="00E35B5F" w:rsidP="00E35B5F">
            <w:pPr>
              <w:rPr>
                <w:lang w:val="en-US"/>
              </w:rPr>
            </w:pPr>
            <w:r w:rsidRPr="00E1542F">
              <w:rPr>
                <w:lang w:val="en-US"/>
              </w:rPr>
              <w:t>0 to 5 years</w:t>
            </w:r>
          </w:p>
        </w:tc>
        <w:tc>
          <w:tcPr>
            <w:tcW w:w="960" w:type="dxa"/>
            <w:noWrap/>
            <w:hideMark/>
          </w:tcPr>
          <w:p w14:paraId="61A568C0" w14:textId="77777777" w:rsidR="00E35B5F" w:rsidRPr="00E1542F" w:rsidRDefault="00E35B5F" w:rsidP="00E35B5F">
            <w:pPr>
              <w:rPr>
                <w:lang w:val="en-US"/>
              </w:rPr>
            </w:pPr>
            <w:r w:rsidRPr="00E1542F">
              <w:rPr>
                <w:lang w:val="en-US"/>
              </w:rPr>
              <w:t xml:space="preserve"> Sub-National</w:t>
            </w:r>
          </w:p>
        </w:tc>
        <w:tc>
          <w:tcPr>
            <w:tcW w:w="904" w:type="dxa"/>
            <w:noWrap/>
            <w:hideMark/>
          </w:tcPr>
          <w:p w14:paraId="21B06784" w14:textId="77777777" w:rsidR="00E35B5F" w:rsidRPr="00E1542F" w:rsidRDefault="00E35B5F" w:rsidP="00E35B5F">
            <w:pPr>
              <w:rPr>
                <w:lang w:val="en-US"/>
              </w:rPr>
            </w:pPr>
            <w:r w:rsidRPr="00E1542F">
              <w:rPr>
                <w:lang w:val="en-US"/>
              </w:rPr>
              <w:t>Planned</w:t>
            </w:r>
          </w:p>
        </w:tc>
        <w:tc>
          <w:tcPr>
            <w:tcW w:w="1196" w:type="dxa"/>
            <w:noWrap/>
            <w:hideMark/>
          </w:tcPr>
          <w:p w14:paraId="077FFDA9" w14:textId="3B829BCF" w:rsidR="00E35B5F" w:rsidRPr="00E1542F" w:rsidRDefault="00E35B5F" w:rsidP="00E35B5F">
            <w:pPr>
              <w:rPr>
                <w:lang w:val="en-US"/>
              </w:rPr>
            </w:pPr>
            <w:r w:rsidRPr="00E1542F">
              <w:rPr>
                <w:lang w:val="en-US"/>
              </w:rPr>
              <w:t>4</w:t>
            </w:r>
            <w:r w:rsidR="00E1542F" w:rsidRPr="00E1542F">
              <w:rPr>
                <w:lang w:val="en-US"/>
              </w:rPr>
              <w:t>,</w:t>
            </w:r>
            <w:r w:rsidRPr="00E1542F">
              <w:rPr>
                <w:lang w:val="en-US"/>
              </w:rPr>
              <w:t>043</w:t>
            </w:r>
            <w:r w:rsidR="00E1542F" w:rsidRPr="00E1542F">
              <w:rPr>
                <w:lang w:val="en-US"/>
              </w:rPr>
              <w:t>,</w:t>
            </w:r>
            <w:r w:rsidRPr="00E1542F">
              <w:rPr>
                <w:lang w:val="en-US"/>
              </w:rPr>
              <w:t>159</w:t>
            </w:r>
          </w:p>
        </w:tc>
      </w:tr>
      <w:tr w:rsidR="00E35B5F" w:rsidRPr="00E1542F" w14:paraId="10893AB0" w14:textId="77777777" w:rsidTr="00E1542F">
        <w:trPr>
          <w:trHeight w:val="255"/>
        </w:trPr>
        <w:tc>
          <w:tcPr>
            <w:tcW w:w="1127" w:type="dxa"/>
            <w:noWrap/>
            <w:hideMark/>
          </w:tcPr>
          <w:p w14:paraId="41B5E959" w14:textId="77777777" w:rsidR="00E35B5F" w:rsidRPr="00E1542F" w:rsidRDefault="00E35B5F" w:rsidP="00E35B5F">
            <w:pPr>
              <w:rPr>
                <w:lang w:val="en-US"/>
              </w:rPr>
            </w:pPr>
            <w:r w:rsidRPr="00E1542F">
              <w:rPr>
                <w:lang w:val="en-US"/>
              </w:rPr>
              <w:t>NID</w:t>
            </w:r>
          </w:p>
        </w:tc>
        <w:tc>
          <w:tcPr>
            <w:tcW w:w="1267" w:type="dxa"/>
            <w:noWrap/>
            <w:hideMark/>
          </w:tcPr>
          <w:p w14:paraId="7AC5CA9A" w14:textId="77777777" w:rsidR="00E35B5F" w:rsidRPr="00E1542F" w:rsidRDefault="00E35B5F" w:rsidP="00E35B5F">
            <w:pPr>
              <w:rPr>
                <w:lang w:val="en-US"/>
              </w:rPr>
            </w:pPr>
            <w:r w:rsidRPr="00E1542F">
              <w:rPr>
                <w:lang w:val="en-US"/>
              </w:rPr>
              <w:t>tOPV</w:t>
            </w:r>
          </w:p>
        </w:tc>
        <w:tc>
          <w:tcPr>
            <w:tcW w:w="756" w:type="dxa"/>
            <w:noWrap/>
            <w:hideMark/>
          </w:tcPr>
          <w:p w14:paraId="10FA7CE5" w14:textId="77777777" w:rsidR="00E35B5F" w:rsidRPr="00E1542F" w:rsidRDefault="00E35B5F" w:rsidP="00E35B5F">
            <w:pPr>
              <w:rPr>
                <w:lang w:val="en-US"/>
              </w:rPr>
            </w:pPr>
            <w:r w:rsidRPr="00E1542F">
              <w:rPr>
                <w:lang w:val="en-US"/>
              </w:rPr>
              <w:t>2016</w:t>
            </w:r>
          </w:p>
        </w:tc>
        <w:tc>
          <w:tcPr>
            <w:tcW w:w="1220" w:type="dxa"/>
            <w:noWrap/>
            <w:hideMark/>
          </w:tcPr>
          <w:p w14:paraId="749615E9" w14:textId="77777777" w:rsidR="00E35B5F" w:rsidRPr="00E1542F" w:rsidRDefault="00E35B5F" w:rsidP="00E35B5F">
            <w:pPr>
              <w:rPr>
                <w:lang w:val="en-US"/>
              </w:rPr>
            </w:pPr>
            <w:r w:rsidRPr="00E1542F">
              <w:rPr>
                <w:lang w:val="en-US"/>
              </w:rPr>
              <w:t>01/03/2016</w:t>
            </w:r>
          </w:p>
        </w:tc>
        <w:tc>
          <w:tcPr>
            <w:tcW w:w="1220" w:type="dxa"/>
            <w:noWrap/>
            <w:hideMark/>
          </w:tcPr>
          <w:p w14:paraId="3CD378BE" w14:textId="77777777" w:rsidR="00E35B5F" w:rsidRPr="00E1542F" w:rsidRDefault="00E35B5F" w:rsidP="00E35B5F">
            <w:pPr>
              <w:rPr>
                <w:lang w:val="en-US"/>
              </w:rPr>
            </w:pPr>
            <w:r w:rsidRPr="00E1542F">
              <w:rPr>
                <w:lang w:val="en-US"/>
              </w:rPr>
              <w:t>01/03/2016</w:t>
            </w:r>
          </w:p>
        </w:tc>
        <w:tc>
          <w:tcPr>
            <w:tcW w:w="1070" w:type="dxa"/>
            <w:noWrap/>
            <w:hideMark/>
          </w:tcPr>
          <w:p w14:paraId="17CBD67C" w14:textId="77777777" w:rsidR="00E35B5F" w:rsidRPr="00E1542F" w:rsidRDefault="00E35B5F" w:rsidP="00E35B5F">
            <w:pPr>
              <w:rPr>
                <w:lang w:val="en-US"/>
              </w:rPr>
            </w:pPr>
            <w:r w:rsidRPr="00E1542F">
              <w:rPr>
                <w:lang w:val="en-US"/>
              </w:rPr>
              <w:t>0 to 5 years</w:t>
            </w:r>
          </w:p>
        </w:tc>
        <w:tc>
          <w:tcPr>
            <w:tcW w:w="960" w:type="dxa"/>
            <w:noWrap/>
            <w:hideMark/>
          </w:tcPr>
          <w:p w14:paraId="01F01523" w14:textId="77777777" w:rsidR="00E35B5F" w:rsidRPr="00E1542F" w:rsidRDefault="00E35B5F" w:rsidP="00E35B5F">
            <w:pPr>
              <w:rPr>
                <w:lang w:val="en-US"/>
              </w:rPr>
            </w:pPr>
            <w:r w:rsidRPr="00E1542F">
              <w:rPr>
                <w:lang w:val="en-US"/>
              </w:rPr>
              <w:t>National</w:t>
            </w:r>
          </w:p>
        </w:tc>
        <w:tc>
          <w:tcPr>
            <w:tcW w:w="904" w:type="dxa"/>
            <w:noWrap/>
            <w:hideMark/>
          </w:tcPr>
          <w:p w14:paraId="72679B21" w14:textId="77777777" w:rsidR="00E35B5F" w:rsidRPr="00E1542F" w:rsidRDefault="00E35B5F" w:rsidP="00E35B5F">
            <w:pPr>
              <w:rPr>
                <w:lang w:val="en-US"/>
              </w:rPr>
            </w:pPr>
            <w:r w:rsidRPr="00E1542F">
              <w:rPr>
                <w:lang w:val="en-US"/>
              </w:rPr>
              <w:t>Planned</w:t>
            </w:r>
          </w:p>
        </w:tc>
        <w:tc>
          <w:tcPr>
            <w:tcW w:w="1196" w:type="dxa"/>
            <w:noWrap/>
            <w:hideMark/>
          </w:tcPr>
          <w:p w14:paraId="0BB742C5" w14:textId="47E50960" w:rsidR="00E35B5F" w:rsidRPr="00E1542F" w:rsidRDefault="00E35B5F" w:rsidP="00E35B5F">
            <w:pPr>
              <w:rPr>
                <w:lang w:val="en-US"/>
              </w:rPr>
            </w:pPr>
            <w:r w:rsidRPr="00E1542F">
              <w:rPr>
                <w:lang w:val="en-US"/>
              </w:rPr>
              <w:t>12</w:t>
            </w:r>
            <w:r w:rsidR="00E1542F" w:rsidRPr="00E1542F">
              <w:rPr>
                <w:lang w:val="en-US"/>
              </w:rPr>
              <w:t>,</w:t>
            </w:r>
            <w:r w:rsidRPr="00E1542F">
              <w:rPr>
                <w:lang w:val="en-US"/>
              </w:rPr>
              <w:t>251</w:t>
            </w:r>
            <w:r w:rsidR="00E1542F" w:rsidRPr="00E1542F">
              <w:rPr>
                <w:lang w:val="en-US"/>
              </w:rPr>
              <w:t>,</w:t>
            </w:r>
            <w:r w:rsidRPr="00E1542F">
              <w:rPr>
                <w:lang w:val="en-US"/>
              </w:rPr>
              <w:t>996</w:t>
            </w:r>
          </w:p>
        </w:tc>
      </w:tr>
      <w:tr w:rsidR="00E35B5F" w:rsidRPr="00E1542F" w14:paraId="7569CEE5" w14:textId="77777777" w:rsidTr="00E1542F">
        <w:trPr>
          <w:trHeight w:val="255"/>
        </w:trPr>
        <w:tc>
          <w:tcPr>
            <w:tcW w:w="1127" w:type="dxa"/>
            <w:noWrap/>
            <w:hideMark/>
          </w:tcPr>
          <w:p w14:paraId="7B9D3179" w14:textId="7A1281F2" w:rsidR="00E35B5F" w:rsidRPr="00E1542F" w:rsidRDefault="00E35B5F" w:rsidP="00E35B5F">
            <w:pPr>
              <w:rPr>
                <w:lang w:val="en-US"/>
              </w:rPr>
            </w:pPr>
            <w:r w:rsidRPr="00E1542F">
              <w:rPr>
                <w:lang w:val="en-US"/>
              </w:rPr>
              <w:t>Follow</w:t>
            </w:r>
            <w:r w:rsidR="00E1542F" w:rsidRPr="00E1542F">
              <w:rPr>
                <w:lang w:val="en-US"/>
              </w:rPr>
              <w:t xml:space="preserve"> </w:t>
            </w:r>
            <w:r w:rsidRPr="00E1542F">
              <w:rPr>
                <w:lang w:val="en-US"/>
              </w:rPr>
              <w:t>Up</w:t>
            </w:r>
          </w:p>
        </w:tc>
        <w:tc>
          <w:tcPr>
            <w:tcW w:w="1267" w:type="dxa"/>
            <w:noWrap/>
            <w:hideMark/>
          </w:tcPr>
          <w:p w14:paraId="587FF05B" w14:textId="77777777" w:rsidR="00E35B5F" w:rsidRPr="00E1542F" w:rsidRDefault="00E35B5F" w:rsidP="00E35B5F">
            <w:pPr>
              <w:rPr>
                <w:lang w:val="en-US"/>
              </w:rPr>
            </w:pPr>
            <w:r w:rsidRPr="00E1542F">
              <w:rPr>
                <w:lang w:val="en-US"/>
              </w:rPr>
              <w:t>Measles</w:t>
            </w:r>
          </w:p>
        </w:tc>
        <w:tc>
          <w:tcPr>
            <w:tcW w:w="756" w:type="dxa"/>
            <w:noWrap/>
            <w:hideMark/>
          </w:tcPr>
          <w:p w14:paraId="3F34C793" w14:textId="77777777" w:rsidR="00E35B5F" w:rsidRPr="00E1542F" w:rsidRDefault="00E35B5F" w:rsidP="00E35B5F">
            <w:pPr>
              <w:rPr>
                <w:lang w:val="en-US"/>
              </w:rPr>
            </w:pPr>
            <w:r w:rsidRPr="00E1542F">
              <w:rPr>
                <w:lang w:val="en-US"/>
              </w:rPr>
              <w:t>2016</w:t>
            </w:r>
          </w:p>
        </w:tc>
        <w:tc>
          <w:tcPr>
            <w:tcW w:w="1220" w:type="dxa"/>
            <w:noWrap/>
            <w:hideMark/>
          </w:tcPr>
          <w:p w14:paraId="66D9172F" w14:textId="77777777" w:rsidR="00E35B5F" w:rsidRPr="00E1542F" w:rsidRDefault="00E35B5F" w:rsidP="00E35B5F">
            <w:pPr>
              <w:rPr>
                <w:lang w:val="en-US"/>
              </w:rPr>
            </w:pPr>
            <w:r w:rsidRPr="00E1542F">
              <w:rPr>
                <w:lang w:val="en-US"/>
              </w:rPr>
              <w:t>01/10/2016</w:t>
            </w:r>
          </w:p>
        </w:tc>
        <w:tc>
          <w:tcPr>
            <w:tcW w:w="1220" w:type="dxa"/>
            <w:noWrap/>
            <w:hideMark/>
          </w:tcPr>
          <w:p w14:paraId="315B5C89" w14:textId="77777777" w:rsidR="00E35B5F" w:rsidRPr="00E1542F" w:rsidRDefault="00E35B5F" w:rsidP="00E35B5F">
            <w:pPr>
              <w:rPr>
                <w:lang w:val="en-US"/>
              </w:rPr>
            </w:pPr>
            <w:r w:rsidRPr="00E1542F">
              <w:rPr>
                <w:lang w:val="en-US"/>
              </w:rPr>
              <w:t>31/10/2016</w:t>
            </w:r>
          </w:p>
        </w:tc>
        <w:tc>
          <w:tcPr>
            <w:tcW w:w="1070" w:type="dxa"/>
            <w:noWrap/>
            <w:hideMark/>
          </w:tcPr>
          <w:p w14:paraId="18F9D448" w14:textId="0C0FF2B5" w:rsidR="00E35B5F" w:rsidRPr="00E1542F" w:rsidRDefault="00E35B5F" w:rsidP="00E1542F">
            <w:pPr>
              <w:rPr>
                <w:lang w:val="en-US"/>
              </w:rPr>
            </w:pPr>
            <w:r w:rsidRPr="00E1542F">
              <w:rPr>
                <w:lang w:val="en-US"/>
              </w:rPr>
              <w:t xml:space="preserve">9 </w:t>
            </w:r>
            <w:r w:rsidR="00E1542F">
              <w:rPr>
                <w:lang w:val="en-US"/>
              </w:rPr>
              <w:t>months to 14 years</w:t>
            </w:r>
          </w:p>
        </w:tc>
        <w:tc>
          <w:tcPr>
            <w:tcW w:w="960" w:type="dxa"/>
            <w:noWrap/>
            <w:hideMark/>
          </w:tcPr>
          <w:p w14:paraId="43517FD5" w14:textId="77777777" w:rsidR="00E35B5F" w:rsidRPr="00E1542F" w:rsidRDefault="00E35B5F" w:rsidP="00E35B5F">
            <w:pPr>
              <w:rPr>
                <w:lang w:val="en-US"/>
              </w:rPr>
            </w:pPr>
            <w:r w:rsidRPr="00E1542F">
              <w:rPr>
                <w:lang w:val="en-US"/>
              </w:rPr>
              <w:t>Sub-national</w:t>
            </w:r>
          </w:p>
        </w:tc>
        <w:tc>
          <w:tcPr>
            <w:tcW w:w="904" w:type="dxa"/>
            <w:noWrap/>
            <w:hideMark/>
          </w:tcPr>
          <w:p w14:paraId="28A1F8A1" w14:textId="77777777" w:rsidR="00E35B5F" w:rsidRPr="00E1542F" w:rsidRDefault="00E35B5F" w:rsidP="00E35B5F">
            <w:pPr>
              <w:rPr>
                <w:lang w:val="en-US"/>
              </w:rPr>
            </w:pPr>
            <w:r w:rsidRPr="00E1542F">
              <w:rPr>
                <w:lang w:val="en-US"/>
              </w:rPr>
              <w:t>planned</w:t>
            </w:r>
          </w:p>
        </w:tc>
        <w:tc>
          <w:tcPr>
            <w:tcW w:w="1196" w:type="dxa"/>
            <w:noWrap/>
            <w:hideMark/>
          </w:tcPr>
          <w:p w14:paraId="68CC01B1" w14:textId="3EBEEE8D" w:rsidR="00E35B5F" w:rsidRPr="00E1542F" w:rsidRDefault="00E35B5F" w:rsidP="00E35B5F">
            <w:pPr>
              <w:rPr>
                <w:lang w:val="en-US"/>
              </w:rPr>
            </w:pPr>
            <w:r w:rsidRPr="00E1542F">
              <w:rPr>
                <w:lang w:val="en-US"/>
              </w:rPr>
              <w:t>11</w:t>
            </w:r>
            <w:r w:rsidR="00E1542F" w:rsidRPr="00E1542F">
              <w:rPr>
                <w:lang w:val="en-US"/>
              </w:rPr>
              <w:t>,</w:t>
            </w:r>
            <w:r w:rsidRPr="00E1542F">
              <w:rPr>
                <w:lang w:val="en-US"/>
              </w:rPr>
              <w:t>777</w:t>
            </w:r>
            <w:r w:rsidR="00E1542F" w:rsidRPr="00E1542F">
              <w:rPr>
                <w:lang w:val="en-US"/>
              </w:rPr>
              <w:t>,</w:t>
            </w:r>
            <w:r w:rsidRPr="00E1542F">
              <w:rPr>
                <w:lang w:val="en-US"/>
              </w:rPr>
              <w:t>083</w:t>
            </w:r>
          </w:p>
        </w:tc>
      </w:tr>
      <w:tr w:rsidR="00E35B5F" w:rsidRPr="00E1542F" w14:paraId="15F5C3F0" w14:textId="77777777" w:rsidTr="00E1542F">
        <w:trPr>
          <w:trHeight w:val="255"/>
        </w:trPr>
        <w:tc>
          <w:tcPr>
            <w:tcW w:w="1127" w:type="dxa"/>
            <w:noWrap/>
            <w:hideMark/>
          </w:tcPr>
          <w:p w14:paraId="77332119" w14:textId="77777777" w:rsidR="00E35B5F" w:rsidRPr="00E1542F" w:rsidRDefault="00E35B5F" w:rsidP="00E35B5F">
            <w:pPr>
              <w:rPr>
                <w:lang w:val="en-US"/>
              </w:rPr>
            </w:pPr>
            <w:r w:rsidRPr="00E1542F">
              <w:rPr>
                <w:lang w:val="en-US"/>
              </w:rPr>
              <w:t>SNID</w:t>
            </w:r>
          </w:p>
        </w:tc>
        <w:tc>
          <w:tcPr>
            <w:tcW w:w="1267" w:type="dxa"/>
            <w:noWrap/>
            <w:hideMark/>
          </w:tcPr>
          <w:p w14:paraId="7F89AA4C" w14:textId="77777777" w:rsidR="00E35B5F" w:rsidRPr="00E1542F" w:rsidRDefault="00E35B5F" w:rsidP="00E35B5F">
            <w:pPr>
              <w:rPr>
                <w:lang w:val="en-US"/>
              </w:rPr>
            </w:pPr>
            <w:r w:rsidRPr="00E1542F">
              <w:rPr>
                <w:lang w:val="en-US"/>
              </w:rPr>
              <w:t>bOPV</w:t>
            </w:r>
          </w:p>
        </w:tc>
        <w:tc>
          <w:tcPr>
            <w:tcW w:w="756" w:type="dxa"/>
            <w:noWrap/>
            <w:hideMark/>
          </w:tcPr>
          <w:p w14:paraId="5F572D4E" w14:textId="77777777" w:rsidR="00E35B5F" w:rsidRPr="00E1542F" w:rsidRDefault="00E35B5F" w:rsidP="00E35B5F">
            <w:pPr>
              <w:rPr>
                <w:lang w:val="en-US"/>
              </w:rPr>
            </w:pPr>
            <w:r w:rsidRPr="00E1542F">
              <w:rPr>
                <w:lang w:val="en-US"/>
              </w:rPr>
              <w:t>2016</w:t>
            </w:r>
          </w:p>
        </w:tc>
        <w:tc>
          <w:tcPr>
            <w:tcW w:w="1220" w:type="dxa"/>
            <w:noWrap/>
            <w:hideMark/>
          </w:tcPr>
          <w:p w14:paraId="2E71E161" w14:textId="77777777" w:rsidR="00E35B5F" w:rsidRPr="00E1542F" w:rsidRDefault="00E35B5F" w:rsidP="00E35B5F">
            <w:pPr>
              <w:rPr>
                <w:lang w:val="en-US"/>
              </w:rPr>
            </w:pPr>
            <w:r w:rsidRPr="00E1542F">
              <w:rPr>
                <w:lang w:val="en-US"/>
              </w:rPr>
              <w:t>01/05/2016</w:t>
            </w:r>
          </w:p>
        </w:tc>
        <w:tc>
          <w:tcPr>
            <w:tcW w:w="1220" w:type="dxa"/>
            <w:noWrap/>
            <w:hideMark/>
          </w:tcPr>
          <w:p w14:paraId="61E00A1F" w14:textId="77777777" w:rsidR="00E35B5F" w:rsidRPr="00E1542F" w:rsidRDefault="00E35B5F" w:rsidP="00E35B5F">
            <w:pPr>
              <w:rPr>
                <w:lang w:val="en-US"/>
              </w:rPr>
            </w:pPr>
            <w:r w:rsidRPr="00E1542F">
              <w:rPr>
                <w:lang w:val="en-US"/>
              </w:rPr>
              <w:t>01/05/2016</w:t>
            </w:r>
          </w:p>
        </w:tc>
        <w:tc>
          <w:tcPr>
            <w:tcW w:w="1070" w:type="dxa"/>
            <w:noWrap/>
            <w:hideMark/>
          </w:tcPr>
          <w:p w14:paraId="6AF136D4" w14:textId="77777777" w:rsidR="00E35B5F" w:rsidRPr="00E1542F" w:rsidRDefault="00E35B5F" w:rsidP="00E35B5F">
            <w:pPr>
              <w:rPr>
                <w:lang w:val="en-US"/>
              </w:rPr>
            </w:pPr>
            <w:r w:rsidRPr="00E1542F">
              <w:rPr>
                <w:lang w:val="en-US"/>
              </w:rPr>
              <w:t>0 to 5 years</w:t>
            </w:r>
          </w:p>
        </w:tc>
        <w:tc>
          <w:tcPr>
            <w:tcW w:w="960" w:type="dxa"/>
            <w:noWrap/>
            <w:hideMark/>
          </w:tcPr>
          <w:p w14:paraId="42D14E9D" w14:textId="77777777" w:rsidR="00E35B5F" w:rsidRPr="00E1542F" w:rsidRDefault="00E35B5F" w:rsidP="00E35B5F">
            <w:pPr>
              <w:rPr>
                <w:lang w:val="en-US"/>
              </w:rPr>
            </w:pPr>
            <w:r w:rsidRPr="00E1542F">
              <w:rPr>
                <w:lang w:val="en-US"/>
              </w:rPr>
              <w:t xml:space="preserve"> Sub-National</w:t>
            </w:r>
          </w:p>
        </w:tc>
        <w:tc>
          <w:tcPr>
            <w:tcW w:w="904" w:type="dxa"/>
            <w:noWrap/>
            <w:hideMark/>
          </w:tcPr>
          <w:p w14:paraId="72C1B094" w14:textId="77777777" w:rsidR="00E35B5F" w:rsidRPr="00E1542F" w:rsidRDefault="00E35B5F" w:rsidP="00E35B5F">
            <w:pPr>
              <w:rPr>
                <w:lang w:val="en-US"/>
              </w:rPr>
            </w:pPr>
            <w:r w:rsidRPr="00E1542F">
              <w:rPr>
                <w:lang w:val="en-US"/>
              </w:rPr>
              <w:t>Planned</w:t>
            </w:r>
          </w:p>
        </w:tc>
        <w:tc>
          <w:tcPr>
            <w:tcW w:w="1196" w:type="dxa"/>
            <w:noWrap/>
            <w:hideMark/>
          </w:tcPr>
          <w:p w14:paraId="0BA00BEA" w14:textId="4DDDBDC2" w:rsidR="00E35B5F" w:rsidRPr="00E1542F" w:rsidRDefault="00E35B5F" w:rsidP="00E35B5F">
            <w:pPr>
              <w:rPr>
                <w:lang w:val="en-US"/>
              </w:rPr>
            </w:pPr>
            <w:r w:rsidRPr="00E1542F">
              <w:rPr>
                <w:lang w:val="en-US"/>
              </w:rPr>
              <w:t>3</w:t>
            </w:r>
            <w:r w:rsidR="00E1542F" w:rsidRPr="00E1542F">
              <w:rPr>
                <w:lang w:val="en-US"/>
              </w:rPr>
              <w:t>,</w:t>
            </w:r>
            <w:r w:rsidRPr="00E1542F">
              <w:rPr>
                <w:lang w:val="en-US"/>
              </w:rPr>
              <w:t>732</w:t>
            </w:r>
            <w:r w:rsidR="00E1542F" w:rsidRPr="00E1542F">
              <w:rPr>
                <w:lang w:val="en-US"/>
              </w:rPr>
              <w:t>,</w:t>
            </w:r>
            <w:r w:rsidRPr="00E1542F">
              <w:rPr>
                <w:lang w:val="en-US"/>
              </w:rPr>
              <w:t>146</w:t>
            </w:r>
          </w:p>
        </w:tc>
      </w:tr>
      <w:tr w:rsidR="00E35B5F" w:rsidRPr="00E1542F" w14:paraId="47D342BC" w14:textId="77777777" w:rsidTr="00E1542F">
        <w:trPr>
          <w:trHeight w:val="255"/>
        </w:trPr>
        <w:tc>
          <w:tcPr>
            <w:tcW w:w="1127" w:type="dxa"/>
            <w:noWrap/>
            <w:hideMark/>
          </w:tcPr>
          <w:p w14:paraId="106A7CF2" w14:textId="77777777" w:rsidR="00E35B5F" w:rsidRPr="00E1542F" w:rsidRDefault="00E35B5F" w:rsidP="00E35B5F">
            <w:pPr>
              <w:rPr>
                <w:lang w:val="en-US"/>
              </w:rPr>
            </w:pPr>
            <w:r w:rsidRPr="00E1542F">
              <w:rPr>
                <w:lang w:val="en-US"/>
              </w:rPr>
              <w:t>SNID</w:t>
            </w:r>
          </w:p>
        </w:tc>
        <w:tc>
          <w:tcPr>
            <w:tcW w:w="1267" w:type="dxa"/>
            <w:noWrap/>
            <w:hideMark/>
          </w:tcPr>
          <w:p w14:paraId="60481093" w14:textId="77777777" w:rsidR="00E35B5F" w:rsidRPr="00E1542F" w:rsidRDefault="00E35B5F" w:rsidP="00E35B5F">
            <w:pPr>
              <w:rPr>
                <w:lang w:val="en-US"/>
              </w:rPr>
            </w:pPr>
            <w:r w:rsidRPr="00E1542F">
              <w:rPr>
                <w:lang w:val="en-US"/>
              </w:rPr>
              <w:t>bOPV</w:t>
            </w:r>
          </w:p>
        </w:tc>
        <w:tc>
          <w:tcPr>
            <w:tcW w:w="756" w:type="dxa"/>
            <w:noWrap/>
            <w:hideMark/>
          </w:tcPr>
          <w:p w14:paraId="47B0CE3D" w14:textId="77777777" w:rsidR="00E35B5F" w:rsidRPr="00E1542F" w:rsidRDefault="00E35B5F" w:rsidP="00E35B5F">
            <w:pPr>
              <w:rPr>
                <w:lang w:val="en-US"/>
              </w:rPr>
            </w:pPr>
            <w:r w:rsidRPr="00E1542F">
              <w:rPr>
                <w:lang w:val="en-US"/>
              </w:rPr>
              <w:t>2016</w:t>
            </w:r>
          </w:p>
        </w:tc>
        <w:tc>
          <w:tcPr>
            <w:tcW w:w="1220" w:type="dxa"/>
            <w:noWrap/>
            <w:hideMark/>
          </w:tcPr>
          <w:p w14:paraId="64E4D725" w14:textId="77777777" w:rsidR="00E35B5F" w:rsidRPr="00E1542F" w:rsidRDefault="00E35B5F" w:rsidP="00E35B5F">
            <w:pPr>
              <w:rPr>
                <w:lang w:val="en-US"/>
              </w:rPr>
            </w:pPr>
            <w:r w:rsidRPr="00E1542F">
              <w:rPr>
                <w:lang w:val="en-US"/>
              </w:rPr>
              <w:t>01/09/2016</w:t>
            </w:r>
          </w:p>
        </w:tc>
        <w:tc>
          <w:tcPr>
            <w:tcW w:w="1220" w:type="dxa"/>
            <w:noWrap/>
            <w:hideMark/>
          </w:tcPr>
          <w:p w14:paraId="3A1E903E" w14:textId="77777777" w:rsidR="00E35B5F" w:rsidRPr="00E1542F" w:rsidRDefault="00E35B5F" w:rsidP="00E35B5F">
            <w:pPr>
              <w:rPr>
                <w:lang w:val="en-US"/>
              </w:rPr>
            </w:pPr>
            <w:r w:rsidRPr="00E1542F">
              <w:rPr>
                <w:lang w:val="en-US"/>
              </w:rPr>
              <w:t>01/09/2016</w:t>
            </w:r>
          </w:p>
        </w:tc>
        <w:tc>
          <w:tcPr>
            <w:tcW w:w="1070" w:type="dxa"/>
            <w:noWrap/>
            <w:hideMark/>
          </w:tcPr>
          <w:p w14:paraId="41906048" w14:textId="77777777" w:rsidR="00E35B5F" w:rsidRPr="00E1542F" w:rsidRDefault="00E35B5F" w:rsidP="00E35B5F">
            <w:pPr>
              <w:rPr>
                <w:lang w:val="en-US"/>
              </w:rPr>
            </w:pPr>
            <w:r w:rsidRPr="00E1542F">
              <w:rPr>
                <w:lang w:val="en-US"/>
              </w:rPr>
              <w:t>0 to 5 years</w:t>
            </w:r>
          </w:p>
        </w:tc>
        <w:tc>
          <w:tcPr>
            <w:tcW w:w="960" w:type="dxa"/>
            <w:noWrap/>
            <w:hideMark/>
          </w:tcPr>
          <w:p w14:paraId="5ACA881D" w14:textId="77777777" w:rsidR="00E35B5F" w:rsidRPr="00E1542F" w:rsidRDefault="00E35B5F" w:rsidP="00E35B5F">
            <w:pPr>
              <w:rPr>
                <w:lang w:val="en-US"/>
              </w:rPr>
            </w:pPr>
            <w:r w:rsidRPr="00E1542F">
              <w:rPr>
                <w:lang w:val="en-US"/>
              </w:rPr>
              <w:t xml:space="preserve"> Sub-National</w:t>
            </w:r>
          </w:p>
        </w:tc>
        <w:tc>
          <w:tcPr>
            <w:tcW w:w="904" w:type="dxa"/>
            <w:noWrap/>
            <w:hideMark/>
          </w:tcPr>
          <w:p w14:paraId="26D4B833" w14:textId="77777777" w:rsidR="00E35B5F" w:rsidRPr="00E1542F" w:rsidRDefault="00E35B5F" w:rsidP="00E35B5F">
            <w:pPr>
              <w:rPr>
                <w:lang w:val="en-US"/>
              </w:rPr>
            </w:pPr>
            <w:r w:rsidRPr="00E1542F">
              <w:rPr>
                <w:lang w:val="en-US"/>
              </w:rPr>
              <w:t>Planned</w:t>
            </w:r>
          </w:p>
        </w:tc>
        <w:tc>
          <w:tcPr>
            <w:tcW w:w="1196" w:type="dxa"/>
            <w:noWrap/>
            <w:hideMark/>
          </w:tcPr>
          <w:p w14:paraId="49AB3313" w14:textId="0F4E3B76" w:rsidR="00E35B5F" w:rsidRPr="00E1542F" w:rsidRDefault="00E35B5F" w:rsidP="00E35B5F">
            <w:pPr>
              <w:rPr>
                <w:lang w:val="en-US"/>
              </w:rPr>
            </w:pPr>
            <w:r w:rsidRPr="00E1542F">
              <w:rPr>
                <w:lang w:val="en-US"/>
              </w:rPr>
              <w:t>4</w:t>
            </w:r>
            <w:r w:rsidR="00E1542F" w:rsidRPr="00E1542F">
              <w:rPr>
                <w:lang w:val="en-US"/>
              </w:rPr>
              <w:t>,</w:t>
            </w:r>
            <w:r w:rsidRPr="00E1542F">
              <w:rPr>
                <w:lang w:val="en-US"/>
              </w:rPr>
              <w:t>043</w:t>
            </w:r>
            <w:r w:rsidR="00E1542F" w:rsidRPr="00E1542F">
              <w:rPr>
                <w:lang w:val="en-US"/>
              </w:rPr>
              <w:t>,</w:t>
            </w:r>
            <w:r w:rsidRPr="00E1542F">
              <w:rPr>
                <w:lang w:val="en-US"/>
              </w:rPr>
              <w:t>159</w:t>
            </w:r>
          </w:p>
        </w:tc>
      </w:tr>
    </w:tbl>
    <w:p w14:paraId="602C0050" w14:textId="11F1F179" w:rsidR="00D27284" w:rsidRPr="006140E6" w:rsidRDefault="00D27284" w:rsidP="00E35B5F">
      <w:pPr>
        <w:rPr>
          <w:lang w:val="en-US"/>
        </w:rPr>
      </w:pPr>
      <w:r w:rsidRPr="006140E6">
        <w:rPr>
          <w:lang w:val="en-US"/>
        </w:rPr>
        <w:t>Source: WHO/IVB Database as at 12/4/2016</w:t>
      </w:r>
    </w:p>
    <w:p w14:paraId="1314DAE0" w14:textId="77777777" w:rsidR="00D27284" w:rsidRPr="006140E6" w:rsidRDefault="00D27284" w:rsidP="00D27284">
      <w:pPr>
        <w:rPr>
          <w:lang w:val="en-US"/>
        </w:rPr>
      </w:pPr>
    </w:p>
    <w:p w14:paraId="221D86BD" w14:textId="77777777" w:rsidR="00D27284" w:rsidRPr="00061C69" w:rsidRDefault="00D27284" w:rsidP="00D27284">
      <w:pPr>
        <w:pStyle w:val="ListParagraph"/>
        <w:numPr>
          <w:ilvl w:val="0"/>
          <w:numId w:val="22"/>
        </w:numPr>
        <w:rPr>
          <w:b/>
          <w:lang w:val="en-US"/>
        </w:rPr>
      </w:pPr>
      <w:r w:rsidRPr="00061C69">
        <w:rPr>
          <w:b/>
          <w:bCs/>
          <w:lang w:val="en-US"/>
        </w:rPr>
        <w:t xml:space="preserve">MNT </w:t>
      </w:r>
    </w:p>
    <w:p w14:paraId="20AB80DC" w14:textId="3933E054" w:rsidR="00D27284" w:rsidRPr="006140E6" w:rsidRDefault="00E35B5F" w:rsidP="00E35B5F">
      <w:pPr>
        <w:pStyle w:val="ListParagraph"/>
        <w:numPr>
          <w:ilvl w:val="0"/>
          <w:numId w:val="25"/>
        </w:numPr>
        <w:rPr>
          <w:lang w:val="en-US"/>
        </w:rPr>
      </w:pPr>
      <w:r w:rsidRPr="006140E6">
        <w:rPr>
          <w:b/>
          <w:bCs/>
          <w:lang w:val="en-US"/>
        </w:rPr>
        <w:t>partial validation in 2011 (remaining Somali Region likely before the end of 2016)</w:t>
      </w:r>
    </w:p>
    <w:p w14:paraId="1631D96D" w14:textId="77777777" w:rsidR="00E35B5F" w:rsidRPr="006140E6" w:rsidRDefault="00E35B5F" w:rsidP="00E35B5F">
      <w:pPr>
        <w:pStyle w:val="ListParagraph"/>
        <w:rPr>
          <w:b/>
          <w:bCs/>
          <w:lang w:val="en-US"/>
        </w:rPr>
      </w:pPr>
    </w:p>
    <w:p w14:paraId="26DF10DF" w14:textId="77777777" w:rsidR="00D27284" w:rsidRPr="006140E6" w:rsidRDefault="00D27284" w:rsidP="00D27284">
      <w:pPr>
        <w:pStyle w:val="ListParagraph"/>
        <w:numPr>
          <w:ilvl w:val="0"/>
          <w:numId w:val="22"/>
        </w:numPr>
        <w:rPr>
          <w:b/>
          <w:bCs/>
          <w:lang w:val="en-US"/>
        </w:rPr>
      </w:pPr>
      <w:r w:rsidRPr="006140E6">
        <w:rPr>
          <w:b/>
          <w:bCs/>
          <w:lang w:val="en-US"/>
        </w:rPr>
        <w:t>Coverage and Equity</w:t>
      </w:r>
    </w:p>
    <w:p w14:paraId="3AA230C6" w14:textId="18CD855D" w:rsidR="001A55DB" w:rsidRPr="001A55DB" w:rsidRDefault="001A55DB" w:rsidP="001A55DB">
      <w:pPr>
        <w:pStyle w:val="Caption"/>
        <w:rPr>
          <w:rFonts w:ascii="Arial" w:hAnsi="Arial" w:cs="Arial"/>
          <w:color w:val="auto"/>
          <w:sz w:val="22"/>
          <w:szCs w:val="22"/>
        </w:rPr>
      </w:pPr>
      <w:r w:rsidRPr="001A55DB">
        <w:rPr>
          <w:rFonts w:ascii="Arial" w:hAnsi="Arial" w:cs="Arial"/>
          <w:color w:val="auto"/>
          <w:sz w:val="22"/>
          <w:szCs w:val="22"/>
        </w:rPr>
        <w:t xml:space="preserve">Figure </w:t>
      </w:r>
      <w:r w:rsidRPr="001A55DB">
        <w:rPr>
          <w:rFonts w:ascii="Arial" w:hAnsi="Arial" w:cs="Arial"/>
          <w:color w:val="auto"/>
          <w:sz w:val="22"/>
          <w:szCs w:val="22"/>
        </w:rPr>
        <w:fldChar w:fldCharType="begin"/>
      </w:r>
      <w:r w:rsidRPr="001A55DB">
        <w:rPr>
          <w:rFonts w:ascii="Arial" w:hAnsi="Arial" w:cs="Arial"/>
          <w:color w:val="auto"/>
          <w:sz w:val="22"/>
          <w:szCs w:val="22"/>
        </w:rPr>
        <w:instrText xml:space="preserve"> SEQ Figure \* ARABIC </w:instrText>
      </w:r>
      <w:r w:rsidRPr="001A55DB">
        <w:rPr>
          <w:rFonts w:ascii="Arial" w:hAnsi="Arial" w:cs="Arial"/>
          <w:color w:val="auto"/>
          <w:sz w:val="22"/>
          <w:szCs w:val="22"/>
        </w:rPr>
        <w:fldChar w:fldCharType="separate"/>
      </w:r>
      <w:r w:rsidR="00651A7C">
        <w:rPr>
          <w:rFonts w:ascii="Arial" w:hAnsi="Arial" w:cs="Arial"/>
          <w:noProof/>
          <w:color w:val="auto"/>
          <w:sz w:val="22"/>
          <w:szCs w:val="22"/>
        </w:rPr>
        <w:t>4</w:t>
      </w:r>
      <w:r w:rsidRPr="001A55DB">
        <w:rPr>
          <w:rFonts w:ascii="Arial" w:hAnsi="Arial" w:cs="Arial"/>
          <w:color w:val="auto"/>
          <w:sz w:val="22"/>
          <w:szCs w:val="22"/>
        </w:rPr>
        <w:fldChar w:fldCharType="end"/>
      </w:r>
      <w:r w:rsidRPr="001A55DB">
        <w:rPr>
          <w:rFonts w:ascii="Arial" w:hAnsi="Arial" w:cs="Arial"/>
          <w:color w:val="auto"/>
          <w:sz w:val="22"/>
          <w:szCs w:val="22"/>
        </w:rPr>
        <w:t xml:space="preserve">: </w:t>
      </w:r>
      <w:r w:rsidRPr="00C36384">
        <w:rPr>
          <w:rFonts w:ascii="Arial" w:hAnsi="Arial" w:cs="Arial"/>
          <w:color w:val="auto"/>
          <w:sz w:val="22"/>
          <w:szCs w:val="22"/>
        </w:rPr>
        <w:t xml:space="preserve">All vaccines national coverage, </w:t>
      </w:r>
      <w:r>
        <w:rPr>
          <w:rFonts w:ascii="Arial" w:hAnsi="Arial" w:cs="Arial"/>
          <w:color w:val="auto"/>
          <w:sz w:val="22"/>
          <w:szCs w:val="22"/>
        </w:rPr>
        <w:t>Ethiopia</w:t>
      </w:r>
      <w:r w:rsidRPr="00C36384">
        <w:rPr>
          <w:rFonts w:ascii="Arial" w:hAnsi="Arial" w:cs="Arial"/>
          <w:color w:val="auto"/>
          <w:sz w:val="22"/>
          <w:szCs w:val="22"/>
        </w:rPr>
        <w:t>, 2000-2015</w:t>
      </w:r>
    </w:p>
    <w:p w14:paraId="7B35E342" w14:textId="57B4347D" w:rsidR="001A55DB" w:rsidRDefault="001A55DB" w:rsidP="001A55DB">
      <w:pPr>
        <w:pStyle w:val="Caption"/>
      </w:pPr>
      <w:r>
        <w:rPr>
          <w:noProof/>
          <w:lang w:eastAsia="zh-CN"/>
        </w:rPr>
        <w:drawing>
          <wp:inline distT="0" distB="0" distL="0" distR="0" wp14:anchorId="31CFA240" wp14:editId="4CFD4559">
            <wp:extent cx="4354662" cy="3238500"/>
            <wp:effectExtent l="0" t="0" r="8255" b="0"/>
            <wp:docPr id="5" name="Picture 5" descr="D:\data\GVAP Reports\2016\3. Scrore Cards 2016\jan visualizations DTP3 per country\Punch cards per country\ethi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GVAP Reports\2016\3. Scrore Cards 2016\jan visualizations DTP3 per country\Punch cards per country\ethiopi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4662" cy="3238500"/>
                    </a:xfrm>
                    <a:prstGeom prst="rect">
                      <a:avLst/>
                    </a:prstGeom>
                    <a:noFill/>
                    <a:ln>
                      <a:noFill/>
                    </a:ln>
                  </pic:spPr>
                </pic:pic>
              </a:graphicData>
            </a:graphic>
          </wp:inline>
        </w:drawing>
      </w:r>
    </w:p>
    <w:p w14:paraId="41658C04" w14:textId="7C4A19EB" w:rsidR="001A55DB" w:rsidRDefault="00FF5786" w:rsidP="001A55DB">
      <w:pPr>
        <w:pStyle w:val="Caption"/>
        <w:rPr>
          <w:rFonts w:ascii="Arial" w:hAnsi="Arial" w:cs="Arial"/>
          <w:color w:val="auto"/>
          <w:sz w:val="22"/>
          <w:szCs w:val="22"/>
        </w:rPr>
      </w:pPr>
      <w:r>
        <w:rPr>
          <w:rFonts w:ascii="Arial" w:hAnsi="Arial" w:cs="Arial"/>
          <w:noProof/>
          <w:color w:val="auto"/>
          <w:sz w:val="22"/>
          <w:szCs w:val="22"/>
          <w:lang w:eastAsia="zh-CN"/>
        </w:rPr>
        <w:drawing>
          <wp:inline distT="0" distB="0" distL="0" distR="0" wp14:anchorId="66522B92" wp14:editId="341E9DD1">
            <wp:extent cx="4181475" cy="963900"/>
            <wp:effectExtent l="0" t="0" r="0" b="8255"/>
            <wp:docPr id="6" name="Picture 6" descr="D:\data\GVAP Reports\2016\3. Scrore Cards 2016\jan visualizations DTP3 per country\Punch cards per country\_legend-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GVAP Reports\2016\3. Scrore Cards 2016\jan visualizations DTP3 per country\Punch cards per country\_legend-punchc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1475" cy="963900"/>
                    </a:xfrm>
                    <a:prstGeom prst="rect">
                      <a:avLst/>
                    </a:prstGeom>
                    <a:noFill/>
                    <a:ln>
                      <a:noFill/>
                    </a:ln>
                  </pic:spPr>
                </pic:pic>
              </a:graphicData>
            </a:graphic>
          </wp:inline>
        </w:drawing>
      </w:r>
    </w:p>
    <w:p w14:paraId="5696F947" w14:textId="059E7F96" w:rsidR="00D27284" w:rsidRPr="001A55DB" w:rsidRDefault="001A55DB" w:rsidP="001A55DB">
      <w:pPr>
        <w:pStyle w:val="Caption"/>
        <w:rPr>
          <w:rFonts w:ascii="Arial" w:hAnsi="Arial" w:cs="Arial"/>
          <w:color w:val="auto"/>
          <w:sz w:val="22"/>
          <w:szCs w:val="22"/>
        </w:rPr>
      </w:pPr>
      <w:r w:rsidRPr="001A55DB">
        <w:rPr>
          <w:rFonts w:ascii="Arial" w:hAnsi="Arial" w:cs="Arial"/>
          <w:color w:val="auto"/>
          <w:sz w:val="22"/>
          <w:szCs w:val="22"/>
        </w:rPr>
        <w:t xml:space="preserve">Table </w:t>
      </w:r>
      <w:r w:rsidRPr="001A55DB">
        <w:rPr>
          <w:rFonts w:ascii="Arial" w:hAnsi="Arial" w:cs="Arial"/>
          <w:color w:val="auto"/>
          <w:sz w:val="22"/>
          <w:szCs w:val="22"/>
        </w:rPr>
        <w:fldChar w:fldCharType="begin"/>
      </w:r>
      <w:r w:rsidRPr="001A55DB">
        <w:rPr>
          <w:rFonts w:ascii="Arial" w:hAnsi="Arial" w:cs="Arial"/>
          <w:color w:val="auto"/>
          <w:sz w:val="22"/>
          <w:szCs w:val="22"/>
        </w:rPr>
        <w:instrText xml:space="preserve"> SEQ Table \* ARABIC </w:instrText>
      </w:r>
      <w:r w:rsidRPr="001A55DB">
        <w:rPr>
          <w:rFonts w:ascii="Arial" w:hAnsi="Arial" w:cs="Arial"/>
          <w:color w:val="auto"/>
          <w:sz w:val="22"/>
          <w:szCs w:val="22"/>
        </w:rPr>
        <w:fldChar w:fldCharType="separate"/>
      </w:r>
      <w:r w:rsidRPr="001A55DB">
        <w:rPr>
          <w:rFonts w:ascii="Arial" w:hAnsi="Arial" w:cs="Arial"/>
          <w:color w:val="auto"/>
          <w:sz w:val="22"/>
          <w:szCs w:val="22"/>
        </w:rPr>
        <w:t>2</w:t>
      </w:r>
      <w:r w:rsidRPr="001A55DB">
        <w:rPr>
          <w:rFonts w:ascii="Arial" w:hAnsi="Arial" w:cs="Arial"/>
          <w:color w:val="auto"/>
          <w:sz w:val="22"/>
          <w:szCs w:val="22"/>
        </w:rPr>
        <w:fldChar w:fldCharType="end"/>
      </w:r>
      <w:r w:rsidRPr="001A55DB">
        <w:rPr>
          <w:rFonts w:ascii="Arial" w:hAnsi="Arial" w:cs="Arial"/>
          <w:color w:val="auto"/>
          <w:sz w:val="22"/>
          <w:szCs w:val="22"/>
        </w:rPr>
        <w:t>:</w:t>
      </w:r>
      <w:r w:rsidR="00D27284" w:rsidRPr="001A55DB">
        <w:rPr>
          <w:rFonts w:ascii="Arial" w:hAnsi="Arial" w:cs="Arial"/>
          <w:color w:val="auto"/>
          <w:sz w:val="22"/>
          <w:szCs w:val="22"/>
        </w:rPr>
        <w:t xml:space="preserve"> Reported DTP</w:t>
      </w:r>
      <w:r>
        <w:rPr>
          <w:rFonts w:ascii="Arial" w:hAnsi="Arial" w:cs="Arial"/>
          <w:color w:val="auto"/>
          <w:sz w:val="22"/>
          <w:szCs w:val="22"/>
        </w:rPr>
        <w:t>cv</w:t>
      </w:r>
      <w:r w:rsidR="00D27284" w:rsidRPr="001A55DB">
        <w:rPr>
          <w:rFonts w:ascii="Arial" w:hAnsi="Arial" w:cs="Arial"/>
          <w:color w:val="auto"/>
          <w:sz w:val="22"/>
          <w:szCs w:val="22"/>
        </w:rPr>
        <w:t xml:space="preserve"> d</w:t>
      </w:r>
      <w:r>
        <w:rPr>
          <w:rFonts w:ascii="Arial" w:hAnsi="Arial" w:cs="Arial"/>
          <w:color w:val="auto"/>
          <w:sz w:val="22"/>
          <w:szCs w:val="22"/>
        </w:rPr>
        <w:t>oses administered &amp; coverage</w:t>
      </w:r>
      <w:r w:rsidR="00D27284" w:rsidRPr="001A55DB">
        <w:rPr>
          <w:rFonts w:ascii="Arial" w:hAnsi="Arial" w:cs="Arial"/>
          <w:color w:val="auto"/>
          <w:sz w:val="22"/>
          <w:szCs w:val="22"/>
        </w:rPr>
        <w:t>, 2000-2015</w:t>
      </w:r>
    </w:p>
    <w:p w14:paraId="78E5F075" w14:textId="354858D9" w:rsidR="00D27284" w:rsidRPr="006140E6" w:rsidRDefault="00E35B5F" w:rsidP="00D27284">
      <w:pPr>
        <w:rPr>
          <w:lang w:val="en-US"/>
        </w:rPr>
      </w:pPr>
      <w:r w:rsidRPr="006140E6">
        <w:rPr>
          <w:noProof/>
          <w:lang w:eastAsia="zh-CN"/>
        </w:rPr>
        <w:drawing>
          <wp:inline distT="0" distB="0" distL="0" distR="0" wp14:anchorId="33854643" wp14:editId="75F7074F">
            <wp:extent cx="6341540" cy="2247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0655" cy="2247586"/>
                    </a:xfrm>
                    <a:prstGeom prst="rect">
                      <a:avLst/>
                    </a:prstGeom>
                    <a:noFill/>
                  </pic:spPr>
                </pic:pic>
              </a:graphicData>
            </a:graphic>
          </wp:inline>
        </w:drawing>
      </w:r>
    </w:p>
    <w:p w14:paraId="2846A647" w14:textId="2C3F592C" w:rsidR="00D27284" w:rsidRPr="001A55DB" w:rsidRDefault="00D27284" w:rsidP="00E35B5F">
      <w:pPr>
        <w:rPr>
          <w:sz w:val="18"/>
          <w:lang w:val="en-US"/>
        </w:rPr>
      </w:pPr>
      <w:r w:rsidRPr="001A55DB">
        <w:rPr>
          <w:sz w:val="18"/>
          <w:lang w:val="en-US"/>
        </w:rPr>
        <w:t>* COE: country Official Estimates</w:t>
      </w:r>
    </w:p>
    <w:p w14:paraId="5232FAD8" w14:textId="77777777" w:rsidR="00D16753" w:rsidRPr="001A55DB" w:rsidRDefault="00D16753" w:rsidP="00D16753">
      <w:pPr>
        <w:rPr>
          <w:sz w:val="18"/>
          <w:lang w:val="en-US"/>
        </w:rPr>
      </w:pPr>
      <w:r w:rsidRPr="001A55DB">
        <w:rPr>
          <w:sz w:val="18"/>
          <w:lang w:val="en-US"/>
        </w:rPr>
        <w:lastRenderedPageBreak/>
        <w:t>Source:</w:t>
      </w:r>
    </w:p>
    <w:p w14:paraId="08CE0BE3" w14:textId="77777777" w:rsidR="00D16753" w:rsidRPr="001A55DB" w:rsidRDefault="00D16753" w:rsidP="00D16753">
      <w:pPr>
        <w:rPr>
          <w:sz w:val="18"/>
          <w:lang w:val="en-US"/>
        </w:rPr>
      </w:pPr>
      <w:r w:rsidRPr="001A55DB">
        <w:rPr>
          <w:sz w:val="18"/>
          <w:lang w:val="en-US"/>
        </w:rPr>
        <w:t>WHO/IVB database, data reported to WHO by member states as of 1 July 2016</w:t>
      </w:r>
    </w:p>
    <w:p w14:paraId="63AAA7A7" w14:textId="77777777" w:rsidR="00D16753" w:rsidRPr="001A55DB" w:rsidRDefault="00D16753" w:rsidP="00D16753">
      <w:pPr>
        <w:rPr>
          <w:sz w:val="18"/>
          <w:lang w:val="en-US"/>
        </w:rPr>
      </w:pPr>
      <w:r w:rsidRPr="001A55DB">
        <w:rPr>
          <w:sz w:val="18"/>
          <w:lang w:val="en-US"/>
        </w:rPr>
        <w:t>WHO/UNICEF national coverage estimates, 2014 revision, data as of July 2015</w:t>
      </w:r>
    </w:p>
    <w:p w14:paraId="5A722775" w14:textId="77777777" w:rsidR="001A55DB" w:rsidRDefault="001A55DB" w:rsidP="00D16753">
      <w:pPr>
        <w:rPr>
          <w:b/>
          <w:lang w:val="en-US"/>
        </w:rPr>
      </w:pPr>
    </w:p>
    <w:p w14:paraId="0C1D52C2" w14:textId="1C835C3E" w:rsidR="00D27284" w:rsidRPr="00651A7C" w:rsidRDefault="00FF5786" w:rsidP="00FF5786">
      <w:pPr>
        <w:pStyle w:val="Caption"/>
        <w:rPr>
          <w:rFonts w:ascii="Arial" w:hAnsi="Arial" w:cs="Arial"/>
          <w:color w:val="auto"/>
          <w:sz w:val="22"/>
          <w:szCs w:val="22"/>
        </w:rPr>
      </w:pPr>
      <w:r w:rsidRPr="00651A7C">
        <w:rPr>
          <w:rFonts w:ascii="Arial" w:hAnsi="Arial" w:cs="Arial"/>
          <w:color w:val="auto"/>
          <w:sz w:val="22"/>
          <w:szCs w:val="22"/>
        </w:rPr>
        <w:t xml:space="preserve">Figure </w:t>
      </w:r>
      <w:r w:rsidRPr="00651A7C">
        <w:rPr>
          <w:rFonts w:ascii="Arial" w:hAnsi="Arial" w:cs="Arial"/>
          <w:color w:val="auto"/>
          <w:sz w:val="22"/>
          <w:szCs w:val="22"/>
        </w:rPr>
        <w:fldChar w:fldCharType="begin"/>
      </w:r>
      <w:r w:rsidRPr="00651A7C">
        <w:rPr>
          <w:rFonts w:ascii="Arial" w:hAnsi="Arial" w:cs="Arial"/>
          <w:color w:val="auto"/>
          <w:sz w:val="22"/>
          <w:szCs w:val="22"/>
        </w:rPr>
        <w:instrText xml:space="preserve"> SEQ Figure \* ARABIC </w:instrText>
      </w:r>
      <w:r w:rsidRPr="00651A7C">
        <w:rPr>
          <w:rFonts w:ascii="Arial" w:hAnsi="Arial" w:cs="Arial"/>
          <w:color w:val="auto"/>
          <w:sz w:val="22"/>
          <w:szCs w:val="22"/>
        </w:rPr>
        <w:fldChar w:fldCharType="separate"/>
      </w:r>
      <w:r w:rsidR="00651A7C">
        <w:rPr>
          <w:rFonts w:ascii="Arial" w:hAnsi="Arial" w:cs="Arial"/>
          <w:noProof/>
          <w:color w:val="auto"/>
          <w:sz w:val="22"/>
          <w:szCs w:val="22"/>
        </w:rPr>
        <w:t>5</w:t>
      </w:r>
      <w:r w:rsidRPr="00651A7C">
        <w:rPr>
          <w:rFonts w:ascii="Arial" w:hAnsi="Arial" w:cs="Arial"/>
          <w:color w:val="auto"/>
          <w:sz w:val="22"/>
          <w:szCs w:val="22"/>
        </w:rPr>
        <w:fldChar w:fldCharType="end"/>
      </w:r>
      <w:r w:rsidRPr="00651A7C">
        <w:rPr>
          <w:rFonts w:ascii="Arial" w:hAnsi="Arial" w:cs="Arial"/>
          <w:color w:val="auto"/>
          <w:sz w:val="22"/>
          <w:szCs w:val="22"/>
        </w:rPr>
        <w:t xml:space="preserve">: </w:t>
      </w:r>
      <w:r w:rsidR="00D27284" w:rsidRPr="00651A7C">
        <w:rPr>
          <w:rFonts w:ascii="Arial" w:hAnsi="Arial" w:cs="Arial"/>
          <w:color w:val="auto"/>
          <w:sz w:val="22"/>
          <w:szCs w:val="22"/>
        </w:rPr>
        <w:t>Percentage of district achieving &lt;50%; 50-79% and ≥80% coverage, 2000-201</w:t>
      </w:r>
      <w:r w:rsidR="00D16753" w:rsidRPr="00651A7C">
        <w:rPr>
          <w:rFonts w:ascii="Arial" w:hAnsi="Arial" w:cs="Arial"/>
          <w:color w:val="auto"/>
          <w:sz w:val="22"/>
          <w:szCs w:val="22"/>
        </w:rPr>
        <w:t>5</w:t>
      </w:r>
    </w:p>
    <w:p w14:paraId="5BFC9725" w14:textId="2F9AF1B0" w:rsidR="00D27284" w:rsidRPr="006140E6" w:rsidRDefault="00075417" w:rsidP="00D27284">
      <w:pPr>
        <w:rPr>
          <w:lang w:val="en-US"/>
        </w:rPr>
      </w:pPr>
      <w:r w:rsidRPr="006140E6">
        <w:rPr>
          <w:noProof/>
          <w:lang w:eastAsia="zh-CN"/>
        </w:rPr>
        <w:drawing>
          <wp:inline distT="0" distB="0" distL="0" distR="0" wp14:anchorId="62F4D648" wp14:editId="107791E3">
            <wp:extent cx="5432586" cy="4076700"/>
            <wp:effectExtent l="19050" t="19050" r="15875" b="19050"/>
            <wp:docPr id="11" name="Picture 11" descr="Y:\GVAP\Priority_countries\E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GVAP\Priority_countries\ET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210" cy="4081671"/>
                    </a:xfrm>
                    <a:prstGeom prst="rect">
                      <a:avLst/>
                    </a:prstGeom>
                    <a:noFill/>
                    <a:ln>
                      <a:solidFill>
                        <a:schemeClr val="tx1"/>
                      </a:solidFill>
                    </a:ln>
                  </pic:spPr>
                </pic:pic>
              </a:graphicData>
            </a:graphic>
          </wp:inline>
        </w:drawing>
      </w:r>
    </w:p>
    <w:p w14:paraId="043F48E7" w14:textId="77777777" w:rsidR="00D27284" w:rsidRPr="006140E6" w:rsidRDefault="00D27284" w:rsidP="00D27284">
      <w:pPr>
        <w:rPr>
          <w:lang w:val="en-US"/>
        </w:rPr>
      </w:pPr>
    </w:p>
    <w:p w14:paraId="11004133" w14:textId="77777777" w:rsidR="00461727" w:rsidRDefault="00461727" w:rsidP="00D27284">
      <w:pPr>
        <w:rPr>
          <w:b/>
          <w:highlight w:val="yellow"/>
          <w:lang w:val="en-US"/>
        </w:rPr>
        <w:sectPr w:rsidR="00461727">
          <w:pgSz w:w="11906" w:h="16838"/>
          <w:pgMar w:top="1440" w:right="1440" w:bottom="1440" w:left="1440" w:header="709" w:footer="709" w:gutter="0"/>
          <w:cols w:space="720"/>
        </w:sectPr>
      </w:pPr>
    </w:p>
    <w:p w14:paraId="0ADC6CF6" w14:textId="688E4D05" w:rsidR="00D27284" w:rsidRPr="00651A7C" w:rsidRDefault="00651A7C" w:rsidP="00651A7C">
      <w:pPr>
        <w:pStyle w:val="Caption"/>
        <w:rPr>
          <w:rFonts w:ascii="Arial" w:hAnsi="Arial" w:cs="Arial"/>
          <w:color w:val="auto"/>
          <w:sz w:val="22"/>
        </w:rPr>
      </w:pPr>
      <w:r w:rsidRPr="00651A7C">
        <w:rPr>
          <w:rFonts w:ascii="Arial" w:hAnsi="Arial" w:cs="Arial"/>
          <w:color w:val="auto"/>
          <w:sz w:val="22"/>
        </w:rPr>
        <w:lastRenderedPageBreak/>
        <w:t xml:space="preserve">Figure </w:t>
      </w:r>
      <w:r w:rsidRPr="00651A7C">
        <w:rPr>
          <w:rFonts w:ascii="Arial" w:hAnsi="Arial" w:cs="Arial"/>
          <w:color w:val="auto"/>
          <w:sz w:val="22"/>
        </w:rPr>
        <w:fldChar w:fldCharType="begin"/>
      </w:r>
      <w:r w:rsidRPr="00651A7C">
        <w:rPr>
          <w:rFonts w:ascii="Arial" w:hAnsi="Arial" w:cs="Arial"/>
          <w:color w:val="auto"/>
          <w:sz w:val="22"/>
        </w:rPr>
        <w:instrText xml:space="preserve"> SEQ Figure \* ARABIC </w:instrText>
      </w:r>
      <w:r w:rsidRPr="00651A7C">
        <w:rPr>
          <w:rFonts w:ascii="Arial" w:hAnsi="Arial" w:cs="Arial"/>
          <w:color w:val="auto"/>
          <w:sz w:val="22"/>
        </w:rPr>
        <w:fldChar w:fldCharType="separate"/>
      </w:r>
      <w:r w:rsidRPr="00651A7C">
        <w:rPr>
          <w:rFonts w:ascii="Arial" w:hAnsi="Arial" w:cs="Arial"/>
          <w:color w:val="auto"/>
          <w:sz w:val="22"/>
        </w:rPr>
        <w:t>6</w:t>
      </w:r>
      <w:r w:rsidRPr="00651A7C">
        <w:rPr>
          <w:rFonts w:ascii="Arial" w:hAnsi="Arial" w:cs="Arial"/>
          <w:color w:val="auto"/>
          <w:sz w:val="22"/>
        </w:rPr>
        <w:fldChar w:fldCharType="end"/>
      </w:r>
      <w:r w:rsidR="00461727" w:rsidRPr="00651A7C">
        <w:rPr>
          <w:rFonts w:ascii="Arial" w:hAnsi="Arial" w:cs="Arial"/>
          <w:noProof/>
          <w:color w:val="auto"/>
          <w:sz w:val="22"/>
          <w:lang w:eastAsia="zh-CN"/>
        </w:rPr>
        <mc:AlternateContent>
          <mc:Choice Requires="wps">
            <w:drawing>
              <wp:anchor distT="0" distB="0" distL="114300" distR="114300" simplePos="0" relativeHeight="251664384" behindDoc="0" locked="0" layoutInCell="1" allowOverlap="1" wp14:anchorId="3FBC4D1A" wp14:editId="638D3CC8">
                <wp:simplePos x="0" y="0"/>
                <wp:positionH relativeFrom="column">
                  <wp:posOffset>3647364</wp:posOffset>
                </wp:positionH>
                <wp:positionV relativeFrom="paragraph">
                  <wp:posOffset>299796</wp:posOffset>
                </wp:positionV>
                <wp:extent cx="652145" cy="368935"/>
                <wp:effectExtent l="0" t="0" r="0" b="0"/>
                <wp:wrapNone/>
                <wp:docPr id="24" name="TextBox 11"/>
                <wp:cNvGraphicFramePr/>
                <a:graphic xmlns:a="http://schemas.openxmlformats.org/drawingml/2006/main">
                  <a:graphicData uri="http://schemas.microsoft.com/office/word/2010/wordprocessingShape">
                    <wps:wsp>
                      <wps:cNvSpPr txBox="1"/>
                      <wps:spPr>
                        <a:xfrm>
                          <a:off x="0" y="0"/>
                          <a:ext cx="652145" cy="368935"/>
                        </a:xfrm>
                        <a:prstGeom prst="rect">
                          <a:avLst/>
                        </a:prstGeom>
                        <a:noFill/>
                      </wps:spPr>
                      <wps:txbx>
                        <w:txbxContent>
                          <w:p w14:paraId="0095090A" w14:textId="24F8566C" w:rsidR="0074708B" w:rsidRDefault="0074708B" w:rsidP="00461727">
                            <w:pPr>
                              <w:pStyle w:val="NormalWeb"/>
                              <w:spacing w:before="0" w:beforeAutospacing="0" w:after="0" w:afterAutospacing="0"/>
                            </w:pPr>
                            <w:r>
                              <w:rPr>
                                <w:rFonts w:asciiTheme="minorHAnsi" w:hAnsi="Calibri" w:cstheme="minorBidi"/>
                                <w:color w:val="000000" w:themeColor="text1"/>
                                <w:kern w:val="24"/>
                                <w:sz w:val="36"/>
                                <w:szCs w:val="36"/>
                                <w:lang w:val="en-US"/>
                              </w:rPr>
                              <w:t>2015</w:t>
                            </w:r>
                          </w:p>
                        </w:txbxContent>
                      </wps:txbx>
                      <wps:bodyPr wrap="none" rtlCol="0">
                        <a:sp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6" type="#_x0000_t202" style="position:absolute;margin-left:287.2pt;margin-top:23.6pt;width:51.35pt;height:29.0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" filled="f" stroked="f">
                <v:textbox style="mso-fit-shape-to-text:t">
                  <w:txbxContent>
                    <w:p w14:paraId="0095090A" w14:textId="24F8566C" w:rsidR="0074708B" w:rsidRDefault="0074708B" w:rsidP="00461727">
                      <w:pPr>
                        <w:pStyle w:val="NormalWeb"/>
                        <w:spacing w:before="0" w:beforeAutospacing="0" w:after="0" w:afterAutospacing="0"/>
                      </w:pPr>
                      <w:r>
                        <w:rPr>
                          <w:rFonts w:asciiTheme="minorHAnsi" w:hAnsi="Calibri" w:cstheme="minorBidi"/>
                          <w:color w:val="000000" w:themeColor="text1"/>
                          <w:kern w:val="24"/>
                          <w:sz w:val="36"/>
                          <w:szCs w:val="36"/>
                          <w:lang w:val="en-US"/>
                        </w:rPr>
                        <w:t>2015</w:t>
                      </w:r>
                    </w:p>
                  </w:txbxContent>
                </v:textbox>
              </v:shape>
            </w:pict>
          </mc:Fallback>
        </mc:AlternateContent>
      </w:r>
      <w:r w:rsidR="00461727" w:rsidRPr="00651A7C">
        <w:rPr>
          <w:rFonts w:ascii="Arial" w:hAnsi="Arial" w:cs="Arial"/>
          <w:noProof/>
          <w:color w:val="auto"/>
          <w:sz w:val="22"/>
          <w:lang w:eastAsia="zh-CN"/>
        </w:rPr>
        <mc:AlternateContent>
          <mc:Choice Requires="wps">
            <w:drawing>
              <wp:anchor distT="0" distB="0" distL="114300" distR="114300" simplePos="0" relativeHeight="251662336" behindDoc="0" locked="0" layoutInCell="1" allowOverlap="1" wp14:anchorId="7ABB6064" wp14:editId="14116F06">
                <wp:simplePos x="0" y="0"/>
                <wp:positionH relativeFrom="column">
                  <wp:posOffset>795655</wp:posOffset>
                </wp:positionH>
                <wp:positionV relativeFrom="paragraph">
                  <wp:posOffset>286385</wp:posOffset>
                </wp:positionV>
                <wp:extent cx="652145" cy="368935"/>
                <wp:effectExtent l="0" t="0" r="0" b="0"/>
                <wp:wrapNone/>
                <wp:docPr id="12" name="TextBox 11"/>
                <wp:cNvGraphicFramePr/>
                <a:graphic xmlns:a="http://schemas.openxmlformats.org/drawingml/2006/main">
                  <a:graphicData uri="http://schemas.microsoft.com/office/word/2010/wordprocessingShape">
                    <wps:wsp>
                      <wps:cNvSpPr txBox="1"/>
                      <wps:spPr>
                        <a:xfrm>
                          <a:off x="0" y="0"/>
                          <a:ext cx="652145" cy="368935"/>
                        </a:xfrm>
                        <a:prstGeom prst="rect">
                          <a:avLst/>
                        </a:prstGeom>
                        <a:noFill/>
                      </wps:spPr>
                      <wps:txbx>
                        <w:txbxContent>
                          <w:p w14:paraId="50C582AE" w14:textId="77777777" w:rsidR="0074708B" w:rsidRDefault="0074708B" w:rsidP="00461727">
                            <w:pPr>
                              <w:pStyle w:val="NormalWeb"/>
                              <w:spacing w:before="0" w:beforeAutospacing="0" w:after="0" w:afterAutospacing="0"/>
                            </w:pPr>
                            <w:r>
                              <w:rPr>
                                <w:rFonts w:asciiTheme="minorHAnsi" w:hAnsi="Calibri" w:cstheme="minorBidi"/>
                                <w:color w:val="000000" w:themeColor="text1"/>
                                <w:kern w:val="24"/>
                                <w:sz w:val="36"/>
                                <w:szCs w:val="36"/>
                                <w:lang w:val="en-US"/>
                              </w:rPr>
                              <w:t>2010</w:t>
                            </w:r>
                          </w:p>
                        </w:txbxContent>
                      </wps:txbx>
                      <wps:bodyPr wrap="none" rtlCol="0">
                        <a:spAutoFit/>
                      </wps:bodyPr>
                    </wps:wsp>
                  </a:graphicData>
                </a:graphic>
              </wp:anchor>
            </w:drawing>
          </mc:Choice>
          <mc:Fallback>
            <w:pict>
              <v:shape id="_x0000_s1027" type="#_x0000_t202" style="position:absolute;margin-left:62.65pt;margin-top:22.55pt;width:51.35pt;height:29.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" filled="f" stroked="f">
                <v:textbox style="mso-fit-shape-to-text:t">
                  <w:txbxContent>
                    <w:p w14:paraId="50C582AE" w14:textId="77777777" w:rsidR="0074708B" w:rsidRDefault="0074708B" w:rsidP="00461727">
                      <w:pPr>
                        <w:pStyle w:val="NormalWeb"/>
                        <w:spacing w:before="0" w:beforeAutospacing="0" w:after="0" w:afterAutospacing="0"/>
                      </w:pPr>
                      <w:r>
                        <w:rPr>
                          <w:rFonts w:asciiTheme="minorHAnsi" w:hAnsi="Calibri" w:cstheme="minorBidi"/>
                          <w:color w:val="000000" w:themeColor="text1"/>
                          <w:kern w:val="24"/>
                          <w:sz w:val="36"/>
                          <w:szCs w:val="36"/>
                          <w:lang w:val="en-US"/>
                        </w:rPr>
                        <w:t>2010</w:t>
                      </w:r>
                    </w:p>
                  </w:txbxContent>
                </v:textbox>
              </v:shape>
            </w:pict>
          </mc:Fallback>
        </mc:AlternateContent>
      </w:r>
      <w:r w:rsidRPr="00651A7C">
        <w:rPr>
          <w:rFonts w:ascii="Arial" w:hAnsi="Arial" w:cs="Arial"/>
          <w:color w:val="auto"/>
          <w:sz w:val="22"/>
        </w:rPr>
        <w:t>:</w:t>
      </w:r>
      <w:r w:rsidR="00D27284" w:rsidRPr="00651A7C">
        <w:rPr>
          <w:rFonts w:ascii="Arial" w:hAnsi="Arial" w:cs="Arial"/>
          <w:color w:val="auto"/>
          <w:sz w:val="22"/>
        </w:rPr>
        <w:t xml:space="preserve"> map with DTP3 coverage by district/province 2010 and 2015 (admin</w:t>
      </w:r>
      <w:r w:rsidR="003707DB" w:rsidRPr="00651A7C">
        <w:rPr>
          <w:rFonts w:ascii="Arial" w:hAnsi="Arial" w:cs="Arial"/>
          <w:color w:val="auto"/>
          <w:sz w:val="22"/>
        </w:rPr>
        <w:t>. data</w:t>
      </w:r>
      <w:r w:rsidR="00D27284" w:rsidRPr="00651A7C">
        <w:rPr>
          <w:rFonts w:ascii="Arial" w:hAnsi="Arial" w:cs="Arial"/>
          <w:color w:val="auto"/>
          <w:sz w:val="22"/>
        </w:rPr>
        <w:t>)</w:t>
      </w:r>
    </w:p>
    <w:p w14:paraId="0210E77C" w14:textId="77777777" w:rsidR="00461727" w:rsidRPr="006140E6" w:rsidRDefault="00461727" w:rsidP="00D27284">
      <w:pPr>
        <w:rPr>
          <w:b/>
          <w:lang w:val="en-US"/>
        </w:rPr>
      </w:pPr>
    </w:p>
    <w:p w14:paraId="454CBED5" w14:textId="23823909" w:rsidR="00D27284" w:rsidRPr="006140E6" w:rsidRDefault="00461727" w:rsidP="00D27284">
      <w:pPr>
        <w:rPr>
          <w:b/>
          <w:lang w:val="en-US"/>
        </w:rPr>
      </w:pPr>
      <w:r w:rsidRPr="00461727">
        <w:rPr>
          <w:b/>
          <w:noProof/>
          <w:lang w:eastAsia="zh-CN"/>
        </w:rPr>
        <w:drawing>
          <wp:anchor distT="0" distB="0" distL="114300" distR="114300" simplePos="0" relativeHeight="251660288" behindDoc="0" locked="0" layoutInCell="1" allowOverlap="1" wp14:anchorId="32F51BC3" wp14:editId="63F745AA">
            <wp:simplePos x="0" y="0"/>
            <wp:positionH relativeFrom="column">
              <wp:posOffset>2852420</wp:posOffset>
            </wp:positionH>
            <wp:positionV relativeFrom="paragraph">
              <wp:posOffset>11430</wp:posOffset>
            </wp:positionV>
            <wp:extent cx="2647950" cy="2028825"/>
            <wp:effectExtent l="0" t="0" r="0" b="9525"/>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178" t="15102" r="18496" b="8163"/>
                    <a:stretch/>
                  </pic:blipFill>
                  <pic:spPr bwMode="auto">
                    <a:xfrm>
                      <a:off x="0" y="0"/>
                      <a:ext cx="2647950" cy="20288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61727">
        <w:rPr>
          <w:b/>
          <w:noProof/>
          <w:lang w:eastAsia="zh-CN"/>
        </w:rPr>
        <w:drawing>
          <wp:anchor distT="0" distB="0" distL="114300" distR="114300" simplePos="0" relativeHeight="251659264" behindDoc="0" locked="0" layoutInCell="1" allowOverlap="1" wp14:anchorId="4F63B25E" wp14:editId="5BCE7433">
            <wp:simplePos x="0" y="0"/>
            <wp:positionH relativeFrom="column">
              <wp:posOffset>65405</wp:posOffset>
            </wp:positionH>
            <wp:positionV relativeFrom="paragraph">
              <wp:posOffset>114300</wp:posOffset>
            </wp:positionV>
            <wp:extent cx="2550160" cy="1952625"/>
            <wp:effectExtent l="0" t="0" r="2540" b="9525"/>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15634" t="434" r="15984" b="-434"/>
                    <a:stretch/>
                  </pic:blipFill>
                  <pic:spPr>
                    <a:xfrm>
                      <a:off x="0" y="0"/>
                      <a:ext cx="2550160" cy="1952625"/>
                    </a:xfrm>
                    <a:prstGeom prst="rect">
                      <a:avLst/>
                    </a:prstGeom>
                  </pic:spPr>
                </pic:pic>
              </a:graphicData>
            </a:graphic>
            <wp14:sizeRelH relativeFrom="margin">
              <wp14:pctWidth>0</wp14:pctWidth>
            </wp14:sizeRelH>
            <wp14:sizeRelV relativeFrom="margin">
              <wp14:pctHeight>0</wp14:pctHeight>
            </wp14:sizeRelV>
          </wp:anchor>
        </w:drawing>
      </w:r>
    </w:p>
    <w:p w14:paraId="562B2032" w14:textId="333BD9D2" w:rsidR="00461727" w:rsidRDefault="00461727" w:rsidP="00D27284">
      <w:pPr>
        <w:rPr>
          <w:b/>
          <w:lang w:val="en-US"/>
        </w:rPr>
      </w:pPr>
    </w:p>
    <w:p w14:paraId="4F7F0723" w14:textId="77777777" w:rsidR="00461727" w:rsidRDefault="00461727" w:rsidP="00D27284">
      <w:pPr>
        <w:rPr>
          <w:b/>
          <w:lang w:val="en-US"/>
        </w:rPr>
      </w:pPr>
    </w:p>
    <w:p w14:paraId="5741B5E9" w14:textId="77777777" w:rsidR="00461727" w:rsidRDefault="00461727" w:rsidP="00D27284">
      <w:pPr>
        <w:rPr>
          <w:b/>
          <w:lang w:val="en-US"/>
        </w:rPr>
      </w:pPr>
    </w:p>
    <w:p w14:paraId="0EEC9094" w14:textId="77777777" w:rsidR="00461727" w:rsidRDefault="00461727" w:rsidP="00D27284">
      <w:pPr>
        <w:rPr>
          <w:b/>
          <w:lang w:val="en-US"/>
        </w:rPr>
      </w:pPr>
    </w:p>
    <w:p w14:paraId="24732495" w14:textId="77777777" w:rsidR="00461727" w:rsidRDefault="00461727" w:rsidP="00D27284">
      <w:pPr>
        <w:rPr>
          <w:b/>
          <w:lang w:val="en-US"/>
        </w:rPr>
      </w:pPr>
    </w:p>
    <w:p w14:paraId="70ED4DB6" w14:textId="77777777" w:rsidR="00461727" w:rsidRDefault="00461727" w:rsidP="00D27284">
      <w:pPr>
        <w:rPr>
          <w:b/>
          <w:lang w:val="en-US"/>
        </w:rPr>
      </w:pPr>
    </w:p>
    <w:p w14:paraId="5ACB2458" w14:textId="4407AA7D" w:rsidR="00461727" w:rsidRDefault="00461727" w:rsidP="00D27284">
      <w:pPr>
        <w:rPr>
          <w:b/>
          <w:lang w:val="en-US"/>
        </w:rPr>
      </w:pPr>
      <w:r w:rsidRPr="00461727">
        <w:rPr>
          <w:b/>
          <w:noProof/>
          <w:lang w:eastAsia="zh-CN"/>
        </w:rPr>
        <mc:AlternateContent>
          <mc:Choice Requires="wpg">
            <w:drawing>
              <wp:anchor distT="0" distB="0" distL="114300" distR="114300" simplePos="0" relativeHeight="251666432" behindDoc="0" locked="0" layoutInCell="1" allowOverlap="1" wp14:anchorId="213F6CF5" wp14:editId="7508A808">
                <wp:simplePos x="0" y="0"/>
                <wp:positionH relativeFrom="column">
                  <wp:posOffset>429895</wp:posOffset>
                </wp:positionH>
                <wp:positionV relativeFrom="paragraph">
                  <wp:posOffset>16027</wp:posOffset>
                </wp:positionV>
                <wp:extent cx="2539365" cy="1436370"/>
                <wp:effectExtent l="0" t="0" r="0" b="0"/>
                <wp:wrapNone/>
                <wp:docPr id="25" name="Group 23"/>
                <wp:cNvGraphicFramePr/>
                <a:graphic xmlns:a="http://schemas.openxmlformats.org/drawingml/2006/main">
                  <a:graphicData uri="http://schemas.microsoft.com/office/word/2010/wordprocessingGroup">
                    <wpg:wgp>
                      <wpg:cNvGrpSpPr/>
                      <wpg:grpSpPr>
                        <a:xfrm>
                          <a:off x="0" y="0"/>
                          <a:ext cx="2539365" cy="1436370"/>
                          <a:chOff x="0" y="0"/>
                          <a:chExt cx="2539600" cy="1436432"/>
                        </a:xfrm>
                      </wpg:grpSpPr>
                      <wps:wsp>
                        <wps:cNvPr id="26" name="TextBox 30"/>
                        <wps:cNvSpPr txBox="1">
                          <a:spLocks noChangeArrowheads="1"/>
                        </wps:cNvSpPr>
                        <wps:spPr bwMode="auto">
                          <a:xfrm>
                            <a:off x="247126" y="922373"/>
                            <a:ext cx="1149349" cy="271779"/>
                          </a:xfrm>
                          <a:prstGeom prst="rect">
                            <a:avLst/>
                          </a:prstGeom>
                          <a:noFill/>
                          <a:ln w="9525">
                            <a:noFill/>
                            <a:miter lim="800000"/>
                            <a:headEnd/>
                            <a:tailEnd/>
                          </a:ln>
                        </wps:spPr>
                        <wps:txbx>
                          <w:txbxContent>
                            <w:p w14:paraId="1392695F"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80% and Above</w:t>
                              </w:r>
                            </w:p>
                          </w:txbxContent>
                        </wps:txbx>
                        <wps:bodyPr wrap="square">
                          <a:spAutoFit/>
                        </wps:bodyPr>
                      </wps:wsp>
                      <wpg:grpSp>
                        <wpg:cNvPr id="27" name="Group 27"/>
                        <wpg:cNvGrpSpPr>
                          <a:grpSpLocks/>
                        </wpg:cNvGrpSpPr>
                        <wpg:grpSpPr bwMode="auto">
                          <a:xfrm>
                            <a:off x="0" y="439704"/>
                            <a:ext cx="274156" cy="978199"/>
                            <a:chOff x="0" y="439218"/>
                            <a:chExt cx="376" cy="905"/>
                          </a:xfrm>
                        </wpg:grpSpPr>
                        <wps:wsp>
                          <wps:cNvPr id="28" name="Rectangle 28"/>
                          <wps:cNvSpPr>
                            <a:spLocks noChangeArrowheads="1"/>
                          </wps:cNvSpPr>
                          <wps:spPr bwMode="auto">
                            <a:xfrm>
                              <a:off x="0" y="439218"/>
                              <a:ext cx="376" cy="240"/>
                            </a:xfrm>
                            <a:prstGeom prst="rect">
                              <a:avLst/>
                            </a:prstGeom>
                            <a:solidFill>
                              <a:srgbClr val="FF0000"/>
                            </a:solidFill>
                            <a:ln w="9525">
                              <a:solidFill>
                                <a:schemeClr val="tx1"/>
                              </a:solidFill>
                              <a:miter lim="800000"/>
                              <a:headEnd/>
                              <a:tailEnd/>
                            </a:ln>
                          </wps:spPr>
                          <wps:txbx>
                            <w:txbxContent>
                              <w:p w14:paraId="72E12F6F" w14:textId="77777777" w:rsidR="0074708B" w:rsidRDefault="0074708B" w:rsidP="00461727">
                                <w:pPr>
                                  <w:rPr>
                                    <w:rFonts w:eastAsia="Times New Roman"/>
                                  </w:rPr>
                                </w:pPr>
                              </w:p>
                            </w:txbxContent>
                          </wps:txbx>
                          <wps:bodyPr wrap="none" anchor="ctr"/>
                        </wps:wsp>
                        <wps:wsp>
                          <wps:cNvPr id="29" name="Rectangle 29"/>
                          <wps:cNvSpPr>
                            <a:spLocks noChangeArrowheads="1"/>
                          </wps:cNvSpPr>
                          <wps:spPr bwMode="auto">
                            <a:xfrm>
                              <a:off x="0" y="439458"/>
                              <a:ext cx="376" cy="240"/>
                            </a:xfrm>
                            <a:prstGeom prst="rect">
                              <a:avLst/>
                            </a:prstGeom>
                            <a:solidFill>
                              <a:srgbClr val="FFFF00"/>
                            </a:solidFill>
                            <a:ln w="9525">
                              <a:solidFill>
                                <a:schemeClr val="tx1"/>
                              </a:solidFill>
                              <a:miter lim="800000"/>
                              <a:headEnd/>
                              <a:tailEnd/>
                            </a:ln>
                          </wps:spPr>
                          <wps:txbx>
                            <w:txbxContent>
                              <w:p w14:paraId="43E5B1EE" w14:textId="77777777" w:rsidR="0074708B" w:rsidRDefault="0074708B" w:rsidP="00461727">
                                <w:pPr>
                                  <w:rPr>
                                    <w:rFonts w:eastAsia="Times New Roman"/>
                                  </w:rPr>
                                </w:pPr>
                              </w:p>
                            </w:txbxContent>
                          </wps:txbx>
                          <wps:bodyPr wrap="none" anchor="ctr"/>
                        </wps:wsp>
                        <wps:wsp>
                          <wps:cNvPr id="30" name="Rectangle 30"/>
                          <wps:cNvSpPr>
                            <a:spLocks noChangeArrowheads="1"/>
                          </wps:cNvSpPr>
                          <wps:spPr bwMode="auto">
                            <a:xfrm>
                              <a:off x="0" y="439698"/>
                              <a:ext cx="376" cy="240"/>
                            </a:xfrm>
                            <a:prstGeom prst="rect">
                              <a:avLst/>
                            </a:prstGeom>
                            <a:solidFill>
                              <a:srgbClr val="00FF00"/>
                            </a:solidFill>
                            <a:ln w="9525">
                              <a:solidFill>
                                <a:schemeClr val="tx1"/>
                              </a:solidFill>
                              <a:miter lim="800000"/>
                              <a:headEnd/>
                              <a:tailEnd/>
                            </a:ln>
                          </wps:spPr>
                          <wps:txbx>
                            <w:txbxContent>
                              <w:p w14:paraId="5DE7D3FF" w14:textId="77777777" w:rsidR="0074708B" w:rsidRDefault="0074708B" w:rsidP="00461727">
                                <w:pPr>
                                  <w:rPr>
                                    <w:rFonts w:eastAsia="Times New Roman"/>
                                  </w:rPr>
                                </w:pPr>
                              </w:p>
                            </w:txbxContent>
                          </wps:txbx>
                          <wps:bodyPr wrap="none" anchor="ctr"/>
                        </wps:wsp>
                        <wps:wsp>
                          <wps:cNvPr id="31" name="Rectangle 31"/>
                          <wps:cNvSpPr>
                            <a:spLocks noChangeArrowheads="1"/>
                          </wps:cNvSpPr>
                          <wps:spPr bwMode="auto">
                            <a:xfrm>
                              <a:off x="0" y="439883"/>
                              <a:ext cx="376" cy="240"/>
                            </a:xfrm>
                            <a:prstGeom prst="rect">
                              <a:avLst/>
                            </a:prstGeom>
                            <a:solidFill>
                              <a:schemeClr val="bg1"/>
                            </a:solidFill>
                            <a:ln w="9525">
                              <a:solidFill>
                                <a:schemeClr val="tx1"/>
                              </a:solidFill>
                              <a:miter lim="800000"/>
                              <a:headEnd/>
                              <a:tailEnd/>
                            </a:ln>
                          </wps:spPr>
                          <wps:txbx>
                            <w:txbxContent>
                              <w:p w14:paraId="21BCC3FE" w14:textId="77777777" w:rsidR="0074708B" w:rsidRDefault="0074708B" w:rsidP="00461727">
                                <w:pPr>
                                  <w:rPr>
                                    <w:rFonts w:eastAsia="Times New Roman"/>
                                  </w:rPr>
                                </w:pPr>
                              </w:p>
                            </w:txbxContent>
                          </wps:txbx>
                          <wps:bodyPr wrap="none" anchor="ctr"/>
                        </wps:wsp>
                      </wpg:grpSp>
                      <wps:wsp>
                        <wps:cNvPr id="32" name="TextBox 32"/>
                        <wps:cNvSpPr txBox="1">
                          <a:spLocks noChangeArrowheads="1"/>
                        </wps:cNvSpPr>
                        <wps:spPr bwMode="auto">
                          <a:xfrm>
                            <a:off x="249021" y="432029"/>
                            <a:ext cx="596899" cy="271779"/>
                          </a:xfrm>
                          <a:prstGeom prst="rect">
                            <a:avLst/>
                          </a:prstGeom>
                          <a:noFill/>
                          <a:ln w="9525">
                            <a:noFill/>
                            <a:miter lim="800000"/>
                            <a:headEnd/>
                            <a:tailEnd/>
                          </a:ln>
                        </wps:spPr>
                        <wps:txbx>
                          <w:txbxContent>
                            <w:p w14:paraId="61B79F65"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&lt; 50%</w:t>
                              </w:r>
                            </w:p>
                          </w:txbxContent>
                        </wps:txbx>
                        <wps:bodyPr>
                          <a:spAutoFit/>
                        </wps:bodyPr>
                      </wps:wsp>
                      <wps:wsp>
                        <wps:cNvPr id="33" name="TextBox 33"/>
                        <wps:cNvSpPr txBox="1">
                          <a:spLocks noChangeArrowheads="1"/>
                        </wps:cNvSpPr>
                        <wps:spPr bwMode="auto">
                          <a:xfrm>
                            <a:off x="243024" y="671595"/>
                            <a:ext cx="1038859" cy="271779"/>
                          </a:xfrm>
                          <a:prstGeom prst="rect">
                            <a:avLst/>
                          </a:prstGeom>
                          <a:noFill/>
                          <a:ln w="9525">
                            <a:noFill/>
                            <a:miter lim="800000"/>
                            <a:headEnd/>
                            <a:tailEnd/>
                          </a:ln>
                        </wps:spPr>
                        <wps:txbx>
                          <w:txbxContent>
                            <w:p w14:paraId="5C6AC167"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50 -79.99%</w:t>
                              </w:r>
                            </w:p>
                          </w:txbxContent>
                        </wps:txbx>
                        <wps:bodyPr>
                          <a:spAutoFit/>
                        </wps:bodyPr>
                      </wps:wsp>
                      <wps:wsp>
                        <wps:cNvPr id="34" name="TextBox 32"/>
                        <wps:cNvSpPr txBox="1">
                          <a:spLocks noChangeArrowheads="1"/>
                        </wps:cNvSpPr>
                        <wps:spPr bwMode="auto">
                          <a:xfrm>
                            <a:off x="260586" y="1164653"/>
                            <a:ext cx="2279014" cy="271779"/>
                          </a:xfrm>
                          <a:prstGeom prst="rect">
                            <a:avLst/>
                          </a:prstGeom>
                          <a:noFill/>
                          <a:ln w="9525">
                            <a:noFill/>
                            <a:miter lim="800000"/>
                            <a:headEnd/>
                            <a:tailEnd/>
                          </a:ln>
                        </wps:spPr>
                        <wps:txbx>
                          <w:txbxContent>
                            <w:p w14:paraId="068A72D9"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No Report / shape  file issue</w:t>
                              </w:r>
                            </w:p>
                          </w:txbxContent>
                        </wps:txbx>
                        <wps:bodyPr wrap="square">
                          <a:spAutoFit/>
                        </wps:bodyPr>
                      </wps:wsp>
                      <wps:wsp>
                        <wps:cNvPr id="35" name="TextBox 6"/>
                        <wps:cNvSpPr txBox="1">
                          <a:spLocks noChangeArrowheads="1"/>
                        </wps:cNvSpPr>
                        <wps:spPr bwMode="auto">
                          <a:xfrm>
                            <a:off x="9547" y="0"/>
                            <a:ext cx="644584" cy="287031"/>
                          </a:xfrm>
                          <a:prstGeom prst="rect">
                            <a:avLst/>
                          </a:prstGeom>
                          <a:noFill/>
                          <a:ln w="9525">
                            <a:noFill/>
                            <a:miter lim="800000"/>
                            <a:headEnd/>
                            <a:tailEnd/>
                          </a:ln>
                        </wps:spPr>
                        <wps:txbx>
                          <w:txbxContent>
                            <w:p w14:paraId="0864ADED" w14:textId="682331F7" w:rsidR="0074708B" w:rsidRDefault="0074708B" w:rsidP="00461727">
                              <w:pPr>
                                <w:pStyle w:val="NormalWeb"/>
                                <w:spacing w:before="0" w:beforeAutospacing="0" w:after="0" w:afterAutospacing="0"/>
                              </w:pPr>
                              <w:r>
                                <w:rPr>
                                  <w:rFonts w:ascii="Calibri" w:hAnsi="Calibri" w:cstheme="minorBidi"/>
                                  <w:b/>
                                  <w:bCs/>
                                  <w:color w:val="000000" w:themeColor="text1"/>
                                  <w:kern w:val="24"/>
                                  <w:lang w:val="en-US"/>
                                </w:rPr>
                                <w:t>Legend</w:t>
                              </w:r>
                            </w:p>
                          </w:txbxContent>
                        </wps:txbx>
                        <wps:bodyPr wrap="none">
                          <a:spAutoFit/>
                        </wps:bodyPr>
                      </wps:wsp>
                    </wpg:wgp>
                  </a:graphicData>
                </a:graphic>
              </wp:anchor>
            </w:drawing>
          </mc:Choice>
          <mc:Fallback>
            <w:pict>
              <v:group id="Group 23" o:spid="_x0000_s1028" style="position:absolute;margin-left:33.85pt;margin-top:1.25pt;width:199.95pt;height:113.1pt;z-index:251666432" coordsize="25396,1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">
                <v:shape id="TextBox 30" o:spid="_x0000_s1029" type="#_x0000_t202" style="position:absolute;left:2471;top:9223;width:11493;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1392695F"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80% and Above</w:t>
                        </w:r>
                      </w:p>
                    </w:txbxContent>
                  </v:textbox>
                </v:shape>
                <v:group id="Group 27" o:spid="_x0000_s1030" style="position:absolute;top:4397;width:2741;height:9782" coordorigin=",439218" coordsize="376,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8" o:spid="_x0000_s1031" style="position:absolute;top:439218;width:376;height: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h1sAA&#10;AADbAAAADwAAAGRycy9kb3ducmV2LnhtbERPy4rCMBTdC/5DuMLsNK0wIh2jiMygjLjwMftrcm1L&#10;m5vSxNr5e7MQXB7Oe7HqbS06an3pWEE6SUAQa2dKzhVczj/jOQgfkA3WjknBP3lYLYeDBWbGPfhI&#10;3SnkIoawz1BBEUKTSel1QRb9xDXEkbu51mKIsM2lafERw20tp0kykxZLjg0FNrQpSFenu1VQ6b/9&#10;4b75nuvqeF3/ms803XapUh+jfv0FIlAf3uKXe2cUT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rh1sAAAADbAAAADwAAAAAAAAAAAAAAAACYAgAAZHJzL2Rvd25y&#10;ZXYueG1sUEsFBgAAAAAEAAQA9QAAAIUDAAAAAA==&#10;" fillcolor="red" strokecolor="black [3213]">
                    <v:textbox>
                      <w:txbxContent>
                        <w:p w14:paraId="72E12F6F" w14:textId="77777777" w:rsidR="0074708B" w:rsidRDefault="0074708B" w:rsidP="00461727">
                          <w:pPr>
                            <w:rPr>
                              <w:rFonts w:eastAsia="Times New Roman"/>
                            </w:rPr>
                          </w:pPr>
                        </w:p>
                      </w:txbxContent>
                    </v:textbox>
                  </v:rect>
                  <v:rect id="Rectangle 29" o:spid="_x0000_s1032" style="position:absolute;top:439458;width:376;height: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OycIA&#10;AADbAAAADwAAAGRycy9kb3ducmV2LnhtbESPT4vCMBTE78J+h/CEvWlqYcWtRhFZWQ9e/APu8dE8&#10;02DzUpqo3W9vBMHjMDO/YWaLztXiRm2wnhWMhhkI4tJry0bB8bAeTECEiKyx9kwK/inAYv7Rm2Gh&#10;/Z13dNtHIxKEQ4EKqhibQspQVuQwDH1DnLyzbx3GJFsjdYv3BHe1zLNsLB1aTgsVNrSqqLzsr07B&#10;6Ydzbcxha7Fb5aXd+tPX759Sn/1uOQURqYvv8Ku90Qryb3h+S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U7JwgAAANsAAAAPAAAAAAAAAAAAAAAAAJgCAABkcnMvZG93&#10;bnJldi54bWxQSwUGAAAAAAQABAD1AAAAhwMAAAAA&#10;" fillcolor="yellow" strokecolor="black [3213]">
                    <v:textbox>
                      <w:txbxContent>
                        <w:p w14:paraId="43E5B1EE" w14:textId="77777777" w:rsidR="0074708B" w:rsidRDefault="0074708B" w:rsidP="00461727">
                          <w:pPr>
                            <w:rPr>
                              <w:rFonts w:eastAsia="Times New Roman"/>
                            </w:rPr>
                          </w:pPr>
                        </w:p>
                      </w:txbxContent>
                    </v:textbox>
                  </v:rect>
                  <v:rect id="Rectangle 30" o:spid="_x0000_s1033" style="position:absolute;top:439698;width:376;height: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YuMEA&#10;AADbAAAADwAAAGRycy9kb3ducmV2LnhtbERPy4rCMBTdC/5DuAPuNB1fSKdRRBAEBwZfi9ldmtsH&#10;Nje1iW3n781iwOXhvJNNbyrRUuNKywo+JxEI4tTqknMF18t+vALhPLLGyjIp+CMHm/VwkGCsbccn&#10;as8+FyGEXYwKCu/rWEqXFmTQTWxNHLjMNgZ9gE0udYNdCDeVnEbRUhosOTQUWNOuoPR+fhoF/fJ2&#10;1d33cb84ZtVs8fvT3uePVqnRR7/9AuGp92/xv/ugFczC+vAl/AC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2mLjBAAAA2wAAAA8AAAAAAAAAAAAAAAAAmAIAAGRycy9kb3du&#10;cmV2LnhtbFBLBQYAAAAABAAEAPUAAACGAwAAAAA=&#10;" fillcolor="lime" strokecolor="black [3213]">
                    <v:textbox>
                      <w:txbxContent>
                        <w:p w14:paraId="5DE7D3FF" w14:textId="77777777" w:rsidR="0074708B" w:rsidRDefault="0074708B" w:rsidP="00461727">
                          <w:pPr>
                            <w:rPr>
                              <w:rFonts w:eastAsia="Times New Roman"/>
                            </w:rPr>
                          </w:pPr>
                        </w:p>
                      </w:txbxContent>
                    </v:textbox>
                  </v:rect>
                  <v:rect id="Rectangle 31" o:spid="_x0000_s1034" style="position:absolute;top:439883;width:376;height: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V2GcMA&#10;AADbAAAADwAAAGRycy9kb3ducmV2LnhtbESPQWsCMRSE70L/Q3gFL6JZbRFdjVKkW9qjqxdvj81z&#10;s7h5CZuo6783hUKPw8x8w6y3vW3FjbrQOFYwnWQgiCunG64VHA/FeAEiRGSNrWNS8KAA283LYI25&#10;dnfe062MtUgQDjkqMDH6XMpQGbIYJs4TJ+/sOosxya6WusN7gttWzrJsLi02nBYMetoZqi7l1SqY&#10;le+7z8ep/MHq6r8aU/jRsjgpNXztP1YgIvXxP/zX/tYK3qbw+yX9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V2GcMAAADbAAAADwAAAAAAAAAAAAAAAACYAgAAZHJzL2Rv&#10;d25yZXYueG1sUEsFBgAAAAAEAAQA9QAAAIgDAAAAAA==&#10;" fillcolor="white [3212]" strokecolor="black [3213]">
                    <v:textbox>
                      <w:txbxContent>
                        <w:p w14:paraId="21BCC3FE" w14:textId="77777777" w:rsidR="0074708B" w:rsidRDefault="0074708B" w:rsidP="00461727">
                          <w:pPr>
                            <w:rPr>
                              <w:rFonts w:eastAsia="Times New Roman"/>
                            </w:rPr>
                          </w:pPr>
                        </w:p>
                      </w:txbxContent>
                    </v:textbox>
                  </v:rect>
                </v:group>
                <v:shape id="TextBox 32" o:spid="_x0000_s1035" type="#_x0000_t202" style="position:absolute;left:2490;top:4320;width:5969;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14:paraId="61B79F65"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&lt; 50%</w:t>
                        </w:r>
                      </w:p>
                    </w:txbxContent>
                  </v:textbox>
                </v:shape>
                <v:shape id="TextBox 33" o:spid="_x0000_s1036" type="#_x0000_t202" style="position:absolute;left:2430;top:6715;width:10388;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lL8EA&#10;AADbAAAADwAAAGRycy9kb3ducmV2LnhtbESPQWvCQBSE7wX/w/IK3upGp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kpS/BAAAA2wAAAA8AAAAAAAAAAAAAAAAAmAIAAGRycy9kb3du&#10;cmV2LnhtbFBLBQYAAAAABAAEAPUAAACGAwAAAAA=&#10;" filled="f" stroked="f">
                  <v:textbox style="mso-fit-shape-to-text:t">
                    <w:txbxContent>
                      <w:p w14:paraId="5C6AC167"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50 -79.99%</w:t>
                        </w:r>
                      </w:p>
                    </w:txbxContent>
                  </v:textbox>
                </v:shape>
                <v:shape id="TextBox 32" o:spid="_x0000_s1037" type="#_x0000_t202" style="position:absolute;left:2605;top:11646;width:22791;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14:paraId="068A72D9" w14:textId="77777777" w:rsidR="0074708B" w:rsidRDefault="0074708B" w:rsidP="00461727">
                        <w:pPr>
                          <w:pStyle w:val="NormalWeb"/>
                          <w:spacing w:before="0" w:beforeAutospacing="0" w:after="0" w:afterAutospacing="0"/>
                        </w:pPr>
                        <w:r>
                          <w:rPr>
                            <w:rFonts w:asciiTheme="minorHAnsi" w:hAnsi="Calibri" w:cstheme="minorBidi"/>
                            <w:b/>
                            <w:bCs/>
                            <w:color w:val="000000" w:themeColor="text1"/>
                            <w:kern w:val="24"/>
                            <w:sz w:val="22"/>
                            <w:szCs w:val="22"/>
                            <w:lang w:val="en-US"/>
                          </w:rPr>
                          <w:t>No Report / shape  file issue</w:t>
                        </w:r>
                      </w:p>
                    </w:txbxContent>
                  </v:textbox>
                </v:shape>
                <v:shape id="TextBox 6" o:spid="_x0000_s1038" type="#_x0000_t202" style="position:absolute;left:95;width:6446;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14:paraId="0864ADED" w14:textId="682331F7" w:rsidR="0074708B" w:rsidRDefault="0074708B" w:rsidP="00461727">
                        <w:pPr>
                          <w:pStyle w:val="NormalWeb"/>
                          <w:spacing w:before="0" w:beforeAutospacing="0" w:after="0" w:afterAutospacing="0"/>
                        </w:pPr>
                        <w:r>
                          <w:rPr>
                            <w:rFonts w:ascii="Calibri" w:hAnsi="Calibri" w:cstheme="minorBidi"/>
                            <w:b/>
                            <w:bCs/>
                            <w:color w:val="000000" w:themeColor="text1"/>
                            <w:kern w:val="24"/>
                            <w:lang w:val="en-US"/>
                          </w:rPr>
                          <w:t>Legend</w:t>
                        </w:r>
                      </w:p>
                    </w:txbxContent>
                  </v:textbox>
                </v:shape>
              </v:group>
            </w:pict>
          </mc:Fallback>
        </mc:AlternateContent>
      </w:r>
    </w:p>
    <w:p w14:paraId="3E3E2D18" w14:textId="0CA228E6" w:rsidR="00461727" w:rsidRDefault="00461727" w:rsidP="00D27284">
      <w:pPr>
        <w:rPr>
          <w:b/>
          <w:lang w:val="en-US"/>
        </w:rPr>
      </w:pPr>
    </w:p>
    <w:p w14:paraId="7254C57C" w14:textId="77777777" w:rsidR="00461727" w:rsidRDefault="00461727" w:rsidP="00D27284">
      <w:pPr>
        <w:rPr>
          <w:b/>
          <w:lang w:val="en-US"/>
        </w:rPr>
      </w:pPr>
    </w:p>
    <w:p w14:paraId="39292919" w14:textId="77777777" w:rsidR="00461727" w:rsidRDefault="00461727" w:rsidP="00D27284">
      <w:pPr>
        <w:rPr>
          <w:b/>
          <w:lang w:val="en-US"/>
        </w:rPr>
      </w:pPr>
    </w:p>
    <w:p w14:paraId="7B1A7214" w14:textId="77777777" w:rsidR="00461727" w:rsidRDefault="00461727" w:rsidP="00D27284">
      <w:pPr>
        <w:rPr>
          <w:b/>
          <w:lang w:val="en-US"/>
        </w:rPr>
      </w:pPr>
    </w:p>
    <w:p w14:paraId="704F1F0C" w14:textId="77777777" w:rsidR="00461727" w:rsidRDefault="00461727" w:rsidP="00D27284">
      <w:pPr>
        <w:rPr>
          <w:b/>
          <w:lang w:val="en-US"/>
        </w:rPr>
        <w:sectPr w:rsidR="00461727">
          <w:pgSz w:w="11906" w:h="16838"/>
          <w:pgMar w:top="1440" w:right="1440" w:bottom="1440" w:left="1440" w:header="709" w:footer="709" w:gutter="0"/>
          <w:cols w:space="720"/>
        </w:sectPr>
      </w:pPr>
    </w:p>
    <w:p w14:paraId="2C41C453" w14:textId="57FD37FE" w:rsidR="00D27284" w:rsidRPr="00651A7C" w:rsidRDefault="00651A7C" w:rsidP="00651A7C">
      <w:pPr>
        <w:pStyle w:val="Caption"/>
        <w:rPr>
          <w:rFonts w:ascii="Arial" w:hAnsi="Arial" w:cs="Arial"/>
          <w:color w:val="auto"/>
          <w:sz w:val="22"/>
        </w:rPr>
      </w:pPr>
      <w:r w:rsidRPr="00651A7C">
        <w:rPr>
          <w:rFonts w:ascii="Arial" w:hAnsi="Arial" w:cs="Arial"/>
          <w:color w:val="auto"/>
          <w:sz w:val="22"/>
        </w:rPr>
        <w:lastRenderedPageBreak/>
        <w:t xml:space="preserve">Figure </w:t>
      </w:r>
      <w:r w:rsidRPr="00651A7C">
        <w:rPr>
          <w:rFonts w:ascii="Arial" w:hAnsi="Arial" w:cs="Arial"/>
          <w:color w:val="auto"/>
          <w:sz w:val="22"/>
        </w:rPr>
        <w:fldChar w:fldCharType="begin"/>
      </w:r>
      <w:r w:rsidRPr="00651A7C">
        <w:rPr>
          <w:rFonts w:ascii="Arial" w:hAnsi="Arial" w:cs="Arial"/>
          <w:color w:val="auto"/>
          <w:sz w:val="22"/>
        </w:rPr>
        <w:instrText xml:space="preserve"> SEQ Figure \* ARABIC </w:instrText>
      </w:r>
      <w:r w:rsidRPr="00651A7C">
        <w:rPr>
          <w:rFonts w:ascii="Arial" w:hAnsi="Arial" w:cs="Arial"/>
          <w:color w:val="auto"/>
          <w:sz w:val="22"/>
        </w:rPr>
        <w:fldChar w:fldCharType="separate"/>
      </w:r>
      <w:r w:rsidRPr="00651A7C">
        <w:rPr>
          <w:rFonts w:ascii="Arial" w:hAnsi="Arial" w:cs="Arial"/>
          <w:color w:val="auto"/>
          <w:sz w:val="22"/>
        </w:rPr>
        <w:t>7</w:t>
      </w:r>
      <w:r w:rsidRPr="00651A7C">
        <w:rPr>
          <w:rFonts w:ascii="Arial" w:hAnsi="Arial" w:cs="Arial"/>
          <w:color w:val="auto"/>
          <w:sz w:val="22"/>
        </w:rPr>
        <w:fldChar w:fldCharType="end"/>
      </w:r>
      <w:r w:rsidRPr="00651A7C">
        <w:rPr>
          <w:rFonts w:ascii="Arial" w:hAnsi="Arial" w:cs="Arial"/>
          <w:color w:val="auto"/>
          <w:sz w:val="22"/>
        </w:rPr>
        <w:t xml:space="preserve">: </w:t>
      </w:r>
      <w:r w:rsidR="00D27284" w:rsidRPr="00651A7C">
        <w:rPr>
          <w:rFonts w:ascii="Arial" w:hAnsi="Arial" w:cs="Arial"/>
          <w:color w:val="auto"/>
          <w:sz w:val="22"/>
        </w:rPr>
        <w:t xml:space="preserve">Immunization coverage data disaggregated by sex and wealth quintile </w:t>
      </w:r>
    </w:p>
    <w:p w14:paraId="347A0B12" w14:textId="77777777" w:rsidR="00461727" w:rsidRDefault="00461727" w:rsidP="00D27284">
      <w:pPr>
        <w:rPr>
          <w:lang w:val="en-US"/>
        </w:rPr>
      </w:pPr>
    </w:p>
    <w:p w14:paraId="744F32B5" w14:textId="05507285" w:rsidR="00461727" w:rsidRDefault="00461727" w:rsidP="00D27284">
      <w:pPr>
        <w:rPr>
          <w:lang w:val="en-US"/>
        </w:rPr>
      </w:pPr>
      <w:r>
        <w:rPr>
          <w:noProof/>
          <w:lang w:eastAsia="zh-CN"/>
        </w:rPr>
        <w:drawing>
          <wp:inline distT="0" distB="0" distL="0" distR="0" wp14:anchorId="4598BA9F" wp14:editId="1D57CAB3">
            <wp:extent cx="5731510" cy="57315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_disaggregated_data DTP3 by wealth quintile 26 July 20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A460B6A" w14:textId="6C30DD10" w:rsidR="008C461F" w:rsidRDefault="008C461F">
      <w:pPr>
        <w:rPr>
          <w:lang w:val="en-US"/>
        </w:rPr>
      </w:pPr>
      <w:r>
        <w:rPr>
          <w:lang w:val="en-US"/>
        </w:rPr>
        <w:br w:type="page"/>
      </w:r>
    </w:p>
    <w:p w14:paraId="660C8421" w14:textId="77777777" w:rsidR="003707DB" w:rsidRDefault="00D27284" w:rsidP="00D27284">
      <w:pPr>
        <w:pStyle w:val="ListParagraph"/>
        <w:numPr>
          <w:ilvl w:val="0"/>
          <w:numId w:val="22"/>
        </w:numPr>
        <w:rPr>
          <w:b/>
          <w:bCs/>
          <w:lang w:val="en-US"/>
        </w:rPr>
      </w:pPr>
      <w:r w:rsidRPr="006140E6">
        <w:rPr>
          <w:b/>
          <w:bCs/>
          <w:lang w:val="en-US"/>
        </w:rPr>
        <w:lastRenderedPageBreak/>
        <w:t>Immunization systems highlights</w:t>
      </w:r>
    </w:p>
    <w:p w14:paraId="09F5211E" w14:textId="5468FF40" w:rsidR="00D27284" w:rsidRPr="006140E6" w:rsidRDefault="00D27284" w:rsidP="003707DB">
      <w:pPr>
        <w:pStyle w:val="ListParagraph"/>
        <w:rPr>
          <w:b/>
          <w:bCs/>
          <w:lang w:val="en-US"/>
        </w:rPr>
      </w:pPr>
    </w:p>
    <w:p w14:paraId="7029615F" w14:textId="77777777" w:rsidR="003707DB" w:rsidRDefault="00D27284" w:rsidP="0074708B">
      <w:pPr>
        <w:pStyle w:val="ListParagraph"/>
        <w:numPr>
          <w:ilvl w:val="0"/>
          <w:numId w:val="26"/>
        </w:numPr>
        <w:spacing w:after="0"/>
        <w:rPr>
          <w:lang w:val="en-US"/>
        </w:rPr>
      </w:pPr>
      <w:r w:rsidRPr="003707DB">
        <w:rPr>
          <w:lang w:val="en-US"/>
        </w:rPr>
        <w:t>Immunization schedule</w:t>
      </w:r>
    </w:p>
    <w:p w14:paraId="6A0AD371" w14:textId="3C08CB67" w:rsidR="00D27284" w:rsidRDefault="003707DB" w:rsidP="00B637A0">
      <w:pPr>
        <w:pStyle w:val="ListParagraph"/>
        <w:spacing w:after="0"/>
        <w:jc w:val="center"/>
        <w:rPr>
          <w:lang w:val="en-US"/>
        </w:rPr>
      </w:pPr>
      <w:r w:rsidRPr="006140E6">
        <w:rPr>
          <w:noProof/>
          <w:lang w:eastAsia="zh-CN"/>
        </w:rPr>
        <w:drawing>
          <wp:inline distT="0" distB="0" distL="0" distR="0" wp14:anchorId="7EDB7141" wp14:editId="074E7BE5">
            <wp:extent cx="4953000" cy="219062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1031" t="22341" r="27693" b="54255"/>
                    <a:stretch/>
                  </pic:blipFill>
                  <pic:spPr bwMode="auto">
                    <a:xfrm>
                      <a:off x="0" y="0"/>
                      <a:ext cx="4995967" cy="2209625"/>
                    </a:xfrm>
                    <a:prstGeom prst="rect">
                      <a:avLst/>
                    </a:prstGeom>
                    <a:ln>
                      <a:noFill/>
                    </a:ln>
                    <a:extLst>
                      <a:ext uri="{53640926-AAD7-44D8-BBD7-CCE9431645EC}">
                        <a14:shadowObscured xmlns:a14="http://schemas.microsoft.com/office/drawing/2010/main"/>
                      </a:ext>
                    </a:extLst>
                  </pic:spPr>
                </pic:pic>
              </a:graphicData>
            </a:graphic>
          </wp:inline>
        </w:drawing>
      </w:r>
    </w:p>
    <w:p w14:paraId="68F3C007" w14:textId="77777777" w:rsidR="00B637A0" w:rsidRDefault="00B637A0" w:rsidP="00B637A0">
      <w:pPr>
        <w:pStyle w:val="ListParagraph"/>
        <w:spacing w:after="0"/>
        <w:rPr>
          <w:lang w:val="en-US"/>
        </w:rPr>
      </w:pPr>
    </w:p>
    <w:p w14:paraId="17BC3776" w14:textId="386FFC92" w:rsidR="003707DB" w:rsidRPr="003707DB" w:rsidRDefault="003707DB" w:rsidP="0074708B">
      <w:pPr>
        <w:pStyle w:val="ListParagraph"/>
        <w:numPr>
          <w:ilvl w:val="0"/>
          <w:numId w:val="26"/>
        </w:numPr>
        <w:spacing w:after="0"/>
        <w:rPr>
          <w:lang w:val="en-US"/>
        </w:rPr>
      </w:pPr>
      <w:r w:rsidRPr="003707DB">
        <w:rPr>
          <w:lang w:val="en-US"/>
        </w:rPr>
        <w:t>Planning and management:</w:t>
      </w:r>
    </w:p>
    <w:p w14:paraId="3C5E803A" w14:textId="14A78CC4" w:rsidR="00D27284" w:rsidRPr="006140E6" w:rsidRDefault="00D27284" w:rsidP="00D27284">
      <w:pPr>
        <w:pStyle w:val="ListParagraph"/>
        <w:numPr>
          <w:ilvl w:val="1"/>
          <w:numId w:val="26"/>
        </w:numPr>
        <w:rPr>
          <w:lang w:val="en-US"/>
        </w:rPr>
      </w:pPr>
      <w:r w:rsidRPr="006140E6">
        <w:rPr>
          <w:lang w:val="en-US"/>
        </w:rPr>
        <w:t>Stockout</w:t>
      </w:r>
      <w:r w:rsidR="008C461F">
        <w:rPr>
          <w:lang w:val="en-US"/>
        </w:rPr>
        <w:t>s</w:t>
      </w:r>
      <w:r w:rsidRPr="006140E6">
        <w:rPr>
          <w:lang w:val="en-US"/>
        </w:rPr>
        <w:t xml:space="preserve"> </w:t>
      </w:r>
      <w:r w:rsidR="00211685">
        <w:rPr>
          <w:lang w:val="en-US"/>
        </w:rPr>
        <w:t>: No stockout</w:t>
      </w:r>
      <w:r w:rsidR="00061C69">
        <w:rPr>
          <w:lang w:val="en-US"/>
        </w:rPr>
        <w:t>s</w:t>
      </w:r>
      <w:r w:rsidR="00211685">
        <w:rPr>
          <w:lang w:val="en-US"/>
        </w:rPr>
        <w:t xml:space="preserve"> reported in 2015 (as reported in JRF 2015)</w:t>
      </w:r>
    </w:p>
    <w:p w14:paraId="3301F4B0" w14:textId="74AA318A" w:rsidR="00D27284" w:rsidRPr="006140E6" w:rsidRDefault="00D27284" w:rsidP="00AC50A6">
      <w:pPr>
        <w:pStyle w:val="ListParagraph"/>
        <w:numPr>
          <w:ilvl w:val="1"/>
          <w:numId w:val="26"/>
        </w:numPr>
        <w:rPr>
          <w:lang w:val="en-US"/>
        </w:rPr>
      </w:pPr>
      <w:r w:rsidRPr="006140E6">
        <w:rPr>
          <w:lang w:val="en-US"/>
        </w:rPr>
        <w:t>cMYP: 201</w:t>
      </w:r>
      <w:r w:rsidR="00AC50A6" w:rsidRPr="006140E6">
        <w:rPr>
          <w:lang w:val="en-US"/>
        </w:rPr>
        <w:t>1</w:t>
      </w:r>
      <w:r w:rsidRPr="006140E6">
        <w:rPr>
          <w:lang w:val="en-US"/>
        </w:rPr>
        <w:t>-2015</w:t>
      </w:r>
    </w:p>
    <w:p w14:paraId="6D14D72E" w14:textId="7ACFE948" w:rsidR="00D27284" w:rsidRPr="006140E6" w:rsidRDefault="00D27284" w:rsidP="00D27284">
      <w:pPr>
        <w:pStyle w:val="ListParagraph"/>
        <w:numPr>
          <w:ilvl w:val="1"/>
          <w:numId w:val="26"/>
        </w:numPr>
        <w:rPr>
          <w:lang w:val="en-US"/>
        </w:rPr>
      </w:pPr>
      <w:r w:rsidRPr="006140E6">
        <w:rPr>
          <w:lang w:val="en-US"/>
        </w:rPr>
        <w:t xml:space="preserve">Annual </w:t>
      </w:r>
      <w:r w:rsidR="00061C69">
        <w:rPr>
          <w:lang w:val="en-US"/>
        </w:rPr>
        <w:t xml:space="preserve">Action </w:t>
      </w:r>
      <w:r w:rsidRPr="006140E6">
        <w:rPr>
          <w:lang w:val="en-US"/>
        </w:rPr>
        <w:t>Plan: Yes</w:t>
      </w:r>
    </w:p>
    <w:p w14:paraId="538FF858" w14:textId="0864A0AC" w:rsidR="00D27284" w:rsidRPr="006140E6" w:rsidRDefault="00D27284" w:rsidP="00D27284">
      <w:pPr>
        <w:pStyle w:val="ListParagraph"/>
        <w:numPr>
          <w:ilvl w:val="0"/>
          <w:numId w:val="26"/>
        </w:numPr>
        <w:rPr>
          <w:lang w:val="en-US"/>
        </w:rPr>
      </w:pPr>
      <w:r w:rsidRPr="006140E6">
        <w:rPr>
          <w:lang w:val="en-US"/>
        </w:rPr>
        <w:t xml:space="preserve">Country decision making: NITAG </w:t>
      </w:r>
      <w:r w:rsidR="00B637A0">
        <w:rPr>
          <w:lang w:val="en-US"/>
        </w:rPr>
        <w:t>established in 2015.</w:t>
      </w:r>
    </w:p>
    <w:p w14:paraId="199DD513" w14:textId="00D3BB04" w:rsidR="00E1542F" w:rsidRPr="00651A7C" w:rsidRDefault="00D27284" w:rsidP="00E1542F">
      <w:pPr>
        <w:pStyle w:val="ListParagraph"/>
        <w:numPr>
          <w:ilvl w:val="0"/>
          <w:numId w:val="26"/>
        </w:numPr>
        <w:spacing w:after="0"/>
        <w:rPr>
          <w:rFonts w:ascii="Arial" w:hAnsi="Arial" w:cs="Arial"/>
          <w:b/>
          <w:sz w:val="24"/>
          <w:lang w:val="en-US"/>
        </w:rPr>
      </w:pPr>
      <w:r w:rsidRPr="00E1542F">
        <w:rPr>
          <w:lang w:val="en-US"/>
        </w:rPr>
        <w:t>% of total expenditures on vaccines financed by government funds</w:t>
      </w:r>
      <w:r w:rsidR="008B63EF">
        <w:rPr>
          <w:lang w:val="en-US"/>
        </w:rPr>
        <w:t xml:space="preserve"> (JRF 2015)</w:t>
      </w:r>
      <w:r w:rsidR="00061C69">
        <w:rPr>
          <w:lang w:val="en-US"/>
        </w:rPr>
        <w:t>:</w:t>
      </w:r>
    </w:p>
    <w:p w14:paraId="65D86511" w14:textId="77777777" w:rsidR="00651A7C" w:rsidRDefault="00651A7C" w:rsidP="00651A7C">
      <w:pPr>
        <w:pStyle w:val="Caption"/>
        <w:rPr>
          <w:rFonts w:ascii="Arial" w:hAnsi="Arial" w:cs="Arial"/>
          <w:color w:val="auto"/>
          <w:sz w:val="22"/>
        </w:rPr>
      </w:pPr>
    </w:p>
    <w:p w14:paraId="285A0316" w14:textId="4FB30E65" w:rsidR="00651A7C" w:rsidRPr="00651A7C" w:rsidRDefault="00651A7C" w:rsidP="00651A7C">
      <w:pPr>
        <w:pStyle w:val="Caption"/>
        <w:rPr>
          <w:rFonts w:ascii="Arial" w:hAnsi="Arial" w:cs="Arial"/>
          <w:color w:val="auto"/>
          <w:sz w:val="22"/>
        </w:rPr>
      </w:pPr>
      <w:r w:rsidRPr="00651A7C">
        <w:rPr>
          <w:rFonts w:ascii="Arial" w:hAnsi="Arial" w:cs="Arial"/>
          <w:color w:val="auto"/>
          <w:sz w:val="22"/>
        </w:rPr>
        <w:t xml:space="preserve">Figure </w:t>
      </w:r>
      <w:r w:rsidRPr="00651A7C">
        <w:rPr>
          <w:rFonts w:ascii="Arial" w:hAnsi="Arial" w:cs="Arial"/>
          <w:color w:val="auto"/>
          <w:sz w:val="22"/>
        </w:rPr>
        <w:fldChar w:fldCharType="begin"/>
      </w:r>
      <w:r w:rsidRPr="00651A7C">
        <w:rPr>
          <w:rFonts w:ascii="Arial" w:hAnsi="Arial" w:cs="Arial"/>
          <w:color w:val="auto"/>
          <w:sz w:val="22"/>
        </w:rPr>
        <w:instrText xml:space="preserve"> SEQ Figure \* ARABIC </w:instrText>
      </w:r>
      <w:r w:rsidRPr="00651A7C">
        <w:rPr>
          <w:rFonts w:ascii="Arial" w:hAnsi="Arial" w:cs="Arial"/>
          <w:color w:val="auto"/>
          <w:sz w:val="22"/>
        </w:rPr>
        <w:fldChar w:fldCharType="separate"/>
      </w:r>
      <w:r w:rsidRPr="00651A7C">
        <w:rPr>
          <w:rFonts w:ascii="Arial" w:hAnsi="Arial" w:cs="Arial"/>
          <w:color w:val="auto"/>
          <w:sz w:val="22"/>
        </w:rPr>
        <w:t>8</w:t>
      </w:r>
      <w:r w:rsidRPr="00651A7C">
        <w:rPr>
          <w:rFonts w:ascii="Arial" w:hAnsi="Arial" w:cs="Arial"/>
          <w:color w:val="auto"/>
          <w:sz w:val="22"/>
        </w:rPr>
        <w:fldChar w:fldCharType="end"/>
      </w:r>
      <w:r w:rsidRPr="00651A7C">
        <w:rPr>
          <w:rFonts w:ascii="Arial" w:hAnsi="Arial" w:cs="Arial"/>
          <w:color w:val="auto"/>
          <w:sz w:val="22"/>
        </w:rPr>
        <w:t>: Percentage of total expenditures on vaccines  financed by government funds (JRF 2015):</w:t>
      </w:r>
    </w:p>
    <w:tbl>
      <w:tblPr>
        <w:tblStyle w:val="GridTable4-Accent31"/>
        <w:tblpPr w:leftFromText="180" w:rightFromText="180" w:vertAnchor="text" w:horzAnchor="page" w:tblpX="823" w:tblpY="16"/>
        <w:tblW w:w="10205" w:type="dxa"/>
        <w:tblLayout w:type="fixed"/>
        <w:tblLook w:val="04A0" w:firstRow="1" w:lastRow="0" w:firstColumn="1" w:lastColumn="0" w:noHBand="0" w:noVBand="1"/>
      </w:tblPr>
      <w:tblGrid>
        <w:gridCol w:w="1418"/>
        <w:gridCol w:w="850"/>
        <w:gridCol w:w="850"/>
        <w:gridCol w:w="827"/>
        <w:gridCol w:w="827"/>
        <w:gridCol w:w="850"/>
        <w:gridCol w:w="851"/>
        <w:gridCol w:w="851"/>
        <w:gridCol w:w="1039"/>
        <w:gridCol w:w="1026"/>
        <w:gridCol w:w="816"/>
      </w:tblGrid>
      <w:tr w:rsidR="00651A7C" w:rsidRPr="005E2000" w14:paraId="6AC00E7A" w14:textId="77777777" w:rsidTr="00061C6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nil"/>
            </w:tcBorders>
            <w:noWrap/>
            <w:vAlign w:val="center"/>
            <w:hideMark/>
          </w:tcPr>
          <w:p w14:paraId="228F317B" w14:textId="77777777" w:rsidR="00061C69" w:rsidRPr="005E2000" w:rsidRDefault="00061C69" w:rsidP="00061C69">
            <w:pPr>
              <w:jc w:val="center"/>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Country</w:t>
            </w:r>
          </w:p>
        </w:tc>
        <w:tc>
          <w:tcPr>
            <w:tcW w:w="850" w:type="dxa"/>
            <w:tcBorders>
              <w:top w:val="single" w:sz="4" w:space="0" w:color="auto"/>
              <w:bottom w:val="nil"/>
              <w:right w:val="dotDotDash" w:sz="4" w:space="0" w:color="auto"/>
            </w:tcBorders>
            <w:vAlign w:val="center"/>
          </w:tcPr>
          <w:p w14:paraId="6A69F66D"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val="en-US" w:eastAsia="en-US"/>
              </w:rPr>
            </w:pPr>
            <w:r>
              <w:rPr>
                <w:rFonts w:ascii="Calibri" w:eastAsia="Times New Roman" w:hAnsi="Calibri" w:cs="Times New Roman"/>
                <w:bCs w:val="0"/>
                <w:color w:val="000000"/>
                <w:sz w:val="18"/>
                <w:szCs w:val="18"/>
                <w:lang w:val="en-US" w:eastAsia="en-US"/>
              </w:rPr>
              <w:t>Income</w:t>
            </w:r>
          </w:p>
        </w:tc>
        <w:tc>
          <w:tcPr>
            <w:tcW w:w="850" w:type="dxa"/>
            <w:tcBorders>
              <w:top w:val="single" w:sz="4" w:space="0" w:color="auto"/>
              <w:left w:val="dotDotDash" w:sz="4" w:space="0" w:color="auto"/>
              <w:bottom w:val="nil"/>
            </w:tcBorders>
            <w:noWrap/>
            <w:vAlign w:val="center"/>
            <w:hideMark/>
          </w:tcPr>
          <w:p w14:paraId="7E1F9D05"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2010</w:t>
            </w:r>
          </w:p>
        </w:tc>
        <w:tc>
          <w:tcPr>
            <w:tcW w:w="827" w:type="dxa"/>
            <w:tcBorders>
              <w:top w:val="single" w:sz="4" w:space="0" w:color="auto"/>
              <w:bottom w:val="nil"/>
            </w:tcBorders>
            <w:noWrap/>
            <w:vAlign w:val="center"/>
            <w:hideMark/>
          </w:tcPr>
          <w:p w14:paraId="1DD7B876"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2011</w:t>
            </w:r>
          </w:p>
        </w:tc>
        <w:tc>
          <w:tcPr>
            <w:tcW w:w="827" w:type="dxa"/>
            <w:tcBorders>
              <w:top w:val="single" w:sz="4" w:space="0" w:color="auto"/>
              <w:bottom w:val="nil"/>
            </w:tcBorders>
            <w:noWrap/>
            <w:vAlign w:val="center"/>
            <w:hideMark/>
          </w:tcPr>
          <w:p w14:paraId="77CC5337"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2012</w:t>
            </w:r>
          </w:p>
        </w:tc>
        <w:tc>
          <w:tcPr>
            <w:tcW w:w="850" w:type="dxa"/>
            <w:tcBorders>
              <w:top w:val="single" w:sz="4" w:space="0" w:color="auto"/>
              <w:bottom w:val="nil"/>
            </w:tcBorders>
            <w:noWrap/>
            <w:vAlign w:val="center"/>
            <w:hideMark/>
          </w:tcPr>
          <w:p w14:paraId="74A168B4"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2013</w:t>
            </w:r>
          </w:p>
        </w:tc>
        <w:tc>
          <w:tcPr>
            <w:tcW w:w="851" w:type="dxa"/>
            <w:tcBorders>
              <w:top w:val="single" w:sz="4" w:space="0" w:color="auto"/>
              <w:bottom w:val="nil"/>
            </w:tcBorders>
            <w:noWrap/>
            <w:vAlign w:val="center"/>
            <w:hideMark/>
          </w:tcPr>
          <w:p w14:paraId="6F3AA7D1"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2014</w:t>
            </w:r>
          </w:p>
        </w:tc>
        <w:tc>
          <w:tcPr>
            <w:tcW w:w="851" w:type="dxa"/>
            <w:tcBorders>
              <w:top w:val="single" w:sz="4" w:space="0" w:color="auto"/>
              <w:bottom w:val="nil"/>
              <w:right w:val="single" w:sz="4" w:space="0" w:color="auto"/>
            </w:tcBorders>
            <w:noWrap/>
            <w:vAlign w:val="center"/>
            <w:hideMark/>
          </w:tcPr>
          <w:p w14:paraId="3844E274"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2015</w:t>
            </w:r>
          </w:p>
        </w:tc>
        <w:tc>
          <w:tcPr>
            <w:tcW w:w="1039" w:type="dxa"/>
            <w:tcBorders>
              <w:top w:val="single" w:sz="4" w:space="0" w:color="auto"/>
              <w:left w:val="single" w:sz="4" w:space="0" w:color="auto"/>
              <w:bottom w:val="nil"/>
            </w:tcBorders>
            <w:vAlign w:val="center"/>
            <w:hideMark/>
          </w:tcPr>
          <w:p w14:paraId="45B05AC6"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2010-2011</w:t>
            </w:r>
            <w:r w:rsidRPr="005E2000">
              <w:rPr>
                <w:rFonts w:ascii="Calibri" w:eastAsia="Times New Roman" w:hAnsi="Calibri" w:cs="Times New Roman"/>
                <w:bCs w:val="0"/>
                <w:color w:val="000000"/>
                <w:sz w:val="18"/>
                <w:szCs w:val="18"/>
                <w:lang w:val="en-US" w:eastAsia="en-US"/>
              </w:rPr>
              <w:br/>
              <w:t>Average</w:t>
            </w:r>
          </w:p>
        </w:tc>
        <w:tc>
          <w:tcPr>
            <w:tcW w:w="1026" w:type="dxa"/>
            <w:tcBorders>
              <w:top w:val="single" w:sz="4" w:space="0" w:color="auto"/>
              <w:bottom w:val="nil"/>
            </w:tcBorders>
            <w:vAlign w:val="center"/>
            <w:hideMark/>
          </w:tcPr>
          <w:p w14:paraId="19974795"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 xml:space="preserve">2013-2015 </w:t>
            </w:r>
            <w:r w:rsidRPr="005E2000">
              <w:rPr>
                <w:rFonts w:ascii="Calibri" w:eastAsia="Times New Roman" w:hAnsi="Calibri" w:cs="Times New Roman"/>
                <w:bCs w:val="0"/>
                <w:color w:val="000000"/>
                <w:sz w:val="18"/>
                <w:szCs w:val="18"/>
                <w:lang w:val="en-US" w:eastAsia="en-US"/>
              </w:rPr>
              <w:br/>
              <w:t>Average</w:t>
            </w:r>
          </w:p>
        </w:tc>
        <w:tc>
          <w:tcPr>
            <w:tcW w:w="816" w:type="dxa"/>
            <w:tcBorders>
              <w:top w:val="single" w:sz="4" w:space="0" w:color="auto"/>
              <w:bottom w:val="nil"/>
              <w:right w:val="single" w:sz="4" w:space="0" w:color="auto"/>
            </w:tcBorders>
            <w:noWrap/>
            <w:vAlign w:val="center"/>
            <w:hideMark/>
          </w:tcPr>
          <w:p w14:paraId="5BA1D6F3" w14:textId="77777777" w:rsidR="00061C69" w:rsidRPr="005E2000" w:rsidRDefault="00061C69" w:rsidP="00061C6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18"/>
                <w:szCs w:val="18"/>
                <w:lang w:val="en-US" w:eastAsia="en-US"/>
              </w:rPr>
            </w:pPr>
            <w:r w:rsidRPr="005E2000">
              <w:rPr>
                <w:rFonts w:ascii="Calibri" w:eastAsia="Times New Roman" w:hAnsi="Calibri" w:cs="Times New Roman"/>
                <w:bCs w:val="0"/>
                <w:color w:val="000000"/>
                <w:sz w:val="18"/>
                <w:szCs w:val="18"/>
                <w:lang w:val="en-US" w:eastAsia="en-US"/>
              </w:rPr>
              <w:t>Change</w:t>
            </w:r>
          </w:p>
        </w:tc>
      </w:tr>
      <w:tr w:rsidR="00651A7C" w:rsidRPr="00AB4A69" w14:paraId="6C7185CE" w14:textId="77777777" w:rsidTr="00061C6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8" w:type="dxa"/>
            <w:tcBorders>
              <w:top w:val="nil"/>
              <w:left w:val="single" w:sz="4" w:space="0" w:color="auto"/>
              <w:bottom w:val="nil"/>
              <w:right w:val="nil"/>
            </w:tcBorders>
            <w:noWrap/>
            <w:vAlign w:val="center"/>
          </w:tcPr>
          <w:p w14:paraId="64F8553B" w14:textId="77777777" w:rsidR="00061C69" w:rsidRPr="00DD77F1" w:rsidRDefault="00061C69" w:rsidP="00061C69">
            <w:pPr>
              <w:rPr>
                <w:rFonts w:ascii="Calibri" w:hAnsi="Calibri"/>
                <w:sz w:val="18"/>
                <w:szCs w:val="18"/>
              </w:rPr>
            </w:pPr>
          </w:p>
        </w:tc>
        <w:tc>
          <w:tcPr>
            <w:tcW w:w="850" w:type="dxa"/>
            <w:tcBorders>
              <w:top w:val="nil"/>
              <w:left w:val="nil"/>
              <w:bottom w:val="nil"/>
              <w:right w:val="dotDotDash" w:sz="4" w:space="0" w:color="auto"/>
            </w:tcBorders>
            <w:vAlign w:val="center"/>
          </w:tcPr>
          <w:p w14:paraId="25EA9C64"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c>
          <w:tcPr>
            <w:tcW w:w="850" w:type="dxa"/>
            <w:tcBorders>
              <w:top w:val="nil"/>
              <w:left w:val="dotDotDash" w:sz="4" w:space="0" w:color="auto"/>
              <w:bottom w:val="nil"/>
              <w:right w:val="nil"/>
            </w:tcBorders>
            <w:noWrap/>
            <w:vAlign w:val="center"/>
          </w:tcPr>
          <w:p w14:paraId="347E67A5"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c>
          <w:tcPr>
            <w:tcW w:w="827" w:type="dxa"/>
            <w:tcBorders>
              <w:top w:val="nil"/>
              <w:left w:val="nil"/>
              <w:bottom w:val="nil"/>
              <w:right w:val="nil"/>
            </w:tcBorders>
            <w:noWrap/>
            <w:vAlign w:val="center"/>
          </w:tcPr>
          <w:p w14:paraId="705AEB12" w14:textId="77777777" w:rsidR="00061C69" w:rsidRPr="0053228F"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iCs/>
                <w:color w:val="000000" w:themeColor="text1"/>
                <w:sz w:val="18"/>
                <w:szCs w:val="18"/>
                <w:lang w:val="en-US"/>
              </w:rPr>
            </w:pPr>
          </w:p>
        </w:tc>
        <w:tc>
          <w:tcPr>
            <w:tcW w:w="827" w:type="dxa"/>
            <w:tcBorders>
              <w:top w:val="nil"/>
              <w:left w:val="nil"/>
              <w:bottom w:val="nil"/>
              <w:right w:val="nil"/>
            </w:tcBorders>
            <w:noWrap/>
            <w:vAlign w:val="center"/>
          </w:tcPr>
          <w:p w14:paraId="6AF91257"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c>
          <w:tcPr>
            <w:tcW w:w="850" w:type="dxa"/>
            <w:tcBorders>
              <w:top w:val="nil"/>
              <w:left w:val="nil"/>
              <w:bottom w:val="nil"/>
              <w:right w:val="nil"/>
            </w:tcBorders>
            <w:noWrap/>
            <w:vAlign w:val="center"/>
          </w:tcPr>
          <w:p w14:paraId="704176BC"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8"/>
                <w:szCs w:val="18"/>
              </w:rPr>
            </w:pPr>
          </w:p>
        </w:tc>
        <w:tc>
          <w:tcPr>
            <w:tcW w:w="851" w:type="dxa"/>
            <w:tcBorders>
              <w:top w:val="nil"/>
              <w:left w:val="nil"/>
              <w:bottom w:val="nil"/>
              <w:right w:val="nil"/>
            </w:tcBorders>
            <w:noWrap/>
            <w:vAlign w:val="center"/>
          </w:tcPr>
          <w:p w14:paraId="1A74F021"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c>
          <w:tcPr>
            <w:tcW w:w="851" w:type="dxa"/>
            <w:tcBorders>
              <w:top w:val="nil"/>
              <w:left w:val="nil"/>
              <w:bottom w:val="nil"/>
              <w:right w:val="single" w:sz="4" w:space="0" w:color="auto"/>
            </w:tcBorders>
            <w:noWrap/>
            <w:vAlign w:val="center"/>
          </w:tcPr>
          <w:p w14:paraId="132CCFC6"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c>
          <w:tcPr>
            <w:tcW w:w="1039" w:type="dxa"/>
            <w:tcBorders>
              <w:top w:val="nil"/>
              <w:left w:val="single" w:sz="4" w:space="0" w:color="auto"/>
              <w:bottom w:val="nil"/>
              <w:right w:val="nil"/>
            </w:tcBorders>
            <w:noWrap/>
            <w:vAlign w:val="center"/>
          </w:tcPr>
          <w:p w14:paraId="392B91BB"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
        </w:tc>
        <w:tc>
          <w:tcPr>
            <w:tcW w:w="1026" w:type="dxa"/>
            <w:tcBorders>
              <w:top w:val="nil"/>
              <w:left w:val="nil"/>
              <w:bottom w:val="nil"/>
              <w:right w:val="nil"/>
            </w:tcBorders>
            <w:noWrap/>
            <w:vAlign w:val="center"/>
          </w:tcPr>
          <w:p w14:paraId="5782929E" w14:textId="77777777" w:rsidR="00061C69" w:rsidRDefault="00061C69" w:rsidP="00061C69">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
        </w:tc>
        <w:tc>
          <w:tcPr>
            <w:tcW w:w="816" w:type="dxa"/>
            <w:tcBorders>
              <w:top w:val="nil"/>
              <w:left w:val="nil"/>
              <w:bottom w:val="nil"/>
              <w:right w:val="single" w:sz="4" w:space="0" w:color="auto"/>
            </w:tcBorders>
            <w:noWrap/>
            <w:vAlign w:val="center"/>
          </w:tcPr>
          <w:p w14:paraId="473F8F84" w14:textId="77777777" w:rsidR="00061C69" w:rsidRDefault="00061C69" w:rsidP="00594240">
            <w:pPr>
              <w:ind w:firstLineChars="100" w:firstLine="180"/>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
        </w:tc>
      </w:tr>
      <w:tr w:rsidR="00651A7C" w:rsidRPr="00AB4A69" w14:paraId="26D5862D" w14:textId="77777777" w:rsidTr="00061C69">
        <w:trPr>
          <w:trHeight w:val="312"/>
        </w:trPr>
        <w:tc>
          <w:tcPr>
            <w:cnfStyle w:val="001000000000" w:firstRow="0" w:lastRow="0" w:firstColumn="1" w:lastColumn="0" w:oddVBand="0" w:evenVBand="0" w:oddHBand="0" w:evenHBand="0" w:firstRowFirstColumn="0" w:firstRowLastColumn="0" w:lastRowFirstColumn="0" w:lastRowLastColumn="0"/>
            <w:tcW w:w="1418" w:type="dxa"/>
            <w:tcBorders>
              <w:top w:val="nil"/>
              <w:left w:val="single" w:sz="4" w:space="0" w:color="auto"/>
              <w:bottom w:val="single" w:sz="4" w:space="0" w:color="auto"/>
              <w:right w:val="nil"/>
            </w:tcBorders>
            <w:noWrap/>
            <w:vAlign w:val="center"/>
            <w:hideMark/>
          </w:tcPr>
          <w:p w14:paraId="5A271B48" w14:textId="77777777" w:rsidR="00061C69" w:rsidRPr="00DD77F1" w:rsidRDefault="00061C69" w:rsidP="00061C69">
            <w:pPr>
              <w:rPr>
                <w:rFonts w:ascii="Calibri" w:eastAsia="Times New Roman" w:hAnsi="Calibri" w:cs="Times New Roman"/>
                <w:color w:val="000000"/>
                <w:sz w:val="16"/>
                <w:szCs w:val="16"/>
                <w:lang w:val="en-US" w:eastAsia="en-US"/>
              </w:rPr>
            </w:pPr>
            <w:r w:rsidRPr="00DD77F1">
              <w:rPr>
                <w:rFonts w:ascii="Calibri" w:hAnsi="Calibri"/>
                <w:sz w:val="18"/>
                <w:szCs w:val="18"/>
              </w:rPr>
              <w:t>Ethiopia</w:t>
            </w:r>
          </w:p>
        </w:tc>
        <w:tc>
          <w:tcPr>
            <w:tcW w:w="850" w:type="dxa"/>
            <w:tcBorders>
              <w:top w:val="nil"/>
              <w:left w:val="nil"/>
              <w:bottom w:val="single" w:sz="4" w:space="0" w:color="auto"/>
              <w:right w:val="dotDotDash" w:sz="4" w:space="0" w:color="auto"/>
            </w:tcBorders>
            <w:vAlign w:val="center"/>
          </w:tcPr>
          <w:p w14:paraId="294E8548" w14:textId="77777777" w:rsidR="00061C69"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LIC</w:t>
            </w:r>
          </w:p>
        </w:tc>
        <w:tc>
          <w:tcPr>
            <w:tcW w:w="850" w:type="dxa"/>
            <w:tcBorders>
              <w:top w:val="nil"/>
              <w:left w:val="dotDotDash" w:sz="4" w:space="0" w:color="auto"/>
              <w:bottom w:val="single" w:sz="4" w:space="0" w:color="auto"/>
              <w:right w:val="nil"/>
            </w:tcBorders>
            <w:noWrap/>
            <w:vAlign w:val="center"/>
            <w:hideMark/>
          </w:tcPr>
          <w:p w14:paraId="445BD2C1"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iCs/>
                <w:color w:val="000000" w:themeColor="text1"/>
                <w:sz w:val="18"/>
                <w:szCs w:val="18"/>
                <w:lang w:val="en-US" w:eastAsia="en-US"/>
              </w:rPr>
            </w:pPr>
            <w:r>
              <w:rPr>
                <w:rFonts w:ascii="Calibri" w:hAnsi="Calibri"/>
                <w:sz w:val="18"/>
                <w:szCs w:val="18"/>
              </w:rPr>
              <w:t>13.80</w:t>
            </w:r>
          </w:p>
        </w:tc>
        <w:tc>
          <w:tcPr>
            <w:tcW w:w="827" w:type="dxa"/>
            <w:tcBorders>
              <w:top w:val="nil"/>
              <w:left w:val="nil"/>
              <w:bottom w:val="single" w:sz="4" w:space="0" w:color="auto"/>
              <w:right w:val="nil"/>
            </w:tcBorders>
            <w:noWrap/>
            <w:vAlign w:val="center"/>
            <w:hideMark/>
          </w:tcPr>
          <w:p w14:paraId="11B1076A"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iCs/>
                <w:color w:val="000000" w:themeColor="text1"/>
                <w:sz w:val="18"/>
                <w:szCs w:val="18"/>
                <w:lang w:val="en-US" w:eastAsia="en-US"/>
              </w:rPr>
            </w:pPr>
          </w:p>
        </w:tc>
        <w:tc>
          <w:tcPr>
            <w:tcW w:w="827" w:type="dxa"/>
            <w:tcBorders>
              <w:top w:val="nil"/>
              <w:left w:val="nil"/>
              <w:bottom w:val="single" w:sz="4" w:space="0" w:color="auto"/>
              <w:right w:val="nil"/>
            </w:tcBorders>
            <w:noWrap/>
            <w:vAlign w:val="center"/>
            <w:hideMark/>
          </w:tcPr>
          <w:p w14:paraId="4F76240E"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iCs/>
                <w:color w:val="000000" w:themeColor="text1"/>
                <w:sz w:val="18"/>
                <w:szCs w:val="18"/>
                <w:lang w:val="en-US" w:eastAsia="en-US"/>
              </w:rPr>
            </w:pPr>
            <w:r>
              <w:rPr>
                <w:rFonts w:ascii="Calibri" w:hAnsi="Calibri"/>
                <w:sz w:val="18"/>
                <w:szCs w:val="18"/>
              </w:rPr>
              <w:t>1.79</w:t>
            </w:r>
          </w:p>
        </w:tc>
        <w:tc>
          <w:tcPr>
            <w:tcW w:w="850" w:type="dxa"/>
            <w:tcBorders>
              <w:top w:val="nil"/>
              <w:left w:val="nil"/>
              <w:bottom w:val="single" w:sz="4" w:space="0" w:color="auto"/>
              <w:right w:val="nil"/>
            </w:tcBorders>
            <w:noWrap/>
            <w:vAlign w:val="center"/>
            <w:hideMark/>
          </w:tcPr>
          <w:p w14:paraId="02520FEC"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i/>
                <w:iCs/>
                <w:sz w:val="18"/>
                <w:szCs w:val="18"/>
              </w:rPr>
              <w:t>9.42</w:t>
            </w:r>
          </w:p>
        </w:tc>
        <w:tc>
          <w:tcPr>
            <w:tcW w:w="851" w:type="dxa"/>
            <w:tcBorders>
              <w:top w:val="nil"/>
              <w:left w:val="nil"/>
              <w:bottom w:val="single" w:sz="4" w:space="0" w:color="auto"/>
              <w:right w:val="nil"/>
            </w:tcBorders>
            <w:noWrap/>
            <w:vAlign w:val="center"/>
            <w:hideMark/>
          </w:tcPr>
          <w:p w14:paraId="21397441"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sz w:val="18"/>
                <w:szCs w:val="18"/>
              </w:rPr>
              <w:t>11.54</w:t>
            </w:r>
          </w:p>
        </w:tc>
        <w:tc>
          <w:tcPr>
            <w:tcW w:w="851" w:type="dxa"/>
            <w:tcBorders>
              <w:top w:val="nil"/>
              <w:left w:val="nil"/>
              <w:bottom w:val="single" w:sz="4" w:space="0" w:color="auto"/>
              <w:right w:val="single" w:sz="4" w:space="0" w:color="auto"/>
            </w:tcBorders>
            <w:noWrap/>
            <w:vAlign w:val="center"/>
            <w:hideMark/>
          </w:tcPr>
          <w:p w14:paraId="342D98D7"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sz w:val="18"/>
                <w:szCs w:val="18"/>
              </w:rPr>
              <w:t>13.62</w:t>
            </w:r>
          </w:p>
        </w:tc>
        <w:tc>
          <w:tcPr>
            <w:tcW w:w="1039" w:type="dxa"/>
            <w:tcBorders>
              <w:top w:val="nil"/>
              <w:left w:val="single" w:sz="4" w:space="0" w:color="auto"/>
              <w:bottom w:val="single" w:sz="4" w:space="0" w:color="auto"/>
              <w:right w:val="nil"/>
            </w:tcBorders>
            <w:noWrap/>
            <w:vAlign w:val="center"/>
            <w:hideMark/>
          </w:tcPr>
          <w:p w14:paraId="544D3590"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color w:val="000000"/>
                <w:sz w:val="18"/>
                <w:szCs w:val="18"/>
              </w:rPr>
              <w:t>13.80</w:t>
            </w:r>
          </w:p>
        </w:tc>
        <w:tc>
          <w:tcPr>
            <w:tcW w:w="1026" w:type="dxa"/>
            <w:tcBorders>
              <w:top w:val="nil"/>
              <w:left w:val="nil"/>
              <w:bottom w:val="single" w:sz="4" w:space="0" w:color="auto"/>
              <w:right w:val="nil"/>
            </w:tcBorders>
            <w:noWrap/>
            <w:vAlign w:val="center"/>
            <w:hideMark/>
          </w:tcPr>
          <w:p w14:paraId="310CBDC4" w14:textId="77777777" w:rsidR="00061C69" w:rsidRPr="0053228F" w:rsidRDefault="00061C69" w:rsidP="00061C6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color w:val="000000"/>
                <w:sz w:val="18"/>
                <w:szCs w:val="18"/>
              </w:rPr>
              <w:t>11.53</w:t>
            </w:r>
          </w:p>
        </w:tc>
        <w:tc>
          <w:tcPr>
            <w:tcW w:w="816" w:type="dxa"/>
            <w:tcBorders>
              <w:top w:val="nil"/>
              <w:left w:val="nil"/>
              <w:bottom w:val="single" w:sz="4" w:space="0" w:color="auto"/>
              <w:right w:val="single" w:sz="4" w:space="0" w:color="auto"/>
            </w:tcBorders>
            <w:noWrap/>
            <w:vAlign w:val="center"/>
            <w:hideMark/>
          </w:tcPr>
          <w:p w14:paraId="50D8C39F" w14:textId="77777777" w:rsidR="00061C69" w:rsidRPr="00AB4A69" w:rsidRDefault="00061C69" w:rsidP="00594240">
            <w:pPr>
              <w:ind w:firstLineChars="100" w:firstLine="18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sz w:val="18"/>
                <w:szCs w:val="18"/>
                <w:lang w:val="en-US" w:eastAsia="en-US"/>
              </w:rPr>
            </w:pPr>
            <w:r>
              <w:rPr>
                <w:rFonts w:ascii="Calibri" w:hAnsi="Calibri"/>
                <w:color w:val="000000"/>
                <w:sz w:val="18"/>
                <w:szCs w:val="18"/>
              </w:rPr>
              <w:t>-16%</w:t>
            </w:r>
          </w:p>
        </w:tc>
      </w:tr>
    </w:tbl>
    <w:p w14:paraId="17749983" w14:textId="77777777" w:rsidR="00B637A0" w:rsidRPr="00E1542F" w:rsidRDefault="00B637A0" w:rsidP="00B637A0">
      <w:pPr>
        <w:spacing w:after="0"/>
        <w:rPr>
          <w:rFonts w:ascii="Arial" w:hAnsi="Arial" w:cs="Arial"/>
          <w:b/>
          <w:sz w:val="24"/>
          <w:lang w:val="en-US"/>
        </w:rPr>
      </w:pPr>
    </w:p>
    <w:sectPr w:rsidR="00B637A0" w:rsidRPr="00E1542F" w:rsidSect="00492F98">
      <w:pgSz w:w="11906" w:h="16838"/>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BFD711" w15:done="0"/>
  <w15:commentEx w15:paraId="688936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52BAC1" w14:textId="77777777" w:rsidR="00FC4F76" w:rsidRDefault="00FC4F76">
      <w:pPr>
        <w:spacing w:after="0" w:line="240" w:lineRule="auto"/>
      </w:pPr>
      <w:r>
        <w:separator/>
      </w:r>
    </w:p>
  </w:endnote>
  <w:endnote w:type="continuationSeparator" w:id="0">
    <w:p w14:paraId="2C5A8C5F" w14:textId="77777777" w:rsidR="00FC4F76" w:rsidRDefault="00FC4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8990851"/>
      <w:docPartObj>
        <w:docPartGallery w:val="Page Numbers (Bottom of Page)"/>
        <w:docPartUnique/>
      </w:docPartObj>
    </w:sdtPr>
    <w:sdtEndPr>
      <w:rPr>
        <w:noProof/>
      </w:rPr>
    </w:sdtEndPr>
    <w:sdtContent>
      <w:p w14:paraId="0675CB33" w14:textId="72C2CB37" w:rsidR="0074708B" w:rsidRDefault="0074708B">
        <w:pPr>
          <w:pStyle w:val="Footer"/>
          <w:jc w:val="center"/>
        </w:pPr>
        <w:r>
          <w:fldChar w:fldCharType="begin"/>
        </w:r>
        <w:r>
          <w:instrText xml:space="preserve"> PAGE   \* MERGEFORMAT </w:instrText>
        </w:r>
        <w:r>
          <w:fldChar w:fldCharType="separate"/>
        </w:r>
        <w:r w:rsidR="00594240">
          <w:rPr>
            <w:noProof/>
          </w:rPr>
          <w:t>2</w:t>
        </w:r>
        <w:r>
          <w:rPr>
            <w:noProof/>
          </w:rPr>
          <w:fldChar w:fldCharType="end"/>
        </w:r>
      </w:p>
    </w:sdtContent>
  </w:sdt>
  <w:p w14:paraId="780E7B36" w14:textId="4EFE2247" w:rsidR="0074708B" w:rsidRDefault="0074708B" w:rsidP="00EE7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AD28CB" w14:textId="77777777" w:rsidR="00FC4F76" w:rsidRDefault="00FC4F76">
      <w:pPr>
        <w:spacing w:after="0" w:line="240" w:lineRule="auto"/>
      </w:pPr>
      <w:r>
        <w:separator/>
      </w:r>
    </w:p>
  </w:footnote>
  <w:footnote w:type="continuationSeparator" w:id="0">
    <w:p w14:paraId="5B012570" w14:textId="77777777" w:rsidR="00FC4F76" w:rsidRDefault="00FC4F76">
      <w:pPr>
        <w:spacing w:after="0" w:line="240" w:lineRule="auto"/>
      </w:pPr>
      <w:r>
        <w:continuationSeparator/>
      </w:r>
    </w:p>
  </w:footnote>
  <w:footnote w:id="1">
    <w:p w14:paraId="34B62253" w14:textId="2A09A151" w:rsidR="0074708B" w:rsidRPr="001461BD" w:rsidRDefault="0074708B">
      <w:pPr>
        <w:pStyle w:val="FootnoteText"/>
      </w:pPr>
      <w:r>
        <w:rPr>
          <w:rStyle w:val="FootnoteReference"/>
        </w:rPr>
        <w:footnoteRef/>
      </w:r>
      <w:r>
        <w:t xml:space="preserve"> Ethiopia: summary on key barriers in EPI, June 2013.</w:t>
      </w:r>
    </w:p>
  </w:footnote>
  <w:footnote w:id="2">
    <w:p w14:paraId="61978214" w14:textId="391FE08C" w:rsidR="0074708B" w:rsidRPr="001461BD" w:rsidRDefault="0074708B">
      <w:pPr>
        <w:pStyle w:val="FootnoteText"/>
      </w:pPr>
      <w:r>
        <w:rPr>
          <w:rStyle w:val="FootnoteReference"/>
        </w:rPr>
        <w:footnoteRef/>
      </w:r>
      <w:r>
        <w:t xml:space="preserve"> Ethiopia National Expanded Programme on Immunization. Comprehensive multi-year plan 2016-2020. Federal Ministry of Health, April 2015.</w:t>
      </w:r>
    </w:p>
  </w:footnote>
  <w:footnote w:id="3">
    <w:p w14:paraId="69BBB10C" w14:textId="10F5945E" w:rsidR="0074708B" w:rsidRPr="00777C17" w:rsidRDefault="0074708B">
      <w:pPr>
        <w:pStyle w:val="FootnoteText"/>
        <w:rPr>
          <w:lang w:val="en-US"/>
        </w:rPr>
      </w:pPr>
      <w:r>
        <w:rPr>
          <w:rStyle w:val="FootnoteReference"/>
        </w:rPr>
        <w:footnoteRef/>
      </w:r>
      <w:r>
        <w:t xml:space="preserve"> </w:t>
      </w:r>
      <w:r>
        <w:rPr>
          <w:lang w:val="en-US"/>
        </w:rPr>
        <w:t>Now renamed the SDG Development Fund.</w:t>
      </w:r>
    </w:p>
  </w:footnote>
  <w:footnote w:id="4">
    <w:p w14:paraId="766F1C0D" w14:textId="25CCC515" w:rsidR="0074708B" w:rsidRPr="001461BD" w:rsidRDefault="0074708B">
      <w:pPr>
        <w:pStyle w:val="FootnoteText"/>
        <w:rPr>
          <w:lang w:val="en-US"/>
        </w:rPr>
      </w:pPr>
      <w:r>
        <w:rPr>
          <w:rStyle w:val="FootnoteReference"/>
        </w:rPr>
        <w:footnoteRef/>
      </w:r>
      <w:r>
        <w:t xml:space="preserve"> </w:t>
      </w:r>
      <w:r>
        <w:rPr>
          <w:lang w:val="en-US"/>
        </w:rPr>
        <w:t>GAVI Joint Appraisal report for Ethiopia, 2015.</w:t>
      </w:r>
    </w:p>
  </w:footnote>
  <w:footnote w:id="5">
    <w:p w14:paraId="43262F66" w14:textId="7C8839BA" w:rsidR="0074708B" w:rsidRPr="001461BD" w:rsidRDefault="0074708B">
      <w:pPr>
        <w:pStyle w:val="FootnoteText"/>
        <w:rPr>
          <w:lang w:val="en-US"/>
        </w:rPr>
      </w:pPr>
      <w:r>
        <w:rPr>
          <w:rStyle w:val="FootnoteReference"/>
        </w:rPr>
        <w:footnoteRef/>
      </w:r>
      <w:r>
        <w:t xml:space="preserve"> </w:t>
      </w:r>
      <w:r>
        <w:rPr>
          <w:lang w:val="en-US"/>
        </w:rPr>
        <w:t>GAVI Joint Appraisal report for Ethiopia, 2015.</w:t>
      </w:r>
    </w:p>
  </w:footnote>
  <w:footnote w:id="6">
    <w:p w14:paraId="50422F03" w14:textId="79B0DF63" w:rsidR="0074708B" w:rsidRPr="00D664AC" w:rsidRDefault="0074708B">
      <w:pPr>
        <w:pStyle w:val="FootnoteText"/>
        <w:rPr>
          <w:lang w:val="en-US"/>
        </w:rPr>
      </w:pPr>
      <w:r>
        <w:rPr>
          <w:rStyle w:val="FootnoteReference"/>
        </w:rPr>
        <w:footnoteRef/>
      </w:r>
      <w:r>
        <w:t xml:space="preserve"> </w:t>
      </w:r>
      <w:r>
        <w:rPr>
          <w:lang w:val="en-US"/>
        </w:rPr>
        <w:t>GAVI Joint Appraisal report for Ethiopia, 2015.</w:t>
      </w:r>
    </w:p>
  </w:footnote>
  <w:footnote w:id="7">
    <w:p w14:paraId="7CE7CD20" w14:textId="512BCFE0" w:rsidR="0074708B" w:rsidRPr="00AA7F9D" w:rsidRDefault="0074708B">
      <w:pPr>
        <w:pStyle w:val="FootnoteText"/>
        <w:rPr>
          <w:lang w:val="en-US"/>
        </w:rPr>
      </w:pPr>
      <w:r>
        <w:rPr>
          <w:rStyle w:val="FootnoteReference"/>
        </w:rPr>
        <w:footnoteRef/>
      </w:r>
      <w:r>
        <w:t xml:space="preserve"> </w:t>
      </w:r>
      <w:r>
        <w:rPr>
          <w:lang w:val="en-US"/>
        </w:rPr>
        <w:t>JSI. Africa Routine Immunization System Essentials (ARISE) project. A study of the drivers of routine immunization system performance in Ethiopia. August 2012; Workie NW and Ramana GNV. UNICO Studies Series 10: The Health Extension Program in Ethiopia. The World Bank, Washington, DC, January 2013.</w:t>
      </w:r>
    </w:p>
  </w:footnote>
  <w:footnote w:id="8">
    <w:p w14:paraId="02250221" w14:textId="68E514CC" w:rsidR="0074708B" w:rsidRPr="00AA7F9D" w:rsidRDefault="0074708B">
      <w:pPr>
        <w:pStyle w:val="FootnoteText"/>
        <w:rPr>
          <w:lang w:val="en-US"/>
        </w:rPr>
      </w:pPr>
      <w:r>
        <w:rPr>
          <w:rStyle w:val="FootnoteReference"/>
        </w:rPr>
        <w:footnoteRef/>
      </w:r>
      <w:r>
        <w:t xml:space="preserve"> </w:t>
      </w:r>
      <w:r>
        <w:rPr>
          <w:lang w:val="en-US"/>
        </w:rPr>
        <w:t>UNICO Studies Series 10: The Health Extension Program in Ethiopia. The World Bank, Washington, DC, January 2013.</w:t>
      </w:r>
    </w:p>
  </w:footnote>
  <w:footnote w:id="9">
    <w:p w14:paraId="3291CA75" w14:textId="1BB89C92" w:rsidR="0074708B" w:rsidRPr="00153320" w:rsidRDefault="0074708B">
      <w:pPr>
        <w:pStyle w:val="FootnoteText"/>
        <w:rPr>
          <w:lang w:val="en-US"/>
        </w:rPr>
      </w:pPr>
      <w:r>
        <w:rPr>
          <w:rStyle w:val="FootnoteReference"/>
        </w:rPr>
        <w:footnoteRef/>
      </w:r>
      <w:r>
        <w:t xml:space="preserve"> </w:t>
      </w:r>
      <w:r>
        <w:rPr>
          <w:lang w:val="en-US"/>
        </w:rPr>
        <w:t>Comprehensive multi-year plan (cMYP), 2016-2020.</w:t>
      </w:r>
    </w:p>
  </w:footnote>
  <w:footnote w:id="10">
    <w:p w14:paraId="307404D3" w14:textId="3AC95883" w:rsidR="0074708B" w:rsidRPr="00153320" w:rsidRDefault="0074708B">
      <w:pPr>
        <w:pStyle w:val="FootnoteText"/>
        <w:rPr>
          <w:lang w:val="en-US"/>
        </w:rPr>
      </w:pPr>
      <w:r>
        <w:rPr>
          <w:rStyle w:val="FootnoteReference"/>
        </w:rPr>
        <w:footnoteRef/>
      </w:r>
      <w:r>
        <w:t xml:space="preserve"> </w:t>
      </w:r>
      <w:r>
        <w:rPr>
          <w:lang w:val="en-US"/>
        </w:rPr>
        <w:t>Global polio eradication initiative website (</w:t>
      </w:r>
      <w:hyperlink r:id="rId1" w:history="1">
        <w:r w:rsidRPr="00916164">
          <w:rPr>
            <w:rStyle w:val="Hyperlink"/>
            <w:lang w:val="en-US"/>
          </w:rPr>
          <w:t>http://www.polioeradication.org/Keycountries.aspx</w:t>
        </w:r>
      </w:hyperlink>
      <w:r>
        <w:rPr>
          <w:lang w:val="en-US"/>
        </w:rPr>
        <w:t xml:space="preserve">). </w:t>
      </w:r>
    </w:p>
  </w:footnote>
  <w:footnote w:id="11">
    <w:p w14:paraId="3C113DA8" w14:textId="5F0F36E6" w:rsidR="0074708B" w:rsidRPr="00153320" w:rsidRDefault="0074708B">
      <w:pPr>
        <w:pStyle w:val="FootnoteText"/>
        <w:rPr>
          <w:lang w:val="en-US"/>
        </w:rPr>
      </w:pPr>
      <w:r>
        <w:rPr>
          <w:rStyle w:val="FootnoteReference"/>
        </w:rPr>
        <w:footnoteRef/>
      </w:r>
      <w:r>
        <w:t xml:space="preserve"> </w:t>
      </w:r>
      <w:r>
        <w:rPr>
          <w:lang w:val="en-US"/>
        </w:rPr>
        <w:t>cMYP 2016-2020.</w:t>
      </w:r>
    </w:p>
  </w:footnote>
  <w:footnote w:id="12">
    <w:p w14:paraId="0E43EDFF" w14:textId="73BB1CDB" w:rsidR="0074708B" w:rsidRPr="00153320" w:rsidRDefault="0074708B">
      <w:pPr>
        <w:pStyle w:val="FootnoteText"/>
        <w:rPr>
          <w:lang w:val="en-US"/>
        </w:rPr>
      </w:pPr>
      <w:r>
        <w:rPr>
          <w:rStyle w:val="FootnoteReference"/>
        </w:rPr>
        <w:footnoteRef/>
      </w:r>
      <w:r>
        <w:t xml:space="preserve"> </w:t>
      </w:r>
      <w:r>
        <w:rPr>
          <w:lang w:val="en-US"/>
        </w:rPr>
        <w:t>WHO presentation on External Surveillance Review, Ethiopia, 29 Sept – 9 October, 2015.</w:t>
      </w:r>
    </w:p>
  </w:footnote>
  <w:footnote w:id="13">
    <w:p w14:paraId="63374BDA" w14:textId="0CFA13C3" w:rsidR="0074708B" w:rsidRPr="0074708B" w:rsidRDefault="0074708B">
      <w:pPr>
        <w:pStyle w:val="FootnoteText"/>
        <w:rPr>
          <w:lang w:val="en-US"/>
        </w:rPr>
      </w:pPr>
      <w:r>
        <w:rPr>
          <w:rStyle w:val="FootnoteReference"/>
        </w:rPr>
        <w:footnoteRef/>
      </w:r>
      <w:r>
        <w:t xml:space="preserve"> </w:t>
      </w:r>
      <w:r>
        <w:rPr>
          <w:lang w:val="en-US"/>
        </w:rPr>
        <w:t>cMYP 2016-2020.</w:t>
      </w:r>
    </w:p>
  </w:footnote>
  <w:footnote w:id="14">
    <w:p w14:paraId="279428DD" w14:textId="3C10EEAE" w:rsidR="0074708B" w:rsidRPr="0074708B" w:rsidRDefault="0074708B">
      <w:pPr>
        <w:pStyle w:val="FootnoteText"/>
        <w:rPr>
          <w:lang w:val="en-US"/>
        </w:rPr>
      </w:pPr>
      <w:r>
        <w:rPr>
          <w:rStyle w:val="FootnoteReference"/>
        </w:rPr>
        <w:footnoteRef/>
      </w:r>
      <w:r w:rsidR="00971509">
        <w:rPr>
          <w:lang w:val="en-US"/>
        </w:rPr>
        <w:t>cMYP 2016-2020.</w:t>
      </w:r>
    </w:p>
  </w:footnote>
  <w:footnote w:id="15">
    <w:p w14:paraId="15071572" w14:textId="58974970" w:rsidR="00CF1FC7" w:rsidRPr="00CF1FC7" w:rsidRDefault="00CF1FC7">
      <w:pPr>
        <w:pStyle w:val="FootnoteText"/>
        <w:rPr>
          <w:lang w:val="en-US"/>
        </w:rPr>
      </w:pPr>
      <w:r>
        <w:rPr>
          <w:rStyle w:val="FootnoteReference"/>
        </w:rPr>
        <w:footnoteRef/>
      </w:r>
      <w:r>
        <w:rPr>
          <w:lang w:val="en-US"/>
        </w:rPr>
        <w:t>cMYP 2016-2020.</w:t>
      </w:r>
      <w:r>
        <w:t xml:space="preserve"> </w:t>
      </w:r>
    </w:p>
  </w:footnote>
  <w:footnote w:id="16">
    <w:p w14:paraId="02095C41" w14:textId="32F9F1D8" w:rsidR="00CF1FC7" w:rsidRPr="00CF1FC7" w:rsidRDefault="00CF1FC7">
      <w:pPr>
        <w:pStyle w:val="FootnoteText"/>
        <w:rPr>
          <w:lang w:val="en-US"/>
        </w:rPr>
      </w:pPr>
      <w:r>
        <w:rPr>
          <w:rStyle w:val="FootnoteReference"/>
        </w:rPr>
        <w:footnoteRef/>
      </w:r>
      <w:r>
        <w:t xml:space="preserve"> </w:t>
      </w:r>
      <w:r w:rsidR="001A42D9">
        <w:rPr>
          <w:lang w:val="en-US"/>
        </w:rPr>
        <w:t>WHO presentation on Desk analysis of measles surveillance data, July 2016.</w:t>
      </w:r>
    </w:p>
  </w:footnote>
  <w:footnote w:id="17">
    <w:p w14:paraId="2B539154" w14:textId="767CCA8F" w:rsidR="001A42D9" w:rsidRPr="001A42D9" w:rsidRDefault="001A42D9">
      <w:pPr>
        <w:pStyle w:val="FootnoteText"/>
        <w:rPr>
          <w:lang w:val="en-US"/>
        </w:rPr>
      </w:pPr>
      <w:r>
        <w:rPr>
          <w:rStyle w:val="FootnoteReference"/>
        </w:rPr>
        <w:footnoteRef/>
      </w:r>
      <w:r>
        <w:t xml:space="preserve"> </w:t>
      </w:r>
      <w:r>
        <w:rPr>
          <w:lang w:val="en-US"/>
        </w:rPr>
        <w:t>WHO/ESA IST. Summary report on the investigation of recurrent measles outbreaks in SNNPR, Ethiopia, March-April 2014.</w:t>
      </w:r>
    </w:p>
  </w:footnote>
  <w:footnote w:id="18">
    <w:p w14:paraId="25B06095" w14:textId="4555C3F7" w:rsidR="001A42D9" w:rsidRPr="001A42D9" w:rsidRDefault="001A42D9">
      <w:pPr>
        <w:pStyle w:val="FootnoteText"/>
        <w:rPr>
          <w:lang w:val="en-US"/>
        </w:rPr>
      </w:pPr>
      <w:r>
        <w:rPr>
          <w:rStyle w:val="FootnoteReference"/>
        </w:rPr>
        <w:footnoteRef/>
      </w:r>
      <w:r>
        <w:t xml:space="preserve"> </w:t>
      </w:r>
      <w:r>
        <w:rPr>
          <w:lang w:val="en-US"/>
        </w:rPr>
        <w:t>Ministry of Health, Federal Democratic Republic of Ethiopia</w:t>
      </w:r>
      <w:r w:rsidR="00420940">
        <w:rPr>
          <w:lang w:val="en-US"/>
        </w:rPr>
        <w:t>. Ethiopian Immunization Coverage Survey, 2012.</w:t>
      </w:r>
    </w:p>
  </w:footnote>
  <w:footnote w:id="19">
    <w:p w14:paraId="1FC2E914" w14:textId="2E489471" w:rsidR="00420940" w:rsidRPr="00420940" w:rsidRDefault="00420940">
      <w:pPr>
        <w:pStyle w:val="FootnoteText"/>
      </w:pPr>
      <w:r>
        <w:rPr>
          <w:rStyle w:val="FootnoteReference"/>
        </w:rPr>
        <w:footnoteRef/>
      </w:r>
      <w:r>
        <w:t xml:space="preserve"> </w:t>
      </w:r>
      <w:r>
        <w:rPr>
          <w:lang w:val="en-US"/>
        </w:rPr>
        <w:t>WHO/ESA IST. Summary report on the investigation of recurrent measles outbreaks in SNNPR, Ethiopia, March-April 2014.</w:t>
      </w:r>
    </w:p>
  </w:footnote>
  <w:footnote w:id="20">
    <w:p w14:paraId="0E437B31" w14:textId="04EBC7D3" w:rsidR="0074708B" w:rsidRPr="003707DB" w:rsidRDefault="0074708B">
      <w:pPr>
        <w:pStyle w:val="FootnoteText"/>
        <w:rPr>
          <w:lang w:val="en-US"/>
        </w:rPr>
      </w:pPr>
      <w:r>
        <w:rPr>
          <w:rStyle w:val="FootnoteReference"/>
        </w:rPr>
        <w:footnoteRef/>
      </w:r>
      <w:r>
        <w:t xml:space="preserve"> </w:t>
      </w:r>
      <w:r w:rsidR="006C5940">
        <w:rPr>
          <w:lang w:val="en-US"/>
        </w:rPr>
        <w:t>WHO Health Equity Monitor database (found at:</w:t>
      </w:r>
      <w:r>
        <w:rPr>
          <w:lang w:val="en-US"/>
        </w:rPr>
        <w:t xml:space="preserve"> </w:t>
      </w:r>
      <w:hyperlink r:id="rId2" w:history="1">
        <w:r w:rsidRPr="007E0F61">
          <w:rPr>
            <w:rStyle w:val="Hyperlink"/>
            <w:rFonts w:cstheme="minorHAnsi"/>
          </w:rPr>
          <w:t>https://whoequity.shinyapps.io/HEAT/#</w:t>
        </w:r>
      </w:hyperlink>
      <w:r>
        <w:rPr>
          <w:rStyle w:val="Hyperlink"/>
          <w:rFonts w:cstheme="minorHAnsi"/>
        </w:rPr>
        <w:t>.</w:t>
      </w:r>
    </w:p>
  </w:footnote>
  <w:footnote w:id="21">
    <w:p w14:paraId="4E8F80FC" w14:textId="3D478844" w:rsidR="00461388" w:rsidRPr="00461388" w:rsidRDefault="00461388">
      <w:pPr>
        <w:pStyle w:val="FootnoteText"/>
        <w:rPr>
          <w:lang w:val="en-US"/>
        </w:rPr>
      </w:pPr>
      <w:r>
        <w:rPr>
          <w:rStyle w:val="FootnoteReference"/>
        </w:rPr>
        <w:footnoteRef/>
      </w:r>
      <w:r>
        <w:t xml:space="preserve"> </w:t>
      </w:r>
      <w:r>
        <w:rPr>
          <w:lang w:val="en-US"/>
        </w:rPr>
        <w:t>cMYP 2016-2020.</w:t>
      </w:r>
    </w:p>
  </w:footnote>
  <w:footnote w:id="22">
    <w:p w14:paraId="5527E170" w14:textId="6E398EF7" w:rsidR="00461388" w:rsidRPr="00461388" w:rsidRDefault="00461388">
      <w:pPr>
        <w:pStyle w:val="FootnoteText"/>
        <w:rPr>
          <w:lang w:val="en-US"/>
        </w:rPr>
      </w:pPr>
      <w:r>
        <w:rPr>
          <w:rStyle w:val="FootnoteReference"/>
        </w:rPr>
        <w:footnoteRef/>
      </w:r>
      <w:r>
        <w:t xml:space="preserve"> </w:t>
      </w:r>
      <w:r>
        <w:rPr>
          <w:lang w:val="en-US"/>
        </w:rPr>
        <w:t>Federal Ministry of Health, Ethiopia. Post Introduction Evaluation of the Pneumococcal Conjugate Vaccine 10-Valent Technical Report, June 30, 2013.</w:t>
      </w:r>
    </w:p>
  </w:footnote>
  <w:footnote w:id="23">
    <w:p w14:paraId="7725DCF7" w14:textId="2294230D" w:rsidR="006019F4" w:rsidRPr="006019F4" w:rsidRDefault="006019F4">
      <w:pPr>
        <w:pStyle w:val="FootnoteText"/>
        <w:rPr>
          <w:lang w:val="en-US"/>
        </w:rPr>
      </w:pPr>
      <w:r>
        <w:rPr>
          <w:rStyle w:val="FootnoteReference"/>
        </w:rPr>
        <w:footnoteRef/>
      </w:r>
      <w:r>
        <w:t xml:space="preserve"> Ethiopia: summary on key barriers in EPI, June 2013.</w:t>
      </w:r>
    </w:p>
  </w:footnote>
  <w:footnote w:id="24">
    <w:p w14:paraId="2E23BB01" w14:textId="2B5F0DEF" w:rsidR="006019F4" w:rsidRPr="006019F4" w:rsidRDefault="006019F4">
      <w:pPr>
        <w:pStyle w:val="FootnoteText"/>
        <w:rPr>
          <w:lang w:val="en-US"/>
        </w:rPr>
      </w:pPr>
      <w:r>
        <w:rPr>
          <w:rStyle w:val="FootnoteReference"/>
        </w:rPr>
        <w:footnoteRef/>
      </w:r>
      <w:r>
        <w:t xml:space="preserve"> </w:t>
      </w:r>
      <w:r>
        <w:rPr>
          <w:lang w:val="en-US"/>
        </w:rPr>
        <w:t>Federal Ministry of Health, Ethiopia. Post Introduction Evaluation of the Pneumococcal Conjugate Vaccine 10-Valent Technical Report, June 30, 2013; Federal Ministry of Health, Ethiopia. Post Introduction Evaluation of the Rotavirus Vaccine Technical Report, July 2015.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DB7"/>
    <w:multiLevelType w:val="hybridMultilevel"/>
    <w:tmpl w:val="F6D055B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60A2FFB"/>
    <w:multiLevelType w:val="hybridMultilevel"/>
    <w:tmpl w:val="2DA8FD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9382162"/>
    <w:multiLevelType w:val="hybridMultilevel"/>
    <w:tmpl w:val="E83CCC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2495C14"/>
    <w:multiLevelType w:val="multilevel"/>
    <w:tmpl w:val="4860E03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3BB66AD1"/>
    <w:multiLevelType w:val="hybridMultilevel"/>
    <w:tmpl w:val="A38E1D58"/>
    <w:lvl w:ilvl="0" w:tplc="04090005">
      <w:start w:val="1"/>
      <w:numFmt w:val="bullet"/>
      <w:lvlText w:val=""/>
      <w:lvlJc w:val="left"/>
      <w:pPr>
        <w:ind w:left="-56" w:hanging="360"/>
      </w:pPr>
      <w:rPr>
        <w:rFonts w:ascii="Wingdings" w:hAnsi="Wingdings" w:hint="default"/>
      </w:rPr>
    </w:lvl>
    <w:lvl w:ilvl="1" w:tplc="04090003" w:tentative="1">
      <w:start w:val="1"/>
      <w:numFmt w:val="bullet"/>
      <w:lvlText w:val="o"/>
      <w:lvlJc w:val="left"/>
      <w:pPr>
        <w:ind w:left="664" w:hanging="360"/>
      </w:pPr>
      <w:rPr>
        <w:rFonts w:ascii="Courier New" w:hAnsi="Courier New" w:cs="Courier New" w:hint="default"/>
      </w:rPr>
    </w:lvl>
    <w:lvl w:ilvl="2" w:tplc="04090005" w:tentative="1">
      <w:start w:val="1"/>
      <w:numFmt w:val="bullet"/>
      <w:lvlText w:val=""/>
      <w:lvlJc w:val="left"/>
      <w:pPr>
        <w:ind w:left="1384" w:hanging="360"/>
      </w:pPr>
      <w:rPr>
        <w:rFonts w:ascii="Wingdings" w:hAnsi="Wingdings" w:hint="default"/>
      </w:rPr>
    </w:lvl>
    <w:lvl w:ilvl="3" w:tplc="04090001" w:tentative="1">
      <w:start w:val="1"/>
      <w:numFmt w:val="bullet"/>
      <w:lvlText w:val=""/>
      <w:lvlJc w:val="left"/>
      <w:pPr>
        <w:ind w:left="2104" w:hanging="360"/>
      </w:pPr>
      <w:rPr>
        <w:rFonts w:ascii="Symbol" w:hAnsi="Symbol" w:hint="default"/>
      </w:rPr>
    </w:lvl>
    <w:lvl w:ilvl="4" w:tplc="04090003" w:tentative="1">
      <w:start w:val="1"/>
      <w:numFmt w:val="bullet"/>
      <w:lvlText w:val="o"/>
      <w:lvlJc w:val="left"/>
      <w:pPr>
        <w:ind w:left="2824" w:hanging="360"/>
      </w:pPr>
      <w:rPr>
        <w:rFonts w:ascii="Courier New" w:hAnsi="Courier New" w:cs="Courier New" w:hint="default"/>
      </w:rPr>
    </w:lvl>
    <w:lvl w:ilvl="5" w:tplc="04090005" w:tentative="1">
      <w:start w:val="1"/>
      <w:numFmt w:val="bullet"/>
      <w:lvlText w:val=""/>
      <w:lvlJc w:val="left"/>
      <w:pPr>
        <w:ind w:left="3544" w:hanging="360"/>
      </w:pPr>
      <w:rPr>
        <w:rFonts w:ascii="Wingdings" w:hAnsi="Wingdings" w:hint="default"/>
      </w:rPr>
    </w:lvl>
    <w:lvl w:ilvl="6" w:tplc="04090001" w:tentative="1">
      <w:start w:val="1"/>
      <w:numFmt w:val="bullet"/>
      <w:lvlText w:val=""/>
      <w:lvlJc w:val="left"/>
      <w:pPr>
        <w:ind w:left="4264" w:hanging="360"/>
      </w:pPr>
      <w:rPr>
        <w:rFonts w:ascii="Symbol" w:hAnsi="Symbol" w:hint="default"/>
      </w:rPr>
    </w:lvl>
    <w:lvl w:ilvl="7" w:tplc="04090003" w:tentative="1">
      <w:start w:val="1"/>
      <w:numFmt w:val="bullet"/>
      <w:lvlText w:val="o"/>
      <w:lvlJc w:val="left"/>
      <w:pPr>
        <w:ind w:left="4984" w:hanging="360"/>
      </w:pPr>
      <w:rPr>
        <w:rFonts w:ascii="Courier New" w:hAnsi="Courier New" w:cs="Courier New" w:hint="default"/>
      </w:rPr>
    </w:lvl>
    <w:lvl w:ilvl="8" w:tplc="04090005" w:tentative="1">
      <w:start w:val="1"/>
      <w:numFmt w:val="bullet"/>
      <w:lvlText w:val=""/>
      <w:lvlJc w:val="left"/>
      <w:pPr>
        <w:ind w:left="5704" w:hanging="360"/>
      </w:pPr>
      <w:rPr>
        <w:rFonts w:ascii="Wingdings" w:hAnsi="Wingdings" w:hint="default"/>
      </w:rPr>
    </w:lvl>
  </w:abstractNum>
  <w:abstractNum w:abstractNumId="16">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7">
    <w:nsid w:val="487E4406"/>
    <w:multiLevelType w:val="hybridMultilevel"/>
    <w:tmpl w:val="B30692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19">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82970CC"/>
    <w:multiLevelType w:val="hybridMultilevel"/>
    <w:tmpl w:val="334C477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5D6F47CE"/>
    <w:multiLevelType w:val="multilevel"/>
    <w:tmpl w:val="D6FE4D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4B95021"/>
    <w:multiLevelType w:val="hybridMultilevel"/>
    <w:tmpl w:val="B1F204F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5">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6">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28">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F0036C"/>
    <w:multiLevelType w:val="hybridMultilevel"/>
    <w:tmpl w:val="FCF83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11"/>
  </w:num>
  <w:num w:numId="5">
    <w:abstractNumId w:val="21"/>
  </w:num>
  <w:num w:numId="6">
    <w:abstractNumId w:val="2"/>
  </w:num>
  <w:num w:numId="7">
    <w:abstractNumId w:val="8"/>
  </w:num>
  <w:num w:numId="8">
    <w:abstractNumId w:val="19"/>
  </w:num>
  <w:num w:numId="9">
    <w:abstractNumId w:val="6"/>
  </w:num>
  <w:num w:numId="10">
    <w:abstractNumId w:val="26"/>
  </w:num>
  <w:num w:numId="11">
    <w:abstractNumId w:val="25"/>
  </w:num>
  <w:num w:numId="12">
    <w:abstractNumId w:val="16"/>
  </w:num>
  <w:num w:numId="13">
    <w:abstractNumId w:val="24"/>
  </w:num>
  <w:num w:numId="14">
    <w:abstractNumId w:val="18"/>
  </w:num>
  <w:num w:numId="15">
    <w:abstractNumId w:val="27"/>
  </w:num>
  <w:num w:numId="16">
    <w:abstractNumId w:val="10"/>
  </w:num>
  <w:num w:numId="17">
    <w:abstractNumId w:val="20"/>
  </w:num>
  <w:num w:numId="18">
    <w:abstractNumId w:val="13"/>
  </w:num>
  <w:num w:numId="19">
    <w:abstractNumId w:val="28"/>
  </w:num>
  <w:num w:numId="20">
    <w:abstractNumId w:val="1"/>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8"/>
  </w:num>
  <w:num w:numId="25">
    <w:abstractNumId w:val="19"/>
  </w:num>
  <w:num w:numId="26">
    <w:abstractNumId w:val="11"/>
  </w:num>
  <w:num w:numId="27">
    <w:abstractNumId w:val="9"/>
  </w:num>
  <w:num w:numId="28">
    <w:abstractNumId w:val="22"/>
  </w:num>
  <w:num w:numId="29">
    <w:abstractNumId w:val="15"/>
  </w:num>
  <w:num w:numId="30">
    <w:abstractNumId w:val="5"/>
  </w:num>
  <w:num w:numId="31">
    <w:abstractNumId w:val="17"/>
  </w:num>
  <w:num w:numId="32">
    <w:abstractNumId w:val="7"/>
  </w:num>
  <w:num w:numId="33">
    <w:abstractNumId w:val="23"/>
  </w:num>
  <w:num w:numId="34">
    <w:abstractNumId w:val="0"/>
  </w:num>
  <w:num w:numId="35">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ise DeRoeck">
    <w15:presenceInfo w15:providerId="Windows Live" w15:userId="dd5ab0a71e473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352E"/>
    <w:rsid w:val="000217B3"/>
    <w:rsid w:val="00025C91"/>
    <w:rsid w:val="00052693"/>
    <w:rsid w:val="00061C69"/>
    <w:rsid w:val="00071321"/>
    <w:rsid w:val="0007442D"/>
    <w:rsid w:val="00075417"/>
    <w:rsid w:val="00096E70"/>
    <w:rsid w:val="000C2C44"/>
    <w:rsid w:val="000C61CE"/>
    <w:rsid w:val="000E3D3E"/>
    <w:rsid w:val="001461BD"/>
    <w:rsid w:val="00153320"/>
    <w:rsid w:val="00163179"/>
    <w:rsid w:val="001634BB"/>
    <w:rsid w:val="00177ED5"/>
    <w:rsid w:val="0019049C"/>
    <w:rsid w:val="001A42D9"/>
    <w:rsid w:val="001A55DB"/>
    <w:rsid w:val="001B0097"/>
    <w:rsid w:val="001C1193"/>
    <w:rsid w:val="001C1E4D"/>
    <w:rsid w:val="001C5026"/>
    <w:rsid w:val="001F2D8D"/>
    <w:rsid w:val="001F4121"/>
    <w:rsid w:val="00211685"/>
    <w:rsid w:val="002258E3"/>
    <w:rsid w:val="002327A5"/>
    <w:rsid w:val="00232D9A"/>
    <w:rsid w:val="002652D3"/>
    <w:rsid w:val="0027046F"/>
    <w:rsid w:val="002818D0"/>
    <w:rsid w:val="00281949"/>
    <w:rsid w:val="00281CEF"/>
    <w:rsid w:val="00292589"/>
    <w:rsid w:val="00297C3C"/>
    <w:rsid w:val="002B73D6"/>
    <w:rsid w:val="002C0BCF"/>
    <w:rsid w:val="002D61F5"/>
    <w:rsid w:val="002D762A"/>
    <w:rsid w:val="002E36C1"/>
    <w:rsid w:val="002F1749"/>
    <w:rsid w:val="002F20C9"/>
    <w:rsid w:val="003333F6"/>
    <w:rsid w:val="00352ED6"/>
    <w:rsid w:val="00370616"/>
    <w:rsid w:val="003707DB"/>
    <w:rsid w:val="00371B50"/>
    <w:rsid w:val="00373BA5"/>
    <w:rsid w:val="003B6F84"/>
    <w:rsid w:val="003D24BB"/>
    <w:rsid w:val="003D6679"/>
    <w:rsid w:val="003E2E31"/>
    <w:rsid w:val="003E30EC"/>
    <w:rsid w:val="003E4FEA"/>
    <w:rsid w:val="003F2AB3"/>
    <w:rsid w:val="003F4825"/>
    <w:rsid w:val="003F5FE8"/>
    <w:rsid w:val="00410919"/>
    <w:rsid w:val="00420940"/>
    <w:rsid w:val="00432B70"/>
    <w:rsid w:val="004331C0"/>
    <w:rsid w:val="00436537"/>
    <w:rsid w:val="00441EDC"/>
    <w:rsid w:val="00442F4B"/>
    <w:rsid w:val="0044441D"/>
    <w:rsid w:val="00451E35"/>
    <w:rsid w:val="00457E0A"/>
    <w:rsid w:val="00460D76"/>
    <w:rsid w:val="00461388"/>
    <w:rsid w:val="00461727"/>
    <w:rsid w:val="004826EF"/>
    <w:rsid w:val="00492F98"/>
    <w:rsid w:val="004A106A"/>
    <w:rsid w:val="004A394A"/>
    <w:rsid w:val="004A4FE5"/>
    <w:rsid w:val="004A78E2"/>
    <w:rsid w:val="004B5B75"/>
    <w:rsid w:val="004D307D"/>
    <w:rsid w:val="004E7450"/>
    <w:rsid w:val="004F6777"/>
    <w:rsid w:val="00500171"/>
    <w:rsid w:val="0050564C"/>
    <w:rsid w:val="005133F8"/>
    <w:rsid w:val="00513BF2"/>
    <w:rsid w:val="00515073"/>
    <w:rsid w:val="00526AA3"/>
    <w:rsid w:val="00530FEA"/>
    <w:rsid w:val="00532476"/>
    <w:rsid w:val="00534013"/>
    <w:rsid w:val="005406A6"/>
    <w:rsid w:val="0058000D"/>
    <w:rsid w:val="00594240"/>
    <w:rsid w:val="005975E4"/>
    <w:rsid w:val="005B00C9"/>
    <w:rsid w:val="005B3DAE"/>
    <w:rsid w:val="005B635F"/>
    <w:rsid w:val="005B6B29"/>
    <w:rsid w:val="005C1966"/>
    <w:rsid w:val="005C6F1C"/>
    <w:rsid w:val="005F0283"/>
    <w:rsid w:val="006019F4"/>
    <w:rsid w:val="006140E6"/>
    <w:rsid w:val="00614B06"/>
    <w:rsid w:val="0063770B"/>
    <w:rsid w:val="006410AE"/>
    <w:rsid w:val="00641572"/>
    <w:rsid w:val="00651A7C"/>
    <w:rsid w:val="006842AB"/>
    <w:rsid w:val="00696E6A"/>
    <w:rsid w:val="006A1FAD"/>
    <w:rsid w:val="006A4380"/>
    <w:rsid w:val="006C160F"/>
    <w:rsid w:val="006C334B"/>
    <w:rsid w:val="006C5940"/>
    <w:rsid w:val="006D454B"/>
    <w:rsid w:val="007033F7"/>
    <w:rsid w:val="00706FB3"/>
    <w:rsid w:val="0071529A"/>
    <w:rsid w:val="007368DB"/>
    <w:rsid w:val="0074708B"/>
    <w:rsid w:val="0076408F"/>
    <w:rsid w:val="00767749"/>
    <w:rsid w:val="00770EEA"/>
    <w:rsid w:val="00777C17"/>
    <w:rsid w:val="0079008F"/>
    <w:rsid w:val="007A35F6"/>
    <w:rsid w:val="007B053A"/>
    <w:rsid w:val="007C346A"/>
    <w:rsid w:val="007C5F79"/>
    <w:rsid w:val="007D16A4"/>
    <w:rsid w:val="007D2AA9"/>
    <w:rsid w:val="007E0DEE"/>
    <w:rsid w:val="007F0729"/>
    <w:rsid w:val="008053B7"/>
    <w:rsid w:val="008105B2"/>
    <w:rsid w:val="00824C6B"/>
    <w:rsid w:val="00825812"/>
    <w:rsid w:val="0083568C"/>
    <w:rsid w:val="008462BE"/>
    <w:rsid w:val="00856B69"/>
    <w:rsid w:val="00861920"/>
    <w:rsid w:val="00863F77"/>
    <w:rsid w:val="00865907"/>
    <w:rsid w:val="0087073B"/>
    <w:rsid w:val="00873B54"/>
    <w:rsid w:val="00883C0A"/>
    <w:rsid w:val="008A1C67"/>
    <w:rsid w:val="008B63EF"/>
    <w:rsid w:val="008C1347"/>
    <w:rsid w:val="008C461F"/>
    <w:rsid w:val="008D2A44"/>
    <w:rsid w:val="008D3BDF"/>
    <w:rsid w:val="008E352E"/>
    <w:rsid w:val="008E4926"/>
    <w:rsid w:val="008E7AA0"/>
    <w:rsid w:val="008F0A50"/>
    <w:rsid w:val="008F4F49"/>
    <w:rsid w:val="008F4FAA"/>
    <w:rsid w:val="00907C58"/>
    <w:rsid w:val="00914A96"/>
    <w:rsid w:val="009318B8"/>
    <w:rsid w:val="00952C8B"/>
    <w:rsid w:val="009563E8"/>
    <w:rsid w:val="00957EAE"/>
    <w:rsid w:val="00971509"/>
    <w:rsid w:val="009A5026"/>
    <w:rsid w:val="009B091D"/>
    <w:rsid w:val="009C09D8"/>
    <w:rsid w:val="009E1E59"/>
    <w:rsid w:val="009F4681"/>
    <w:rsid w:val="00A11AC1"/>
    <w:rsid w:val="00A1405E"/>
    <w:rsid w:val="00A43899"/>
    <w:rsid w:val="00A441A1"/>
    <w:rsid w:val="00A44D74"/>
    <w:rsid w:val="00A52B11"/>
    <w:rsid w:val="00AA7F9D"/>
    <w:rsid w:val="00AC50A6"/>
    <w:rsid w:val="00AD65EC"/>
    <w:rsid w:val="00AE7557"/>
    <w:rsid w:val="00AF0E45"/>
    <w:rsid w:val="00B13423"/>
    <w:rsid w:val="00B218CC"/>
    <w:rsid w:val="00B46B36"/>
    <w:rsid w:val="00B56AF8"/>
    <w:rsid w:val="00B57B9C"/>
    <w:rsid w:val="00B637A0"/>
    <w:rsid w:val="00B760C4"/>
    <w:rsid w:val="00B77816"/>
    <w:rsid w:val="00BA2589"/>
    <w:rsid w:val="00BD74C8"/>
    <w:rsid w:val="00BE212A"/>
    <w:rsid w:val="00BF14CF"/>
    <w:rsid w:val="00BF4CFA"/>
    <w:rsid w:val="00C0480C"/>
    <w:rsid w:val="00C67C9D"/>
    <w:rsid w:val="00C77721"/>
    <w:rsid w:val="00CA3E94"/>
    <w:rsid w:val="00CA5738"/>
    <w:rsid w:val="00CD3FD9"/>
    <w:rsid w:val="00CE15CF"/>
    <w:rsid w:val="00CF0796"/>
    <w:rsid w:val="00CF0E45"/>
    <w:rsid w:val="00CF1FC7"/>
    <w:rsid w:val="00D00DC6"/>
    <w:rsid w:val="00D126F0"/>
    <w:rsid w:val="00D16753"/>
    <w:rsid w:val="00D17551"/>
    <w:rsid w:val="00D27284"/>
    <w:rsid w:val="00D27E92"/>
    <w:rsid w:val="00D30DD8"/>
    <w:rsid w:val="00D411FC"/>
    <w:rsid w:val="00D6260F"/>
    <w:rsid w:val="00D664AC"/>
    <w:rsid w:val="00D732C7"/>
    <w:rsid w:val="00D80D99"/>
    <w:rsid w:val="00D909E8"/>
    <w:rsid w:val="00D9435D"/>
    <w:rsid w:val="00D9563B"/>
    <w:rsid w:val="00DA2F74"/>
    <w:rsid w:val="00DA6251"/>
    <w:rsid w:val="00DC02D8"/>
    <w:rsid w:val="00DC1CC8"/>
    <w:rsid w:val="00DC5960"/>
    <w:rsid w:val="00E01945"/>
    <w:rsid w:val="00E11B99"/>
    <w:rsid w:val="00E1542F"/>
    <w:rsid w:val="00E1686A"/>
    <w:rsid w:val="00E35B5F"/>
    <w:rsid w:val="00E37109"/>
    <w:rsid w:val="00E4138E"/>
    <w:rsid w:val="00E420C5"/>
    <w:rsid w:val="00E533E0"/>
    <w:rsid w:val="00E65FBD"/>
    <w:rsid w:val="00E748EB"/>
    <w:rsid w:val="00E86411"/>
    <w:rsid w:val="00EC0E0D"/>
    <w:rsid w:val="00EC5704"/>
    <w:rsid w:val="00ED73EE"/>
    <w:rsid w:val="00EE76C4"/>
    <w:rsid w:val="00EF71B6"/>
    <w:rsid w:val="00F045B5"/>
    <w:rsid w:val="00F1079F"/>
    <w:rsid w:val="00F42CC4"/>
    <w:rsid w:val="00F577A7"/>
    <w:rsid w:val="00F63D60"/>
    <w:rsid w:val="00F81B65"/>
    <w:rsid w:val="00F85BA5"/>
    <w:rsid w:val="00FA641C"/>
    <w:rsid w:val="00FC4F76"/>
    <w:rsid w:val="00FC7616"/>
    <w:rsid w:val="00FD688B"/>
    <w:rsid w:val="00FF456D"/>
    <w:rsid w:val="00FF578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777C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C17"/>
    <w:rPr>
      <w:sz w:val="20"/>
      <w:szCs w:val="20"/>
    </w:rPr>
  </w:style>
  <w:style w:type="character" w:styleId="FootnoteReference">
    <w:name w:val="footnote reference"/>
    <w:basedOn w:val="DefaultParagraphFont"/>
    <w:uiPriority w:val="99"/>
    <w:semiHidden/>
    <w:unhideWhenUsed/>
    <w:rsid w:val="00777C17"/>
    <w:rPr>
      <w:vertAlign w:val="superscript"/>
    </w:rPr>
  </w:style>
  <w:style w:type="paragraph" w:styleId="NormalWeb">
    <w:name w:val="Normal (Web)"/>
    <w:basedOn w:val="Normal"/>
    <w:uiPriority w:val="99"/>
    <w:semiHidden/>
    <w:unhideWhenUsed/>
    <w:rsid w:val="00461727"/>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customStyle="1" w:styleId="GridTable4-Accent31">
    <w:name w:val="Grid Table 4 - Accent 31"/>
    <w:basedOn w:val="TableNormal"/>
    <w:uiPriority w:val="49"/>
    <w:rsid w:val="00211685"/>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1A55D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777C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C17"/>
    <w:rPr>
      <w:sz w:val="20"/>
      <w:szCs w:val="20"/>
    </w:rPr>
  </w:style>
  <w:style w:type="character" w:styleId="FootnoteReference">
    <w:name w:val="footnote reference"/>
    <w:basedOn w:val="DefaultParagraphFont"/>
    <w:uiPriority w:val="99"/>
    <w:semiHidden/>
    <w:unhideWhenUsed/>
    <w:rsid w:val="00777C17"/>
    <w:rPr>
      <w:vertAlign w:val="superscript"/>
    </w:rPr>
  </w:style>
  <w:style w:type="paragraph" w:styleId="NormalWeb">
    <w:name w:val="Normal (Web)"/>
    <w:basedOn w:val="Normal"/>
    <w:uiPriority w:val="99"/>
    <w:semiHidden/>
    <w:unhideWhenUsed/>
    <w:rsid w:val="00461727"/>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customStyle="1" w:styleId="GridTable4-Accent31">
    <w:name w:val="Grid Table 4 - Accent 31"/>
    <w:basedOn w:val="TableNormal"/>
    <w:uiPriority w:val="49"/>
    <w:rsid w:val="00211685"/>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1A55D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431356">
      <w:bodyDiv w:val="1"/>
      <w:marLeft w:val="0"/>
      <w:marRight w:val="0"/>
      <w:marTop w:val="0"/>
      <w:marBottom w:val="0"/>
      <w:divBdr>
        <w:top w:val="none" w:sz="0" w:space="0" w:color="auto"/>
        <w:left w:val="none" w:sz="0" w:space="0" w:color="auto"/>
        <w:bottom w:val="none" w:sz="0" w:space="0" w:color="auto"/>
        <w:right w:val="none" w:sz="0" w:space="0" w:color="auto"/>
      </w:divBdr>
    </w:div>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537400086">
          <w:marLeft w:val="806"/>
          <w:marRight w:val="0"/>
          <w:marTop w:val="72"/>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sChild>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331370002">
      <w:bodyDiv w:val="1"/>
      <w:marLeft w:val="0"/>
      <w:marRight w:val="0"/>
      <w:marTop w:val="0"/>
      <w:marBottom w:val="0"/>
      <w:divBdr>
        <w:top w:val="none" w:sz="0" w:space="0" w:color="auto"/>
        <w:left w:val="none" w:sz="0" w:space="0" w:color="auto"/>
        <w:bottom w:val="none" w:sz="0" w:space="0" w:color="auto"/>
        <w:right w:val="none" w:sz="0" w:space="0" w:color="auto"/>
      </w:divBdr>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2050450190">
          <w:marLeft w:val="806"/>
          <w:marRight w:val="0"/>
          <w:marTop w:val="86"/>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59450289">
          <w:marLeft w:val="1440"/>
          <w:marRight w:val="0"/>
          <w:marTop w:val="72"/>
          <w:marBottom w:val="0"/>
          <w:divBdr>
            <w:top w:val="none" w:sz="0" w:space="0" w:color="auto"/>
            <w:left w:val="none" w:sz="0" w:space="0" w:color="auto"/>
            <w:bottom w:val="none" w:sz="0" w:space="0" w:color="auto"/>
            <w:right w:val="none" w:sz="0" w:space="0" w:color="auto"/>
          </w:divBdr>
        </w:div>
      </w:divsChild>
    </w:div>
    <w:div w:id="1695963073">
      <w:bodyDiv w:val="1"/>
      <w:marLeft w:val="0"/>
      <w:marRight w:val="0"/>
      <w:marTop w:val="0"/>
      <w:marBottom w:val="0"/>
      <w:divBdr>
        <w:top w:val="none" w:sz="0" w:space="0" w:color="auto"/>
        <w:left w:val="none" w:sz="0" w:space="0" w:color="auto"/>
        <w:bottom w:val="none" w:sz="0" w:space="0" w:color="auto"/>
        <w:right w:val="none" w:sz="0" w:space="0" w:color="auto"/>
      </w:divBdr>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2818120">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hoequity.shinyapps.io/HEAT/" TargetMode="External"/><Relationship Id="rId1" Type="http://schemas.openxmlformats.org/officeDocument/2006/relationships/hyperlink" Target="http://www.polioeradication.org/Keycountrie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6447493-BC2E-4A88-9EE2-019741ACB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6433</Words>
  <Characters>36669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43016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2016-06-28T06:36:00Z</cp:lastPrinted>
  <dcterms:created xsi:type="dcterms:W3CDTF">2016-08-25T12:43:00Z</dcterms:created>
  <dcterms:modified xsi:type="dcterms:W3CDTF">2016-08-25T12:43:00Z</dcterms:modified>
</cp:coreProperties>
</file>