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4C44D" w14:textId="77777777" w:rsidR="00B93354" w:rsidRPr="00C27BB5" w:rsidRDefault="00B93354" w:rsidP="00B93354">
      <w:pPr>
        <w:jc w:val="center"/>
        <w:rPr>
          <w:b/>
          <w:sz w:val="40"/>
          <w:szCs w:val="40"/>
        </w:rPr>
      </w:pPr>
      <w:r w:rsidRPr="00C27BB5">
        <w:rPr>
          <w:b/>
          <w:sz w:val="40"/>
          <w:szCs w:val="40"/>
        </w:rPr>
        <w:t>Global Vaccine Action Plan</w:t>
      </w:r>
    </w:p>
    <w:p w14:paraId="3AFBAA78" w14:textId="77777777" w:rsidR="00B93354" w:rsidRDefault="00B93354" w:rsidP="00B93354">
      <w:pPr>
        <w:jc w:val="center"/>
        <w:rPr>
          <w:i/>
          <w:sz w:val="40"/>
          <w:szCs w:val="40"/>
        </w:rPr>
      </w:pPr>
      <w:r w:rsidRPr="00C27BB5">
        <w:rPr>
          <w:i/>
          <w:sz w:val="40"/>
          <w:szCs w:val="40"/>
        </w:rPr>
        <w:t>Secretariat Annual Report 2016</w:t>
      </w:r>
    </w:p>
    <w:p w14:paraId="63C79808" w14:textId="77777777" w:rsidR="00B93354" w:rsidRDefault="00B93354" w:rsidP="00B93354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Priority C</w:t>
      </w:r>
      <w:r w:rsidRPr="00C27BB5">
        <w:rPr>
          <w:i/>
          <w:sz w:val="40"/>
          <w:szCs w:val="40"/>
        </w:rPr>
        <w:t xml:space="preserve">ountry report on progress towards </w:t>
      </w:r>
    </w:p>
    <w:p w14:paraId="7B204DF5" w14:textId="77777777" w:rsidR="00B93354" w:rsidRPr="00C27BB5" w:rsidRDefault="00B93354" w:rsidP="00B93354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GVAP-RVAP</w:t>
      </w:r>
      <w:r w:rsidRPr="00C27BB5">
        <w:rPr>
          <w:i/>
          <w:sz w:val="40"/>
          <w:szCs w:val="40"/>
        </w:rPr>
        <w:t xml:space="preserve"> goals </w:t>
      </w:r>
    </w:p>
    <w:p w14:paraId="215BB527" w14:textId="77777777" w:rsidR="00B93354" w:rsidRDefault="00B93354" w:rsidP="00B93354">
      <w:pPr>
        <w:jc w:val="center"/>
        <w:rPr>
          <w:rFonts w:ascii="Arial" w:hAnsi="Arial"/>
          <w:b/>
          <w:sz w:val="32"/>
        </w:rPr>
      </w:pPr>
    </w:p>
    <w:p w14:paraId="1EDFED1D" w14:textId="383B1A86" w:rsidR="00B93354" w:rsidRDefault="00B93354" w:rsidP="003A6CF9">
      <w:pPr>
        <w:jc w:val="center"/>
        <w:rPr>
          <w:rFonts w:ascii="Arial" w:hAnsi="Arial" w:cs="Arial"/>
          <w:b/>
          <w:sz w:val="32"/>
          <w:lang w:val="en-US"/>
        </w:rPr>
      </w:pPr>
      <w:r>
        <w:rPr>
          <w:rFonts w:ascii="Arial" w:hAnsi="Arial"/>
          <w:b/>
          <w:sz w:val="36"/>
        </w:rPr>
        <w:t>INDONESIA</w:t>
      </w:r>
    </w:p>
    <w:p w14:paraId="0F982F21" w14:textId="77777777" w:rsidR="00B93354" w:rsidRDefault="00B93354" w:rsidP="003A6CF9">
      <w:pPr>
        <w:jc w:val="center"/>
        <w:rPr>
          <w:rFonts w:ascii="Arial" w:hAnsi="Arial" w:cs="Arial"/>
          <w:b/>
          <w:sz w:val="32"/>
          <w:lang w:val="en-US"/>
        </w:rPr>
      </w:pPr>
    </w:p>
    <w:p w14:paraId="1D623B59" w14:textId="77777777" w:rsidR="00457E0A" w:rsidRPr="003A6CF9" w:rsidRDefault="00457E0A" w:rsidP="00457E0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6"/>
          <w:szCs w:val="26"/>
        </w:rPr>
      </w:pPr>
      <w:r w:rsidRPr="003A6CF9">
        <w:rPr>
          <w:rFonts w:ascii="Arial" w:hAnsi="Arial" w:cs="Arial"/>
          <w:b/>
          <w:sz w:val="26"/>
          <w:szCs w:val="26"/>
        </w:rPr>
        <w:t xml:space="preserve">Progress towards achievement of GVAP goals </w:t>
      </w:r>
    </w:p>
    <w:p w14:paraId="5C8B88FE" w14:textId="77777777" w:rsidR="00457E0A" w:rsidRPr="00457E0A" w:rsidRDefault="00457E0A" w:rsidP="00457E0A">
      <w:pPr>
        <w:pStyle w:val="ListParagraph"/>
        <w:rPr>
          <w:rFonts w:ascii="Arial" w:hAnsi="Arial" w:cs="Arial"/>
          <w:b/>
        </w:rPr>
      </w:pPr>
    </w:p>
    <w:p w14:paraId="701352EF" w14:textId="77777777" w:rsidR="00163179" w:rsidRDefault="00C67C9D" w:rsidP="0016317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Summary </w:t>
      </w:r>
    </w:p>
    <w:p w14:paraId="2A48FB84" w14:textId="0C137287" w:rsidR="00BA2589" w:rsidRDefault="00BA2589" w:rsidP="003D5A80">
      <w:pPr>
        <w:rPr>
          <w:rFonts w:ascii="Arial" w:hAnsi="Arial" w:cs="Arial"/>
        </w:rPr>
      </w:pPr>
      <w:r w:rsidRPr="0000352E">
        <w:rPr>
          <w:rFonts w:ascii="Arial" w:hAnsi="Arial" w:cs="Arial"/>
        </w:rPr>
        <w:t xml:space="preserve">This </w:t>
      </w:r>
      <w:r w:rsidR="006C334B">
        <w:rPr>
          <w:rFonts w:ascii="Arial" w:hAnsi="Arial" w:cs="Arial"/>
        </w:rPr>
        <w:t xml:space="preserve">summary table describes </w:t>
      </w:r>
      <w:r w:rsidRPr="0000352E">
        <w:rPr>
          <w:rFonts w:ascii="Arial" w:hAnsi="Arial" w:cs="Arial"/>
        </w:rPr>
        <w:t xml:space="preserve">the current situation in </w:t>
      </w:r>
      <w:r w:rsidR="003D5A80">
        <w:rPr>
          <w:rFonts w:ascii="Arial" w:hAnsi="Arial" w:cs="Arial"/>
        </w:rPr>
        <w:t xml:space="preserve">Indonesia </w:t>
      </w:r>
      <w:r w:rsidRPr="0000352E">
        <w:rPr>
          <w:rFonts w:ascii="Arial" w:hAnsi="Arial" w:cs="Arial"/>
        </w:rPr>
        <w:t xml:space="preserve">regarding achieving the </w:t>
      </w:r>
      <w:proofErr w:type="gramStart"/>
      <w:r w:rsidRPr="0000352E">
        <w:rPr>
          <w:rFonts w:ascii="Arial" w:hAnsi="Arial" w:cs="Arial"/>
        </w:rPr>
        <w:t>GVAP goals.</w:t>
      </w:r>
      <w:proofErr w:type="gramEnd"/>
      <w:r w:rsidR="00492F98">
        <w:rPr>
          <w:rFonts w:ascii="Arial" w:hAnsi="Arial" w:cs="Arial"/>
        </w:rPr>
        <w:t xml:space="preserve"> </w:t>
      </w:r>
      <w:r w:rsidR="00500171">
        <w:rPr>
          <w:rFonts w:ascii="Arial" w:hAnsi="Arial" w:cs="Arial"/>
        </w:rPr>
        <w:t>D</w:t>
      </w:r>
      <w:r w:rsidR="00696E6A">
        <w:rPr>
          <w:rFonts w:ascii="Arial" w:hAnsi="Arial" w:cs="Arial"/>
        </w:rPr>
        <w:t xml:space="preserve">ata </w:t>
      </w:r>
      <w:r w:rsidR="00E11B99">
        <w:rPr>
          <w:rFonts w:ascii="Arial" w:hAnsi="Arial" w:cs="Arial"/>
        </w:rPr>
        <w:t xml:space="preserve">used to assess progress towards achievement of </w:t>
      </w:r>
      <w:r w:rsidR="00696E6A">
        <w:rPr>
          <w:rFonts w:ascii="Arial" w:hAnsi="Arial" w:cs="Arial"/>
        </w:rPr>
        <w:t xml:space="preserve">GVAP goals </w:t>
      </w:r>
      <w:r w:rsidR="003A6CF9">
        <w:rPr>
          <w:rFonts w:ascii="Arial" w:hAnsi="Arial" w:cs="Arial"/>
        </w:rPr>
        <w:t>can be found</w:t>
      </w:r>
      <w:r w:rsidR="00696E6A">
        <w:rPr>
          <w:rFonts w:ascii="Arial" w:hAnsi="Arial" w:cs="Arial"/>
        </w:rPr>
        <w:t xml:space="preserve"> in the annex.</w:t>
      </w:r>
    </w:p>
    <w:tbl>
      <w:tblPr>
        <w:tblW w:w="9291" w:type="dxa"/>
        <w:jc w:val="center"/>
        <w:tblLook w:val="04A0" w:firstRow="1" w:lastRow="0" w:firstColumn="1" w:lastColumn="0" w:noHBand="0" w:noVBand="1"/>
      </w:tblPr>
      <w:tblGrid>
        <w:gridCol w:w="3201"/>
        <w:gridCol w:w="3880"/>
        <w:gridCol w:w="2210"/>
      </w:tblGrid>
      <w:tr w:rsidR="00A44EBD" w:rsidRPr="00A44EBD" w14:paraId="5DA54860" w14:textId="77777777" w:rsidTr="00F246CA">
        <w:trPr>
          <w:trHeight w:val="675"/>
          <w:tblHeader/>
          <w:jc w:val="center"/>
        </w:trPr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1D87C" w14:textId="77777777" w:rsidR="00A44EBD" w:rsidRPr="00A44EBD" w:rsidRDefault="00A44EBD" w:rsidP="00A44E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Area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B07DA" w14:textId="77777777" w:rsidR="00A44EBD" w:rsidRPr="00A44EBD" w:rsidRDefault="00A44EBD" w:rsidP="00A44E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Indicator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F67FD" w14:textId="77777777" w:rsidR="00A44EBD" w:rsidRPr="00A44EBD" w:rsidRDefault="00A44EBD" w:rsidP="00A4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Indonesia</w:t>
            </w:r>
          </w:p>
        </w:tc>
      </w:tr>
      <w:tr w:rsidR="00F246CA" w:rsidRPr="00A44EBD" w14:paraId="051FA30F" w14:textId="77777777" w:rsidTr="00F50BE1">
        <w:trPr>
          <w:trHeight w:val="300"/>
          <w:jc w:val="center"/>
        </w:trPr>
        <w:tc>
          <w:tcPr>
            <w:tcW w:w="32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14:paraId="2F4E98AE" w14:textId="77777777" w:rsidR="00F246CA" w:rsidRPr="00A44EBD" w:rsidRDefault="00F246CA" w:rsidP="00F50B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2. Neonatal tetanus elimination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75441B9B" w14:textId="2166B27C" w:rsidR="00F246CA" w:rsidRPr="00A44EBD" w:rsidRDefault="00F246CA" w:rsidP="00F246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TT2+ c</w:t>
            </w: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overage (reported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on JRF </w:t>
            </w: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2015)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228DFD4" w14:textId="77777777" w:rsidR="00F246CA" w:rsidRPr="00A44EBD" w:rsidRDefault="00F246CA" w:rsidP="00A4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63%</w:t>
            </w:r>
          </w:p>
        </w:tc>
      </w:tr>
      <w:tr w:rsidR="00F246CA" w:rsidRPr="00A44EBD" w14:paraId="277493CB" w14:textId="77777777" w:rsidTr="00482432">
        <w:trPr>
          <w:trHeight w:val="600"/>
          <w:jc w:val="center"/>
        </w:trPr>
        <w:tc>
          <w:tcPr>
            <w:tcW w:w="32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14:paraId="29BF1E2A" w14:textId="4D1EBF4E" w:rsidR="00F246CA" w:rsidRPr="00A44EBD" w:rsidRDefault="00F246CA" w:rsidP="00A44E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23F4EF13" w14:textId="6F2F2B0E" w:rsidR="00F246CA" w:rsidRPr="00A44EBD" w:rsidRDefault="00F246CA" w:rsidP="00F246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Protection at Birth against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tetanus</w:t>
            </w: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(WUENIC 201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</w:t>
            </w: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9F5D837" w14:textId="77777777" w:rsidR="00F246CA" w:rsidRPr="00A44EBD" w:rsidRDefault="00F246CA" w:rsidP="00A4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85%</w:t>
            </w:r>
          </w:p>
        </w:tc>
      </w:tr>
      <w:tr w:rsidR="00F246CA" w:rsidRPr="00A44EBD" w14:paraId="10EFFAC8" w14:textId="77777777" w:rsidTr="00F246CA">
        <w:trPr>
          <w:trHeight w:val="332"/>
          <w:jc w:val="center"/>
        </w:trPr>
        <w:tc>
          <w:tcPr>
            <w:tcW w:w="32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C5D9F1"/>
          </w:tcPr>
          <w:p w14:paraId="3E56961B" w14:textId="2F9DEA08" w:rsidR="00F246CA" w:rsidRPr="00A44EBD" w:rsidRDefault="00F246CA" w:rsidP="00A44E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14:paraId="1AC96EF7" w14:textId="77777777" w:rsidR="00F246CA" w:rsidRPr="00A44EBD" w:rsidRDefault="00F246CA" w:rsidP="00A44E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Last SIAs conducted in the country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420948F" w14:textId="27BD88B7" w:rsidR="00F246CA" w:rsidRPr="00A44EBD" w:rsidRDefault="00F246CA" w:rsidP="00A4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2013</w:t>
            </w:r>
          </w:p>
        </w:tc>
      </w:tr>
      <w:tr w:rsidR="00F246CA" w:rsidRPr="00A44EBD" w14:paraId="0218241F" w14:textId="77777777" w:rsidTr="00F50BE1">
        <w:trPr>
          <w:trHeight w:val="350"/>
          <w:jc w:val="center"/>
        </w:trPr>
        <w:tc>
          <w:tcPr>
            <w:tcW w:w="32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14:paraId="61749369" w14:textId="5827EE73" w:rsidR="00F246CA" w:rsidRPr="00A44EBD" w:rsidRDefault="00F246CA" w:rsidP="00A44E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50480B4B" w14:textId="77777777" w:rsidR="00F246CA" w:rsidRPr="00A44EBD" w:rsidRDefault="00F246CA" w:rsidP="00A44E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Elimination validation date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01610562" w14:textId="354F99DE" w:rsidR="00F246CA" w:rsidRPr="00A44EBD" w:rsidRDefault="00F246CA" w:rsidP="00A44E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44EB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May 2016</w:t>
            </w:r>
          </w:p>
        </w:tc>
      </w:tr>
    </w:tbl>
    <w:p w14:paraId="7BE8B65D" w14:textId="55063A9B" w:rsidR="00697CFB" w:rsidRDefault="00697CFB" w:rsidP="00697CFB">
      <w:pPr>
        <w:pStyle w:val="ListParagraph"/>
        <w:numPr>
          <w:ilvl w:val="1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9318B8">
        <w:rPr>
          <w:rFonts w:ascii="Arial" w:hAnsi="Arial" w:cs="Arial"/>
          <w:b/>
        </w:rPr>
        <w:t xml:space="preserve">Goal 2 : </w:t>
      </w:r>
      <w:r>
        <w:rPr>
          <w:rFonts w:ascii="Arial" w:hAnsi="Arial" w:cs="Arial"/>
          <w:b/>
        </w:rPr>
        <w:t>Meet global and regional disease elimination targets</w:t>
      </w:r>
    </w:p>
    <w:p w14:paraId="29A90A8B" w14:textId="27A426CD" w:rsidR="00697CFB" w:rsidRPr="00371B50" w:rsidRDefault="00697CFB" w:rsidP="00697CF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3.2.1 </w:t>
      </w:r>
      <w:r w:rsidRPr="00371B50">
        <w:rPr>
          <w:rFonts w:ascii="Arial" w:hAnsi="Arial" w:cs="Arial"/>
          <w:b/>
        </w:rPr>
        <w:t xml:space="preserve">Achieve maternal and neonatal tetanus </w:t>
      </w:r>
      <w:r>
        <w:rPr>
          <w:rFonts w:ascii="Arial" w:hAnsi="Arial" w:cs="Arial"/>
          <w:b/>
        </w:rPr>
        <w:t xml:space="preserve">(MNT) </w:t>
      </w:r>
      <w:r w:rsidRPr="00371B50">
        <w:rPr>
          <w:rFonts w:ascii="Arial" w:hAnsi="Arial" w:cs="Arial"/>
          <w:b/>
        </w:rPr>
        <w:t>elimination</w:t>
      </w:r>
    </w:p>
    <w:p w14:paraId="4669D9BB" w14:textId="2E94ED04" w:rsidR="008707E1" w:rsidRDefault="00697CFB" w:rsidP="003269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Indonesia was certified by WHO in </w:t>
      </w:r>
      <w:r w:rsidR="00C00233">
        <w:rPr>
          <w:rFonts w:ascii="Arial" w:hAnsi="Arial" w:cs="Arial"/>
        </w:rPr>
        <w:t xml:space="preserve">May </w:t>
      </w:r>
      <w:r>
        <w:rPr>
          <w:rFonts w:ascii="Arial" w:hAnsi="Arial" w:cs="Arial"/>
        </w:rPr>
        <w:t xml:space="preserve">2016 as having eliminated MNT nation-wide. This follows </w:t>
      </w:r>
      <w:r w:rsidR="00256665">
        <w:rPr>
          <w:rFonts w:ascii="Arial" w:hAnsi="Arial" w:cs="Arial"/>
        </w:rPr>
        <w:t xml:space="preserve">validation </w:t>
      </w:r>
      <w:r w:rsidR="0005693C">
        <w:rPr>
          <w:rFonts w:ascii="Arial" w:hAnsi="Arial" w:cs="Arial"/>
        </w:rPr>
        <w:t xml:space="preserve">of elimination </w:t>
      </w:r>
      <w:r w:rsidR="00256665">
        <w:rPr>
          <w:rFonts w:ascii="Arial" w:hAnsi="Arial" w:cs="Arial"/>
        </w:rPr>
        <w:t xml:space="preserve">in three of the country’s regions in 2011, and </w:t>
      </w:r>
      <w:r>
        <w:rPr>
          <w:rFonts w:ascii="Arial" w:hAnsi="Arial" w:cs="Arial"/>
        </w:rPr>
        <w:t xml:space="preserve">a </w:t>
      </w:r>
      <w:r w:rsidR="00256665">
        <w:rPr>
          <w:rFonts w:ascii="Arial" w:hAnsi="Arial" w:cs="Arial"/>
        </w:rPr>
        <w:t xml:space="preserve">recent </w:t>
      </w:r>
      <w:r>
        <w:rPr>
          <w:rFonts w:ascii="Arial" w:hAnsi="Arial" w:cs="Arial"/>
        </w:rPr>
        <w:t xml:space="preserve">validation assessment in </w:t>
      </w:r>
      <w:r w:rsidR="00256665">
        <w:rPr>
          <w:rFonts w:ascii="Arial" w:hAnsi="Arial" w:cs="Arial"/>
        </w:rPr>
        <w:t xml:space="preserve">the fourth </w:t>
      </w:r>
      <w:r>
        <w:rPr>
          <w:rFonts w:ascii="Arial" w:hAnsi="Arial" w:cs="Arial"/>
        </w:rPr>
        <w:t xml:space="preserve">region – consisting of </w:t>
      </w:r>
      <w:r w:rsidR="00256665">
        <w:rPr>
          <w:rFonts w:ascii="Arial" w:hAnsi="Arial" w:cs="Arial"/>
        </w:rPr>
        <w:t>four</w:t>
      </w:r>
      <w:r>
        <w:rPr>
          <w:rFonts w:ascii="Arial" w:hAnsi="Arial" w:cs="Arial"/>
        </w:rPr>
        <w:t xml:space="preserve"> remote provinces (Papua, West Papua</w:t>
      </w:r>
      <w:r w:rsidR="00256665">
        <w:rPr>
          <w:rFonts w:ascii="Arial" w:hAnsi="Arial" w:cs="Arial"/>
        </w:rPr>
        <w:t>,</w:t>
      </w:r>
      <w:r w:rsidR="000569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Maluku</w:t>
      </w:r>
      <w:r w:rsidR="00C00233">
        <w:rPr>
          <w:rFonts w:ascii="Arial" w:hAnsi="Arial" w:cs="Arial"/>
        </w:rPr>
        <w:t xml:space="preserve"> and </w:t>
      </w:r>
      <w:r w:rsidR="00256665">
        <w:rPr>
          <w:rFonts w:ascii="Arial" w:hAnsi="Arial" w:cs="Arial"/>
        </w:rPr>
        <w:t>N</w:t>
      </w:r>
      <w:r w:rsidR="00C00233">
        <w:rPr>
          <w:rFonts w:ascii="Arial" w:hAnsi="Arial" w:cs="Arial"/>
        </w:rPr>
        <w:t xml:space="preserve">orth </w:t>
      </w:r>
      <w:r w:rsidR="00256665">
        <w:rPr>
          <w:rFonts w:ascii="Arial" w:hAnsi="Arial" w:cs="Arial"/>
        </w:rPr>
        <w:t xml:space="preserve">Maluku). </w:t>
      </w:r>
      <w:r>
        <w:rPr>
          <w:rFonts w:ascii="Arial" w:hAnsi="Arial" w:cs="Arial"/>
        </w:rPr>
        <w:t xml:space="preserve">Achieving MNT elimination in the last region required conducting two rounds </w:t>
      </w:r>
      <w:r w:rsidR="0005693C">
        <w:rPr>
          <w:rFonts w:ascii="Arial" w:hAnsi="Arial" w:cs="Arial"/>
        </w:rPr>
        <w:t xml:space="preserve">of TT vaccination (integrated into the polio NIDs) </w:t>
      </w:r>
      <w:r>
        <w:rPr>
          <w:rFonts w:ascii="Arial" w:hAnsi="Arial" w:cs="Arial"/>
        </w:rPr>
        <w:t>in very isolated, hard-to-reach districts in the country’s extreme</w:t>
      </w:r>
      <w:r w:rsidR="00C00233">
        <w:rPr>
          <w:rFonts w:ascii="Arial" w:hAnsi="Arial" w:cs="Arial"/>
        </w:rPr>
        <w:t xml:space="preserve"> </w:t>
      </w:r>
      <w:r w:rsidR="0005693C">
        <w:rPr>
          <w:rFonts w:ascii="Arial" w:hAnsi="Arial" w:cs="Arial"/>
        </w:rPr>
        <w:t>E</w:t>
      </w:r>
      <w:r>
        <w:rPr>
          <w:rFonts w:ascii="Arial" w:hAnsi="Arial" w:cs="Arial"/>
        </w:rPr>
        <w:t>ast</w:t>
      </w:r>
      <w:r w:rsidR="00C00233">
        <w:rPr>
          <w:rFonts w:ascii="Arial" w:hAnsi="Arial" w:cs="Arial"/>
        </w:rPr>
        <w:t xml:space="preserve">, </w:t>
      </w:r>
      <w:r w:rsidR="0005693C">
        <w:rPr>
          <w:rFonts w:ascii="Arial" w:hAnsi="Arial" w:cs="Arial"/>
        </w:rPr>
        <w:t xml:space="preserve">which involved intensive </w:t>
      </w:r>
      <w:r w:rsidR="00C00233">
        <w:rPr>
          <w:rFonts w:ascii="Arial" w:hAnsi="Arial" w:cs="Arial"/>
        </w:rPr>
        <w:t>district</w:t>
      </w:r>
      <w:r w:rsidR="0005693C">
        <w:rPr>
          <w:rFonts w:ascii="Arial" w:hAnsi="Arial" w:cs="Arial"/>
        </w:rPr>
        <w:t>-</w:t>
      </w:r>
      <w:r w:rsidR="00C00233">
        <w:rPr>
          <w:rFonts w:ascii="Arial" w:hAnsi="Arial" w:cs="Arial"/>
        </w:rPr>
        <w:t xml:space="preserve">level technical assistance </w:t>
      </w:r>
      <w:r w:rsidR="0005693C">
        <w:rPr>
          <w:rFonts w:ascii="Arial" w:hAnsi="Arial" w:cs="Arial"/>
        </w:rPr>
        <w:t>from</w:t>
      </w:r>
      <w:r w:rsidR="00C00233">
        <w:rPr>
          <w:rFonts w:ascii="Arial" w:hAnsi="Arial" w:cs="Arial"/>
        </w:rPr>
        <w:t xml:space="preserve"> WHO </w:t>
      </w:r>
      <w:r>
        <w:rPr>
          <w:rFonts w:ascii="Arial" w:hAnsi="Arial" w:cs="Arial"/>
        </w:rPr>
        <w:t xml:space="preserve"> </w:t>
      </w:r>
      <w:r w:rsidR="0005693C">
        <w:rPr>
          <w:rFonts w:ascii="Arial" w:hAnsi="Arial" w:cs="Arial"/>
        </w:rPr>
        <w:t xml:space="preserve">in </w:t>
      </w:r>
      <w:r w:rsidR="00C00233">
        <w:rPr>
          <w:rFonts w:ascii="Arial" w:hAnsi="Arial" w:cs="Arial"/>
        </w:rPr>
        <w:t>micro plan</w:t>
      </w:r>
      <w:r w:rsidR="0005693C">
        <w:rPr>
          <w:rFonts w:ascii="Arial" w:hAnsi="Arial" w:cs="Arial"/>
        </w:rPr>
        <w:t>ning, training and</w:t>
      </w:r>
      <w:r w:rsidR="00C00233">
        <w:rPr>
          <w:rFonts w:ascii="Arial" w:hAnsi="Arial" w:cs="Arial"/>
        </w:rPr>
        <w:t xml:space="preserve"> </w:t>
      </w:r>
      <w:r w:rsidR="0005693C">
        <w:rPr>
          <w:rFonts w:ascii="Arial" w:hAnsi="Arial" w:cs="Arial"/>
        </w:rPr>
        <w:t xml:space="preserve">in increasing </w:t>
      </w:r>
      <w:r w:rsidR="00C00233">
        <w:rPr>
          <w:rFonts w:ascii="Arial" w:hAnsi="Arial" w:cs="Arial"/>
        </w:rPr>
        <w:t>community awareness</w:t>
      </w:r>
      <w:r w:rsidR="0074468E">
        <w:rPr>
          <w:rFonts w:ascii="Arial" w:hAnsi="Arial" w:cs="Arial"/>
        </w:rPr>
        <w:t xml:space="preserve">. There were reports of </w:t>
      </w:r>
      <w:r>
        <w:rPr>
          <w:rFonts w:ascii="Arial" w:hAnsi="Arial" w:cs="Arial"/>
        </w:rPr>
        <w:t>vaccine hesitancy against TT vaccine among some ethnic groups in Papua province.</w:t>
      </w:r>
      <w:r w:rsidR="00AB6A12" w:rsidRPr="00AB6A12">
        <w:rPr>
          <w:rFonts w:ascii="Arial" w:hAnsi="Arial" w:cs="Arial"/>
        </w:rPr>
        <w:t xml:space="preserve"> </w:t>
      </w:r>
      <w:r w:rsidR="00AB6A12">
        <w:rPr>
          <w:rFonts w:ascii="Arial" w:hAnsi="Arial" w:cs="Arial"/>
        </w:rPr>
        <w:t>The country reported 69 cases in 2013, 0 in 2014, and 53 in 2015 (for an incidence rate of &lt;0.01/1,000 live births).</w:t>
      </w:r>
    </w:p>
    <w:p w14:paraId="2BB99131" w14:textId="73A974F2" w:rsidR="00AB6A12" w:rsidRDefault="00AB6A12" w:rsidP="003269B4">
      <w:pPr>
        <w:rPr>
          <w:rFonts w:ascii="Arial" w:hAnsi="Arial" w:cs="Arial"/>
        </w:rPr>
      </w:pPr>
      <w:r>
        <w:rPr>
          <w:rFonts w:ascii="Arial" w:hAnsi="Arial" w:cs="Arial"/>
        </w:rPr>
        <w:t>Indonesia used a multi-pronged approach to eliminate the disease, which included:</w:t>
      </w:r>
    </w:p>
    <w:p w14:paraId="0903D906" w14:textId="69619709" w:rsidR="00AB6A12" w:rsidRDefault="00F96307" w:rsidP="00F96307">
      <w:pPr>
        <w:pStyle w:val="ListParagraph"/>
        <w:numPr>
          <w:ilvl w:val="0"/>
          <w:numId w:val="29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focus on clean</w:t>
      </w:r>
      <w:r w:rsidR="00AB6A12">
        <w:rPr>
          <w:rFonts w:ascii="Arial" w:hAnsi="Arial" w:cs="Arial"/>
        </w:rPr>
        <w:t xml:space="preserve"> deliveries and cord care practices, which is facilitated in Indonesia by the high rate of pregnant women making at least four antenatal care visits (84%) and institution</w:t>
      </w:r>
      <w:r w:rsidR="00A96DBE">
        <w:rPr>
          <w:rFonts w:ascii="Arial" w:hAnsi="Arial" w:cs="Arial"/>
        </w:rPr>
        <w:t>al birth</w:t>
      </w:r>
      <w:r w:rsidR="00AB6A12">
        <w:rPr>
          <w:rFonts w:ascii="Arial" w:hAnsi="Arial" w:cs="Arial"/>
        </w:rPr>
        <w:t>s (70%).</w:t>
      </w:r>
      <w:r w:rsidR="00AB6A12">
        <w:rPr>
          <w:rStyle w:val="FootnoteReference"/>
          <w:rFonts w:ascii="Arial" w:hAnsi="Arial" w:cs="Arial"/>
        </w:rPr>
        <w:footnoteReference w:id="1"/>
      </w:r>
    </w:p>
    <w:p w14:paraId="33618E97" w14:textId="77777777" w:rsidR="00F96307" w:rsidRDefault="00F96307" w:rsidP="00F96307">
      <w:pPr>
        <w:pStyle w:val="ListParagraph"/>
        <w:numPr>
          <w:ilvl w:val="0"/>
          <w:numId w:val="29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Routine infant immunization with four doses of DPT-containing vaccine, as well as vaccination of pregnant women with two TT doses;</w:t>
      </w:r>
    </w:p>
    <w:p w14:paraId="07216E66" w14:textId="3E78E3D8" w:rsidR="00F96307" w:rsidRDefault="00F96307" w:rsidP="00F96307">
      <w:pPr>
        <w:pStyle w:val="ListParagraph"/>
        <w:numPr>
          <w:ilvl w:val="0"/>
          <w:numId w:val="29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 unique school-based vaccination program called BIAS, begun in 1984, which provides DT vaccine to all first graders (</w:t>
      </w:r>
      <w:r w:rsidR="00A96DBE">
        <w:rPr>
          <w:rFonts w:ascii="Arial" w:hAnsi="Arial" w:cs="Arial"/>
        </w:rPr>
        <w:t>both girls and boys</w:t>
      </w:r>
      <w:r>
        <w:rPr>
          <w:rFonts w:ascii="Arial" w:hAnsi="Arial" w:cs="Arial"/>
        </w:rPr>
        <w:t xml:space="preserve">) nation-wide and </w:t>
      </w:r>
      <w:proofErr w:type="spellStart"/>
      <w:proofErr w:type="gramStart"/>
      <w:r>
        <w:rPr>
          <w:rFonts w:ascii="Arial" w:hAnsi="Arial" w:cs="Arial"/>
        </w:rPr>
        <w:t>dT</w:t>
      </w:r>
      <w:proofErr w:type="spellEnd"/>
      <w:proofErr w:type="gramEnd"/>
      <w:r>
        <w:rPr>
          <w:rFonts w:ascii="Arial" w:hAnsi="Arial" w:cs="Arial"/>
        </w:rPr>
        <w:t xml:space="preserve"> to those in Grades 2 and 3. As a result of infant vaccination and the school-based program, many women have received the five recommended doses of TT-containing vaccine by the time they reach child-bearing age. The WUENIC estimated national rate for children protected at birth</w:t>
      </w:r>
      <w:r w:rsidR="00A96DBE">
        <w:rPr>
          <w:rFonts w:ascii="Arial" w:hAnsi="Arial" w:cs="Arial"/>
        </w:rPr>
        <w:t xml:space="preserve"> in 2015</w:t>
      </w:r>
      <w:r>
        <w:rPr>
          <w:rFonts w:ascii="Arial" w:hAnsi="Arial" w:cs="Arial"/>
        </w:rPr>
        <w:t xml:space="preserve"> is 85%. </w:t>
      </w:r>
    </w:p>
    <w:p w14:paraId="569168C4" w14:textId="474E1BB5" w:rsidR="00F96307" w:rsidRDefault="00F96307" w:rsidP="00F96307">
      <w:pPr>
        <w:pStyle w:val="ListParagraph"/>
        <w:numPr>
          <w:ilvl w:val="0"/>
          <w:numId w:val="29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TT campaigns for women of child-bearing age in high risk districts since 2003. The last SIA was conducted in 2013 in 18 districts in the three remaining high-risk provinces.</w:t>
      </w:r>
    </w:p>
    <w:p w14:paraId="25B9A981" w14:textId="77777777" w:rsidR="00A96DBE" w:rsidRDefault="00F96307" w:rsidP="00F963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Ensuring sustainability of neonatal tetanus elimination will require maintaining high-quality case-based MNT surveillance throughout the country, but especially in the last areas to have eliminated the disease; strengthening the BIAS program in areas where it is not fully operational; improving the recording of TT vaccination among pregnant women; reviewing neonatal tetanus cases and TT coverage regularly; and conducting additional SIAS if </w:t>
      </w:r>
      <w:r w:rsidR="00A96DBE">
        <w:rPr>
          <w:rFonts w:ascii="Arial" w:hAnsi="Arial" w:cs="Arial"/>
        </w:rPr>
        <w:t xml:space="preserve">surveillance data reveals </w:t>
      </w:r>
      <w:r>
        <w:rPr>
          <w:rFonts w:ascii="Arial" w:hAnsi="Arial" w:cs="Arial"/>
        </w:rPr>
        <w:t>clusters of cases</w:t>
      </w:r>
      <w:r w:rsidR="00A96DBE">
        <w:rPr>
          <w:rFonts w:ascii="Arial" w:hAnsi="Arial" w:cs="Arial"/>
        </w:rPr>
        <w:t>.</w:t>
      </w:r>
    </w:p>
    <w:p w14:paraId="1C5ACB35" w14:textId="764A527B" w:rsidR="003269B4" w:rsidRPr="00F577EC" w:rsidRDefault="003269B4" w:rsidP="00F577EC">
      <w:pPr>
        <w:rPr>
          <w:rFonts w:ascii="Arial" w:hAnsi="Arial" w:cs="Arial"/>
        </w:rPr>
      </w:pPr>
    </w:p>
    <w:p w14:paraId="03D7909E" w14:textId="77777777" w:rsidR="00F577EC" w:rsidRDefault="00F577E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2DF56EBA" w14:textId="47397F5B" w:rsidR="006E0769" w:rsidRDefault="006E0769" w:rsidP="006E076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ANNEXES</w:t>
      </w:r>
    </w:p>
    <w:p w14:paraId="0B74B388" w14:textId="3767A088" w:rsidR="00767C0F" w:rsidRPr="00F577EC" w:rsidRDefault="006E0769" w:rsidP="00F577EC">
      <w:pPr>
        <w:pStyle w:val="ListParagraph"/>
        <w:numPr>
          <w:ilvl w:val="0"/>
          <w:numId w:val="22"/>
        </w:numPr>
        <w:rPr>
          <w:b/>
        </w:rPr>
      </w:pPr>
      <w:r w:rsidRPr="00767C0F">
        <w:rPr>
          <w:b/>
          <w:bCs/>
        </w:rPr>
        <w:t>MNT eliminated</w:t>
      </w:r>
      <w:r w:rsidR="00E00963" w:rsidRPr="00767C0F">
        <w:rPr>
          <w:b/>
          <w:bCs/>
        </w:rPr>
        <w:t xml:space="preserve"> in 2016.</w:t>
      </w:r>
      <w:r w:rsidR="00E00963" w:rsidRPr="00767C0F">
        <w:rPr>
          <w:b/>
        </w:rPr>
        <w:t xml:space="preserve"> </w:t>
      </w:r>
    </w:p>
    <w:p w14:paraId="12CD6D45" w14:textId="77777777" w:rsidR="006E0769" w:rsidRDefault="006E0769" w:rsidP="006E0769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Coverage and Equity</w:t>
      </w:r>
    </w:p>
    <w:p w14:paraId="19E88580" w14:textId="1BDDB659" w:rsidR="00841F8B" w:rsidRDefault="00841F8B" w:rsidP="00841F8B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 wp14:anchorId="1DEA4F10" wp14:editId="01E2F9CA">
            <wp:extent cx="3820609" cy="2847975"/>
            <wp:effectExtent l="0" t="0" r="8890" b="0"/>
            <wp:docPr id="6" name="Picture 6" descr="D:\data\GVAP Reports\2016\3. Scrore Cards 2016\jan visualizations DTP3 per country\Punch cards per country\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GVAP Reports\2016\3. Scrore Cards 2016\jan visualizations DTP3 per country\Punch cards per country\indonesi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609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7F4D" w14:textId="5E83ABB7" w:rsidR="00E86411" w:rsidRPr="00F577EC" w:rsidRDefault="005651E6" w:rsidP="00F577EC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 wp14:anchorId="30E16FBC" wp14:editId="469B3F65">
            <wp:extent cx="3552825" cy="818986"/>
            <wp:effectExtent l="0" t="0" r="0" b="635"/>
            <wp:docPr id="7" name="Picture 7" descr="D:\data\GVAP Reports\2016\3. Scrore Cards 2016\jan visualizations DTP3 per country\Punch cards per country\_legend-punch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GVAP Reports\2016\3. Scrore Cards 2016\jan visualizations DTP3 per country\Punch cards per country\_legend-punchcar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733" cy="82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411" w:rsidRPr="00F577EC" w:rsidSect="003269B4">
      <w:footerReference w:type="defaul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1CE818" w15:done="0"/>
  <w15:commentEx w15:paraId="3BF84435" w15:done="0"/>
  <w15:commentEx w15:paraId="67E88E1B" w15:done="0"/>
  <w15:commentEx w15:paraId="1198E4C0" w15:done="0"/>
  <w15:commentEx w15:paraId="5D7C06AB" w15:done="0"/>
  <w15:commentEx w15:paraId="0896BD56" w15:done="0"/>
  <w15:commentEx w15:paraId="7B2C63C2" w15:done="0"/>
  <w15:commentEx w15:paraId="27F723FA" w15:done="0"/>
  <w15:commentEx w15:paraId="13413AD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3453B" w14:textId="77777777" w:rsidR="009A5443" w:rsidRDefault="009A5443">
      <w:pPr>
        <w:spacing w:after="0" w:line="240" w:lineRule="auto"/>
      </w:pPr>
      <w:r>
        <w:separator/>
      </w:r>
    </w:p>
  </w:endnote>
  <w:endnote w:type="continuationSeparator" w:id="0">
    <w:p w14:paraId="1CA7414A" w14:textId="77777777" w:rsidR="009A5443" w:rsidRDefault="009A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88271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C7D1CA" w14:textId="44676571" w:rsidR="008D3873" w:rsidRDefault="008D38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77E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80E7B36" w14:textId="56DE9A07" w:rsidR="008D3873" w:rsidRDefault="008D3873" w:rsidP="004824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1534B6" w14:textId="77777777" w:rsidR="009A5443" w:rsidRDefault="009A5443">
      <w:pPr>
        <w:spacing w:after="0" w:line="240" w:lineRule="auto"/>
      </w:pPr>
      <w:r>
        <w:separator/>
      </w:r>
    </w:p>
  </w:footnote>
  <w:footnote w:type="continuationSeparator" w:id="0">
    <w:p w14:paraId="68D5583B" w14:textId="77777777" w:rsidR="009A5443" w:rsidRDefault="009A5443">
      <w:pPr>
        <w:spacing w:after="0" w:line="240" w:lineRule="auto"/>
      </w:pPr>
      <w:r>
        <w:continuationSeparator/>
      </w:r>
    </w:p>
  </w:footnote>
  <w:footnote w:id="1">
    <w:p w14:paraId="1AEA545A" w14:textId="44FBB37C" w:rsidR="008D3873" w:rsidRPr="00AB6A12" w:rsidRDefault="008D387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841608">
          <w:rPr>
            <w:rStyle w:val="Hyperlink"/>
          </w:rPr>
          <w:t>http://data.unicef.org/maternal-health/antenatal-care.html</w:t>
        </w:r>
      </w:hyperlink>
      <w:r>
        <w:rPr>
          <w:rStyle w:val="Hyperlink"/>
        </w:rP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D88"/>
    <w:multiLevelType w:val="hybridMultilevel"/>
    <w:tmpl w:val="92B4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710BA"/>
    <w:multiLevelType w:val="hybridMultilevel"/>
    <w:tmpl w:val="D8001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FE4796"/>
    <w:multiLevelType w:val="hybridMultilevel"/>
    <w:tmpl w:val="2D6047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B3064E"/>
    <w:multiLevelType w:val="hybridMultilevel"/>
    <w:tmpl w:val="3FF627A6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4C74659"/>
    <w:multiLevelType w:val="hybridMultilevel"/>
    <w:tmpl w:val="16E0DE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01945"/>
    <w:multiLevelType w:val="hybridMultilevel"/>
    <w:tmpl w:val="EE3E51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9F56FE"/>
    <w:multiLevelType w:val="hybridMultilevel"/>
    <w:tmpl w:val="4EFCB3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910D11"/>
    <w:multiLevelType w:val="hybridMultilevel"/>
    <w:tmpl w:val="ECF66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EA52BA"/>
    <w:multiLevelType w:val="hybridMultilevel"/>
    <w:tmpl w:val="E8FCBA4A"/>
    <w:lvl w:ilvl="0" w:tplc="27F8AA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82D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9AA2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C9F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8D0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AA7B1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227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6638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029B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36F6781"/>
    <w:multiLevelType w:val="multilevel"/>
    <w:tmpl w:val="12F24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4851C67"/>
    <w:multiLevelType w:val="hybridMultilevel"/>
    <w:tmpl w:val="FA10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5180B"/>
    <w:multiLevelType w:val="hybridMultilevel"/>
    <w:tmpl w:val="AAA283B2"/>
    <w:lvl w:ilvl="0" w:tplc="10421B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9AB2663"/>
    <w:multiLevelType w:val="multilevel"/>
    <w:tmpl w:val="A5E0EF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A9B0E47"/>
    <w:multiLevelType w:val="hybridMultilevel"/>
    <w:tmpl w:val="F146A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251F34"/>
    <w:multiLevelType w:val="hybridMultilevel"/>
    <w:tmpl w:val="77B83EF6"/>
    <w:lvl w:ilvl="0" w:tplc="CC78D7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FE4AFC">
      <w:start w:val="8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FAD2">
      <w:start w:val="8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43F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F30C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3C0E5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7E50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C181A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9A567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F74300"/>
    <w:multiLevelType w:val="hybridMultilevel"/>
    <w:tmpl w:val="40EE57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FB2011"/>
    <w:multiLevelType w:val="hybridMultilevel"/>
    <w:tmpl w:val="AFF86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A3FD3"/>
    <w:multiLevelType w:val="hybridMultilevel"/>
    <w:tmpl w:val="60D2E280"/>
    <w:lvl w:ilvl="0" w:tplc="F75E9D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922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F4B0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E0CA8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F66CE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246AA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D419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BCED5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64C6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4B7582"/>
    <w:multiLevelType w:val="hybridMultilevel"/>
    <w:tmpl w:val="9AFEA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7F13EF"/>
    <w:multiLevelType w:val="multilevel"/>
    <w:tmpl w:val="F3247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82970CC"/>
    <w:multiLevelType w:val="hybridMultilevel"/>
    <w:tmpl w:val="334C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512250"/>
    <w:multiLevelType w:val="hybridMultilevel"/>
    <w:tmpl w:val="18EEBB9A"/>
    <w:lvl w:ilvl="0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2">
    <w:nsid w:val="617B05B4"/>
    <w:multiLevelType w:val="hybridMultilevel"/>
    <w:tmpl w:val="42808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3E1A37"/>
    <w:multiLevelType w:val="multilevel"/>
    <w:tmpl w:val="A7A4D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45314DA"/>
    <w:multiLevelType w:val="hybridMultilevel"/>
    <w:tmpl w:val="4814B4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D05912"/>
    <w:multiLevelType w:val="hybridMultilevel"/>
    <w:tmpl w:val="8CCE2F44"/>
    <w:lvl w:ilvl="0" w:tplc="AC7C92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1AC5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2EF9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20479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FE4B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FB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EF4CA3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CBA75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CCE49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FE2563"/>
    <w:multiLevelType w:val="hybridMultilevel"/>
    <w:tmpl w:val="979837CA"/>
    <w:lvl w:ilvl="0" w:tplc="DD361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F01F3F"/>
    <w:multiLevelType w:val="hybridMultilevel"/>
    <w:tmpl w:val="F0AC8CE0"/>
    <w:lvl w:ilvl="0" w:tplc="0AEA37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D245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CEC4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34A7FE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BFA7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BCEA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3F62F6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FCEC8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5A1B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8A3DE2"/>
    <w:multiLevelType w:val="hybridMultilevel"/>
    <w:tmpl w:val="95602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120FF5"/>
    <w:multiLevelType w:val="hybridMultilevel"/>
    <w:tmpl w:val="AAAAC672"/>
    <w:lvl w:ilvl="0" w:tplc="9872F6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0002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0444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B6B78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B560E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60A3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0AA011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DA9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C27B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E615B6"/>
    <w:multiLevelType w:val="hybridMultilevel"/>
    <w:tmpl w:val="2132F9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651FD5"/>
    <w:multiLevelType w:val="hybridMultilevel"/>
    <w:tmpl w:val="C3981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0"/>
  </w:num>
  <w:num w:numId="5">
    <w:abstractNumId w:val="20"/>
  </w:num>
  <w:num w:numId="6">
    <w:abstractNumId w:val="1"/>
  </w:num>
  <w:num w:numId="7">
    <w:abstractNumId w:val="7"/>
  </w:num>
  <w:num w:numId="8">
    <w:abstractNumId w:val="18"/>
  </w:num>
  <w:num w:numId="9">
    <w:abstractNumId w:val="6"/>
  </w:num>
  <w:num w:numId="10">
    <w:abstractNumId w:val="28"/>
  </w:num>
  <w:num w:numId="11">
    <w:abstractNumId w:val="27"/>
  </w:num>
  <w:num w:numId="12">
    <w:abstractNumId w:val="14"/>
  </w:num>
  <w:num w:numId="13">
    <w:abstractNumId w:val="25"/>
  </w:num>
  <w:num w:numId="14">
    <w:abstractNumId w:val="17"/>
  </w:num>
  <w:num w:numId="15">
    <w:abstractNumId w:val="29"/>
  </w:num>
  <w:num w:numId="16">
    <w:abstractNumId w:val="9"/>
  </w:num>
  <w:num w:numId="17">
    <w:abstractNumId w:val="19"/>
  </w:num>
  <w:num w:numId="18">
    <w:abstractNumId w:val="12"/>
  </w:num>
  <w:num w:numId="19">
    <w:abstractNumId w:val="30"/>
  </w:num>
  <w:num w:numId="20">
    <w:abstractNumId w:val="0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7"/>
  </w:num>
  <w:num w:numId="25">
    <w:abstractNumId w:val="18"/>
  </w:num>
  <w:num w:numId="26">
    <w:abstractNumId w:val="10"/>
  </w:num>
  <w:num w:numId="27">
    <w:abstractNumId w:val="23"/>
  </w:num>
  <w:num w:numId="28">
    <w:abstractNumId w:val="31"/>
  </w:num>
  <w:num w:numId="29">
    <w:abstractNumId w:val="15"/>
  </w:num>
  <w:num w:numId="30">
    <w:abstractNumId w:val="24"/>
  </w:num>
  <w:num w:numId="31">
    <w:abstractNumId w:val="4"/>
  </w:num>
  <w:num w:numId="32">
    <w:abstractNumId w:val="22"/>
  </w:num>
  <w:num w:numId="33">
    <w:abstractNumId w:val="3"/>
  </w:num>
  <w:num w:numId="34">
    <w:abstractNumId w:val="21"/>
  </w:num>
  <w:num w:numId="35">
    <w:abstractNumId w:val="16"/>
  </w:num>
  <w:num w:numId="36">
    <w:abstractNumId w:val="8"/>
  </w:num>
  <w:num w:numId="37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e DeRoeck">
    <w15:presenceInfo w15:providerId="Windows Live" w15:userId="dd5ab0a71e4737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79"/>
    <w:rsid w:val="000001A1"/>
    <w:rsid w:val="0000352E"/>
    <w:rsid w:val="00052693"/>
    <w:rsid w:val="00053455"/>
    <w:rsid w:val="0005693C"/>
    <w:rsid w:val="00067FFA"/>
    <w:rsid w:val="0007442D"/>
    <w:rsid w:val="00083152"/>
    <w:rsid w:val="000832D0"/>
    <w:rsid w:val="0009631A"/>
    <w:rsid w:val="000968AE"/>
    <w:rsid w:val="00096E70"/>
    <w:rsid w:val="000A459F"/>
    <w:rsid w:val="000C2C44"/>
    <w:rsid w:val="000E3D3E"/>
    <w:rsid w:val="000F5223"/>
    <w:rsid w:val="0011406E"/>
    <w:rsid w:val="00116F50"/>
    <w:rsid w:val="001174B4"/>
    <w:rsid w:val="00163179"/>
    <w:rsid w:val="00164F3D"/>
    <w:rsid w:val="00176857"/>
    <w:rsid w:val="0019182B"/>
    <w:rsid w:val="001B0097"/>
    <w:rsid w:val="001C1193"/>
    <w:rsid w:val="001C1E4D"/>
    <w:rsid w:val="001C5026"/>
    <w:rsid w:val="001F2D8D"/>
    <w:rsid w:val="001F6A05"/>
    <w:rsid w:val="002258E3"/>
    <w:rsid w:val="002327A5"/>
    <w:rsid w:val="00232D9A"/>
    <w:rsid w:val="00255998"/>
    <w:rsid w:val="00256665"/>
    <w:rsid w:val="002818D0"/>
    <w:rsid w:val="00281CEF"/>
    <w:rsid w:val="00292589"/>
    <w:rsid w:val="00293D5E"/>
    <w:rsid w:val="002B495D"/>
    <w:rsid w:val="002B73D6"/>
    <w:rsid w:val="002C0BCF"/>
    <w:rsid w:val="002C3246"/>
    <w:rsid w:val="002D61F5"/>
    <w:rsid w:val="002D762A"/>
    <w:rsid w:val="002F1749"/>
    <w:rsid w:val="002F20C9"/>
    <w:rsid w:val="003269B4"/>
    <w:rsid w:val="00345466"/>
    <w:rsid w:val="003576C4"/>
    <w:rsid w:val="00370616"/>
    <w:rsid w:val="00371B50"/>
    <w:rsid w:val="00373BA5"/>
    <w:rsid w:val="00374400"/>
    <w:rsid w:val="00397382"/>
    <w:rsid w:val="003A6CF9"/>
    <w:rsid w:val="003B02D3"/>
    <w:rsid w:val="003B282A"/>
    <w:rsid w:val="003B6F84"/>
    <w:rsid w:val="003D24BB"/>
    <w:rsid w:val="003D2D68"/>
    <w:rsid w:val="003D57A8"/>
    <w:rsid w:val="003D5A80"/>
    <w:rsid w:val="003D6679"/>
    <w:rsid w:val="003D6DEA"/>
    <w:rsid w:val="003E30EC"/>
    <w:rsid w:val="003F42B9"/>
    <w:rsid w:val="003F4825"/>
    <w:rsid w:val="00432B70"/>
    <w:rsid w:val="00436537"/>
    <w:rsid w:val="00437FDF"/>
    <w:rsid w:val="00441EDC"/>
    <w:rsid w:val="00457E0A"/>
    <w:rsid w:val="00460B3E"/>
    <w:rsid w:val="00460FC0"/>
    <w:rsid w:val="00482432"/>
    <w:rsid w:val="004826EF"/>
    <w:rsid w:val="00484219"/>
    <w:rsid w:val="0048489B"/>
    <w:rsid w:val="00490107"/>
    <w:rsid w:val="00491CC6"/>
    <w:rsid w:val="00492F98"/>
    <w:rsid w:val="004A394A"/>
    <w:rsid w:val="004B5B75"/>
    <w:rsid w:val="004D307D"/>
    <w:rsid w:val="004D4194"/>
    <w:rsid w:val="004F6777"/>
    <w:rsid w:val="00500171"/>
    <w:rsid w:val="0050564C"/>
    <w:rsid w:val="00511B8A"/>
    <w:rsid w:val="005133F8"/>
    <w:rsid w:val="00513BF2"/>
    <w:rsid w:val="00530FEA"/>
    <w:rsid w:val="00532476"/>
    <w:rsid w:val="00534013"/>
    <w:rsid w:val="0053501D"/>
    <w:rsid w:val="00540367"/>
    <w:rsid w:val="00557E08"/>
    <w:rsid w:val="005651E6"/>
    <w:rsid w:val="00565C1E"/>
    <w:rsid w:val="00566382"/>
    <w:rsid w:val="0058000D"/>
    <w:rsid w:val="005A0269"/>
    <w:rsid w:val="005B25D5"/>
    <w:rsid w:val="005B6B29"/>
    <w:rsid w:val="005C6F1C"/>
    <w:rsid w:val="005E62AF"/>
    <w:rsid w:val="005F0283"/>
    <w:rsid w:val="005F1D5B"/>
    <w:rsid w:val="00602A5E"/>
    <w:rsid w:val="0063770B"/>
    <w:rsid w:val="006410AE"/>
    <w:rsid w:val="00641572"/>
    <w:rsid w:val="006842AB"/>
    <w:rsid w:val="00696E6A"/>
    <w:rsid w:val="00697CFB"/>
    <w:rsid w:val="006A36F3"/>
    <w:rsid w:val="006A4380"/>
    <w:rsid w:val="006C334B"/>
    <w:rsid w:val="006E0769"/>
    <w:rsid w:val="006E4E48"/>
    <w:rsid w:val="007033F7"/>
    <w:rsid w:val="0074468E"/>
    <w:rsid w:val="0076408F"/>
    <w:rsid w:val="00767749"/>
    <w:rsid w:val="00767C0F"/>
    <w:rsid w:val="00770EEA"/>
    <w:rsid w:val="00784019"/>
    <w:rsid w:val="0079008F"/>
    <w:rsid w:val="00797196"/>
    <w:rsid w:val="007A0353"/>
    <w:rsid w:val="007A35F6"/>
    <w:rsid w:val="007B053A"/>
    <w:rsid w:val="007B1CBA"/>
    <w:rsid w:val="007C5031"/>
    <w:rsid w:val="007C5F79"/>
    <w:rsid w:val="007D16A4"/>
    <w:rsid w:val="007D2AA9"/>
    <w:rsid w:val="007E0DEE"/>
    <w:rsid w:val="007E3602"/>
    <w:rsid w:val="007F0729"/>
    <w:rsid w:val="008053B7"/>
    <w:rsid w:val="008105B2"/>
    <w:rsid w:val="00824C6B"/>
    <w:rsid w:val="00825812"/>
    <w:rsid w:val="0083568C"/>
    <w:rsid w:val="00841F8B"/>
    <w:rsid w:val="00856B69"/>
    <w:rsid w:val="00863F77"/>
    <w:rsid w:val="00865907"/>
    <w:rsid w:val="008707E1"/>
    <w:rsid w:val="00872BC2"/>
    <w:rsid w:val="00883C0A"/>
    <w:rsid w:val="008A1C67"/>
    <w:rsid w:val="008B61E2"/>
    <w:rsid w:val="008C1347"/>
    <w:rsid w:val="008D3873"/>
    <w:rsid w:val="008E40AB"/>
    <w:rsid w:val="008E4926"/>
    <w:rsid w:val="008E7AA0"/>
    <w:rsid w:val="008F4F49"/>
    <w:rsid w:val="0090535F"/>
    <w:rsid w:val="009318B8"/>
    <w:rsid w:val="009563E8"/>
    <w:rsid w:val="00963C78"/>
    <w:rsid w:val="009649B4"/>
    <w:rsid w:val="00985561"/>
    <w:rsid w:val="009A5026"/>
    <w:rsid w:val="009A5443"/>
    <w:rsid w:val="009B091D"/>
    <w:rsid w:val="009C0565"/>
    <w:rsid w:val="009C09D8"/>
    <w:rsid w:val="009E1E59"/>
    <w:rsid w:val="00A11AC1"/>
    <w:rsid w:val="00A44D74"/>
    <w:rsid w:val="00A44EBD"/>
    <w:rsid w:val="00A6740F"/>
    <w:rsid w:val="00A96DBE"/>
    <w:rsid w:val="00AA3176"/>
    <w:rsid w:val="00AA6DBA"/>
    <w:rsid w:val="00AB6A12"/>
    <w:rsid w:val="00AE7557"/>
    <w:rsid w:val="00B13423"/>
    <w:rsid w:val="00B218CC"/>
    <w:rsid w:val="00B54A99"/>
    <w:rsid w:val="00B56836"/>
    <w:rsid w:val="00B758F5"/>
    <w:rsid w:val="00B8676D"/>
    <w:rsid w:val="00B93354"/>
    <w:rsid w:val="00BA2589"/>
    <w:rsid w:val="00BA45D4"/>
    <w:rsid w:val="00BB0026"/>
    <w:rsid w:val="00BC4D8E"/>
    <w:rsid w:val="00BD73CD"/>
    <w:rsid w:val="00BE624F"/>
    <w:rsid w:val="00BF14CF"/>
    <w:rsid w:val="00BF27E4"/>
    <w:rsid w:val="00BF4CFA"/>
    <w:rsid w:val="00C00233"/>
    <w:rsid w:val="00C43E27"/>
    <w:rsid w:val="00C611F3"/>
    <w:rsid w:val="00C67C9D"/>
    <w:rsid w:val="00CD3FD9"/>
    <w:rsid w:val="00CF0E45"/>
    <w:rsid w:val="00D00DC6"/>
    <w:rsid w:val="00D07C9C"/>
    <w:rsid w:val="00D17551"/>
    <w:rsid w:val="00D27E92"/>
    <w:rsid w:val="00D30DD8"/>
    <w:rsid w:val="00D732C7"/>
    <w:rsid w:val="00D92C16"/>
    <w:rsid w:val="00D9435D"/>
    <w:rsid w:val="00D9563B"/>
    <w:rsid w:val="00DC5960"/>
    <w:rsid w:val="00DF3277"/>
    <w:rsid w:val="00E00963"/>
    <w:rsid w:val="00E11B99"/>
    <w:rsid w:val="00E14857"/>
    <w:rsid w:val="00E1686A"/>
    <w:rsid w:val="00E27973"/>
    <w:rsid w:val="00E37109"/>
    <w:rsid w:val="00E52441"/>
    <w:rsid w:val="00E86411"/>
    <w:rsid w:val="00E903E0"/>
    <w:rsid w:val="00EA4E6A"/>
    <w:rsid w:val="00EB059A"/>
    <w:rsid w:val="00EC5704"/>
    <w:rsid w:val="00F246CA"/>
    <w:rsid w:val="00F32759"/>
    <w:rsid w:val="00F50BE1"/>
    <w:rsid w:val="00F577A7"/>
    <w:rsid w:val="00F577EC"/>
    <w:rsid w:val="00F63AFC"/>
    <w:rsid w:val="00F63D60"/>
    <w:rsid w:val="00F81B65"/>
    <w:rsid w:val="00F82402"/>
    <w:rsid w:val="00F85BA5"/>
    <w:rsid w:val="00F871C3"/>
    <w:rsid w:val="00F91610"/>
    <w:rsid w:val="00F9290B"/>
    <w:rsid w:val="00F96307"/>
    <w:rsid w:val="00FA16B4"/>
    <w:rsid w:val="00FD1020"/>
    <w:rsid w:val="00FD688B"/>
    <w:rsid w:val="00FF0E7F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F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0968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68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68A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1485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0968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68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68A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1485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1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68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008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03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052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01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50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4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54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68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52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06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954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056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96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62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47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19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89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000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78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21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0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19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69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89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31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28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ata.unicef.org/maternal-health/antenatal-ca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1F45EAD9-8BC1-4861-BA86-22C02202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SENOUCI, Kamel</dc:creator>
  <cp:lastModifiedBy>Majumder, Anwesha</cp:lastModifiedBy>
  <cp:revision>2</cp:revision>
  <cp:lastPrinted>2016-06-28T06:36:00Z</cp:lastPrinted>
  <dcterms:created xsi:type="dcterms:W3CDTF">2016-08-25T13:29:00Z</dcterms:created>
  <dcterms:modified xsi:type="dcterms:W3CDTF">2016-08-25T13:29:00Z</dcterms:modified>
</cp:coreProperties>
</file>