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3E" w:rsidRPr="00C27BB5" w:rsidRDefault="007A623E" w:rsidP="007A623E">
      <w:pPr>
        <w:jc w:val="center"/>
        <w:rPr>
          <w:b/>
          <w:sz w:val="40"/>
          <w:szCs w:val="40"/>
        </w:rPr>
      </w:pPr>
      <w:r w:rsidRPr="00C27BB5">
        <w:rPr>
          <w:b/>
          <w:sz w:val="40"/>
          <w:szCs w:val="40"/>
        </w:rPr>
        <w:t>Global Vaccine Action Plan</w:t>
      </w:r>
    </w:p>
    <w:p w:rsidR="007A623E" w:rsidRDefault="007A623E" w:rsidP="007A623E">
      <w:pPr>
        <w:jc w:val="center"/>
        <w:rPr>
          <w:i/>
          <w:sz w:val="40"/>
          <w:szCs w:val="40"/>
        </w:rPr>
      </w:pPr>
      <w:r w:rsidRPr="00C27BB5">
        <w:rPr>
          <w:i/>
          <w:sz w:val="40"/>
          <w:szCs w:val="40"/>
        </w:rPr>
        <w:t>Secretariat Annual Report 2016</w:t>
      </w:r>
    </w:p>
    <w:p w:rsidR="007A623E" w:rsidRDefault="007A623E" w:rsidP="007A623E">
      <w:pPr>
        <w:jc w:val="center"/>
        <w:rPr>
          <w:i/>
          <w:sz w:val="40"/>
          <w:szCs w:val="40"/>
        </w:rPr>
      </w:pPr>
      <w:r>
        <w:rPr>
          <w:i/>
          <w:sz w:val="40"/>
          <w:szCs w:val="40"/>
        </w:rPr>
        <w:t>Priority C</w:t>
      </w:r>
      <w:r w:rsidRPr="00C27BB5">
        <w:rPr>
          <w:i/>
          <w:sz w:val="40"/>
          <w:szCs w:val="40"/>
        </w:rPr>
        <w:t xml:space="preserve">ountry report on progress towards </w:t>
      </w:r>
    </w:p>
    <w:p w:rsidR="007A623E" w:rsidRPr="00C27BB5" w:rsidRDefault="007A623E" w:rsidP="007A623E">
      <w:pPr>
        <w:jc w:val="center"/>
        <w:rPr>
          <w:i/>
          <w:sz w:val="40"/>
          <w:szCs w:val="40"/>
        </w:rPr>
      </w:pPr>
      <w:r>
        <w:rPr>
          <w:i/>
          <w:sz w:val="40"/>
          <w:szCs w:val="40"/>
        </w:rPr>
        <w:t>GVAP-RVAP</w:t>
      </w:r>
      <w:r w:rsidRPr="00C27BB5">
        <w:rPr>
          <w:i/>
          <w:sz w:val="40"/>
          <w:szCs w:val="40"/>
        </w:rPr>
        <w:t xml:space="preserve"> goals </w:t>
      </w:r>
    </w:p>
    <w:p w:rsidR="007A623E" w:rsidRDefault="007A623E" w:rsidP="007A623E">
      <w:pPr>
        <w:jc w:val="center"/>
        <w:rPr>
          <w:rFonts w:ascii="Arial" w:hAnsi="Arial"/>
          <w:b/>
          <w:sz w:val="32"/>
        </w:rPr>
      </w:pPr>
    </w:p>
    <w:p w:rsidR="007A623E" w:rsidRDefault="007A623E" w:rsidP="007A623E">
      <w:pPr>
        <w:jc w:val="center"/>
        <w:rPr>
          <w:rFonts w:ascii="Arial" w:hAnsi="Arial"/>
          <w:b/>
          <w:sz w:val="36"/>
        </w:rPr>
      </w:pPr>
      <w:r>
        <w:rPr>
          <w:rFonts w:ascii="Arial" w:hAnsi="Arial"/>
          <w:b/>
          <w:sz w:val="36"/>
        </w:rPr>
        <w:t>NIGERIA</w:t>
      </w:r>
    </w:p>
    <w:p w:rsidR="007A623E" w:rsidRDefault="007A623E" w:rsidP="007A623E">
      <w:pPr>
        <w:jc w:val="center"/>
        <w:rPr>
          <w:rFonts w:ascii="Arial" w:hAnsi="Arial"/>
          <w:b/>
          <w:sz w:val="36"/>
        </w:rPr>
      </w:pPr>
    </w:p>
    <w:p w:rsidR="00457E0A" w:rsidRPr="00EA6F8C" w:rsidRDefault="00457E0A" w:rsidP="00457E0A">
      <w:pPr>
        <w:pStyle w:val="ListParagraph"/>
        <w:numPr>
          <w:ilvl w:val="0"/>
          <w:numId w:val="3"/>
        </w:numPr>
        <w:rPr>
          <w:rFonts w:ascii="Arial" w:hAnsi="Arial" w:cs="Arial"/>
          <w:b/>
          <w:sz w:val="26"/>
          <w:szCs w:val="26"/>
          <w:lang w:val="en-US"/>
        </w:rPr>
      </w:pPr>
      <w:r w:rsidRPr="00EA6F8C">
        <w:rPr>
          <w:rFonts w:ascii="Arial" w:hAnsi="Arial" w:cs="Arial"/>
          <w:b/>
          <w:sz w:val="26"/>
          <w:szCs w:val="26"/>
          <w:lang w:val="en-US"/>
        </w:rPr>
        <w:t xml:space="preserve">Progress towards achievement of GVAP goals </w:t>
      </w:r>
    </w:p>
    <w:p w:rsidR="00457E0A" w:rsidRPr="00EA6F8C" w:rsidRDefault="00457E0A" w:rsidP="00457E0A">
      <w:pPr>
        <w:pStyle w:val="ListParagraph"/>
        <w:rPr>
          <w:rFonts w:ascii="Arial" w:hAnsi="Arial" w:cs="Arial"/>
          <w:b/>
          <w:lang w:val="en-US"/>
        </w:rPr>
      </w:pPr>
    </w:p>
    <w:p w:rsidR="00163179" w:rsidRPr="00FE7220" w:rsidRDefault="00C67C9D" w:rsidP="00163179">
      <w:pPr>
        <w:pStyle w:val="ListParagraph"/>
        <w:numPr>
          <w:ilvl w:val="0"/>
          <w:numId w:val="1"/>
        </w:numPr>
        <w:rPr>
          <w:rFonts w:ascii="Arial" w:hAnsi="Arial" w:cs="Arial"/>
          <w:b/>
          <w:sz w:val="24"/>
          <w:szCs w:val="24"/>
          <w:lang w:val="en-US"/>
        </w:rPr>
      </w:pPr>
      <w:r w:rsidRPr="00FE7220">
        <w:rPr>
          <w:rFonts w:ascii="Arial" w:hAnsi="Arial" w:cs="Arial"/>
          <w:b/>
          <w:sz w:val="24"/>
          <w:szCs w:val="24"/>
          <w:lang w:val="en-US"/>
        </w:rPr>
        <w:t xml:space="preserve">Summary </w:t>
      </w:r>
    </w:p>
    <w:p w:rsidR="00BA2589" w:rsidRPr="00EA6F8C" w:rsidRDefault="00BA2589" w:rsidP="00B033CD">
      <w:pPr>
        <w:rPr>
          <w:rFonts w:ascii="Arial" w:hAnsi="Arial" w:cs="Arial"/>
          <w:lang w:val="en-US"/>
        </w:rPr>
      </w:pPr>
      <w:r w:rsidRPr="00EA6F8C">
        <w:rPr>
          <w:rFonts w:ascii="Arial" w:hAnsi="Arial" w:cs="Arial"/>
          <w:lang w:val="en-US"/>
        </w:rPr>
        <w:t>Th</w:t>
      </w:r>
      <w:r w:rsidR="00EA6F8C" w:rsidRPr="00EA6F8C">
        <w:rPr>
          <w:rFonts w:ascii="Arial" w:hAnsi="Arial" w:cs="Arial"/>
          <w:lang w:val="en-US"/>
        </w:rPr>
        <w:t>e</w:t>
      </w:r>
      <w:r w:rsidRPr="00EA6F8C">
        <w:rPr>
          <w:rFonts w:ascii="Arial" w:hAnsi="Arial" w:cs="Arial"/>
          <w:lang w:val="en-US"/>
        </w:rPr>
        <w:t xml:space="preserve"> </w:t>
      </w:r>
      <w:r w:rsidR="006C334B" w:rsidRPr="00EA6F8C">
        <w:rPr>
          <w:rFonts w:ascii="Arial" w:hAnsi="Arial" w:cs="Arial"/>
          <w:lang w:val="en-US"/>
        </w:rPr>
        <w:t xml:space="preserve">summary table </w:t>
      </w:r>
      <w:r w:rsidR="00EA6F8C" w:rsidRPr="00EA6F8C">
        <w:rPr>
          <w:rFonts w:ascii="Arial" w:hAnsi="Arial" w:cs="Arial"/>
          <w:lang w:val="en-US"/>
        </w:rPr>
        <w:t xml:space="preserve">below </w:t>
      </w:r>
      <w:r w:rsidR="006C334B" w:rsidRPr="00EA6F8C">
        <w:rPr>
          <w:rFonts w:ascii="Arial" w:hAnsi="Arial" w:cs="Arial"/>
          <w:lang w:val="en-US"/>
        </w:rPr>
        <w:t xml:space="preserve">describes </w:t>
      </w:r>
      <w:r w:rsidRPr="00EA6F8C">
        <w:rPr>
          <w:rFonts w:ascii="Arial" w:hAnsi="Arial" w:cs="Arial"/>
          <w:lang w:val="en-US"/>
        </w:rPr>
        <w:t xml:space="preserve">the current situation in </w:t>
      </w:r>
      <w:r w:rsidR="00B033CD" w:rsidRPr="00EA6F8C">
        <w:rPr>
          <w:rFonts w:ascii="Arial" w:hAnsi="Arial" w:cs="Arial"/>
          <w:lang w:val="en-US"/>
        </w:rPr>
        <w:t>Nigeria</w:t>
      </w:r>
      <w:r w:rsidRPr="00EA6F8C">
        <w:rPr>
          <w:rFonts w:ascii="Arial" w:hAnsi="Arial" w:cs="Arial"/>
          <w:lang w:val="en-US"/>
        </w:rPr>
        <w:t xml:space="preserve"> regarding achieving the GVAP goals.</w:t>
      </w:r>
      <w:r w:rsidR="00492F98" w:rsidRPr="00EA6F8C">
        <w:rPr>
          <w:rFonts w:ascii="Arial" w:hAnsi="Arial" w:cs="Arial"/>
          <w:lang w:val="en-US"/>
        </w:rPr>
        <w:t xml:space="preserve"> </w:t>
      </w:r>
      <w:r w:rsidR="00500171" w:rsidRPr="00EA6F8C">
        <w:rPr>
          <w:rFonts w:ascii="Arial" w:hAnsi="Arial" w:cs="Arial"/>
          <w:lang w:val="en-US"/>
        </w:rPr>
        <w:t>D</w:t>
      </w:r>
      <w:r w:rsidR="00696E6A" w:rsidRPr="00EA6F8C">
        <w:rPr>
          <w:rFonts w:ascii="Arial" w:hAnsi="Arial" w:cs="Arial"/>
          <w:lang w:val="en-US"/>
        </w:rPr>
        <w:t xml:space="preserve">ata </w:t>
      </w:r>
      <w:r w:rsidR="00E11B99" w:rsidRPr="00EA6F8C">
        <w:rPr>
          <w:rFonts w:ascii="Arial" w:hAnsi="Arial" w:cs="Arial"/>
          <w:lang w:val="en-US"/>
        </w:rPr>
        <w:t xml:space="preserve">used to assess progress towards achievement of </w:t>
      </w:r>
      <w:r w:rsidR="00696E6A" w:rsidRPr="00EA6F8C">
        <w:rPr>
          <w:rFonts w:ascii="Arial" w:hAnsi="Arial" w:cs="Arial"/>
          <w:lang w:val="en-US"/>
        </w:rPr>
        <w:t>GVAP goals are included in the annex.</w:t>
      </w:r>
    </w:p>
    <w:tbl>
      <w:tblPr>
        <w:tblW w:w="9517" w:type="dxa"/>
        <w:jc w:val="center"/>
        <w:tblLook w:val="04A0" w:firstRow="1" w:lastRow="0" w:firstColumn="1" w:lastColumn="0" w:noHBand="0" w:noVBand="1"/>
      </w:tblPr>
      <w:tblGrid>
        <w:gridCol w:w="3220"/>
        <w:gridCol w:w="3777"/>
        <w:gridCol w:w="2520"/>
      </w:tblGrid>
      <w:tr w:rsidR="00C35316" w:rsidRPr="00EA6F8C" w:rsidTr="00A03C34">
        <w:trPr>
          <w:trHeight w:val="675"/>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Area</w:t>
            </w:r>
          </w:p>
        </w:tc>
        <w:tc>
          <w:tcPr>
            <w:tcW w:w="3777"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Indicator</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Nigeria</w:t>
            </w:r>
          </w:p>
        </w:tc>
      </w:tr>
      <w:tr w:rsidR="00C35316" w:rsidRPr="00EA6F8C" w:rsidTr="00A03C34">
        <w:trPr>
          <w:trHeight w:val="728"/>
          <w:jc w:val="center"/>
        </w:trPr>
        <w:tc>
          <w:tcPr>
            <w:tcW w:w="3220" w:type="dxa"/>
            <w:tcBorders>
              <w:top w:val="nil"/>
              <w:left w:val="single" w:sz="4" w:space="0" w:color="auto"/>
              <w:bottom w:val="single" w:sz="4" w:space="0" w:color="auto"/>
              <w:right w:val="single" w:sz="4" w:space="0" w:color="auto"/>
            </w:tcBorders>
            <w:shd w:val="clear" w:color="000000" w:fill="FDE9D9"/>
            <w:vAlign w:val="center"/>
            <w:hideMark/>
          </w:tcPr>
          <w:p w:rsidR="00C35316" w:rsidRPr="00EA6F8C" w:rsidRDefault="00C35316" w:rsidP="00A03C34">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 xml:space="preserve">10. Government expenditure on routine immunization per live birth </w:t>
            </w:r>
            <w:r w:rsidR="00A03C34">
              <w:rPr>
                <w:rFonts w:ascii="Calibri" w:eastAsia="Times New Roman" w:hAnsi="Calibri" w:cs="Calibri"/>
                <w:b/>
                <w:bCs/>
                <w:color w:val="000000"/>
                <w:lang w:val="en-US" w:eastAsia="en-GB"/>
              </w:rPr>
              <w:t>(</w:t>
            </w:r>
            <w:r w:rsidRPr="00EA6F8C">
              <w:rPr>
                <w:rFonts w:ascii="Calibri" w:eastAsia="Times New Roman" w:hAnsi="Calibri" w:cs="Calibri"/>
                <w:b/>
                <w:bCs/>
                <w:color w:val="000000"/>
                <w:lang w:val="en-US" w:eastAsia="en-GB"/>
              </w:rPr>
              <w:t>US</w:t>
            </w:r>
            <w:r w:rsidR="00A03C34">
              <w:rPr>
                <w:rFonts w:ascii="Calibri" w:eastAsia="Times New Roman" w:hAnsi="Calibri" w:cs="Calibri"/>
                <w:b/>
                <w:bCs/>
                <w:color w:val="000000"/>
                <w:lang w:val="en-US" w:eastAsia="en-GB"/>
              </w:rPr>
              <w:t>$)</w:t>
            </w:r>
          </w:p>
        </w:tc>
        <w:tc>
          <w:tcPr>
            <w:tcW w:w="3777" w:type="dxa"/>
            <w:tcBorders>
              <w:top w:val="nil"/>
              <w:left w:val="nil"/>
              <w:bottom w:val="single" w:sz="4" w:space="0" w:color="auto"/>
              <w:right w:val="single" w:sz="4" w:space="0" w:color="auto"/>
            </w:tcBorders>
            <w:shd w:val="clear" w:color="000000" w:fill="FDE9D9"/>
            <w:vAlign w:val="center"/>
            <w:hideMark/>
          </w:tcPr>
          <w:p w:rsidR="00C35316" w:rsidRPr="00EA6F8C" w:rsidRDefault="00C35316" w:rsidP="00C35316">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Baseline 2010-2011 and average for 2013-2015 (% change)</w:t>
            </w:r>
          </w:p>
        </w:tc>
        <w:tc>
          <w:tcPr>
            <w:tcW w:w="2520" w:type="dxa"/>
            <w:tcBorders>
              <w:top w:val="nil"/>
              <w:left w:val="nil"/>
              <w:bottom w:val="single" w:sz="4" w:space="0" w:color="auto"/>
              <w:right w:val="single" w:sz="4" w:space="0" w:color="auto"/>
            </w:tcBorders>
            <w:shd w:val="clear" w:color="000000" w:fill="00B050"/>
            <w:vAlign w:val="center"/>
            <w:hideMark/>
          </w:tcPr>
          <w:p w:rsidR="00C35316" w:rsidRPr="00EA6F8C" w:rsidRDefault="00C35316" w:rsidP="00C35316">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4.1 to 12.9 (+216%)</w:t>
            </w:r>
          </w:p>
        </w:tc>
      </w:tr>
    </w:tbl>
    <w:p w:rsidR="00CA663B" w:rsidRPr="001738CC" w:rsidRDefault="001738CC" w:rsidP="00E54B4C">
      <w:pPr>
        <w:pStyle w:val="ListParagraph"/>
        <w:numPr>
          <w:ilvl w:val="1"/>
          <w:numId w:val="27"/>
        </w:numPr>
        <w:contextualSpacing w:val="0"/>
        <w:rPr>
          <w:rFonts w:ascii="Arial" w:hAnsi="Arial" w:cs="Arial"/>
          <w:b/>
          <w:lang w:val="en-US"/>
        </w:rPr>
      </w:pPr>
      <w:r>
        <w:rPr>
          <w:rFonts w:ascii="Arial" w:hAnsi="Arial" w:cs="Arial"/>
          <w:b/>
          <w:lang w:val="en-US"/>
        </w:rPr>
        <w:t>Government financing for i</w:t>
      </w:r>
      <w:r w:rsidR="00CA663B" w:rsidRPr="001738CC">
        <w:rPr>
          <w:rFonts w:ascii="Arial" w:hAnsi="Arial" w:cs="Arial"/>
          <w:b/>
          <w:lang w:val="en-US"/>
        </w:rPr>
        <w:t>mmunization</w:t>
      </w:r>
    </w:p>
    <w:p w:rsidR="00E54B4C" w:rsidRDefault="001738CC" w:rsidP="00E54B4C">
      <w:pPr>
        <w:pStyle w:val="ListParagraph"/>
        <w:ind w:left="0"/>
        <w:contextualSpacing w:val="0"/>
        <w:rPr>
          <w:rFonts w:ascii="Arial" w:hAnsi="Arial" w:cs="Arial"/>
          <w:lang w:val="en-US"/>
        </w:rPr>
      </w:pPr>
      <w:r>
        <w:rPr>
          <w:rFonts w:ascii="Arial" w:hAnsi="Arial" w:cs="Arial"/>
          <w:lang w:val="en-US"/>
        </w:rPr>
        <w:t>According to the 2015 GAVI Joint Appraisal report, the federal government contributed 36% of the estimated immunization expenditures in 2014, while its contribution in 2011 was 34%. There was thus a marginal increase in the Government’s share of immunization expenditures in four years. The federal Government’s expenditures cover the cost of traditional vaccines ($12.6 million in 2013), co-financing for the GAVI-supported new vaccines (pentavalent and PVC) (≈$25 million in 2015), personnel costs for the EPI staff as well as per diems for vaccinators and supervisory staff, and other recurrent costs.</w:t>
      </w:r>
      <w:r>
        <w:rPr>
          <w:rStyle w:val="FootnoteReference"/>
          <w:rFonts w:ascii="Arial" w:hAnsi="Arial" w:cs="Arial"/>
          <w:lang w:val="en-US"/>
        </w:rPr>
        <w:footnoteReference w:id="1"/>
      </w:r>
      <w:r>
        <w:rPr>
          <w:rFonts w:ascii="Arial" w:hAnsi="Arial" w:cs="Arial"/>
          <w:lang w:val="en-US"/>
        </w:rPr>
        <w:t xml:space="preserve"> The Government also pays for a share of the operationa</w:t>
      </w:r>
      <w:r w:rsidR="0005184D">
        <w:rPr>
          <w:rFonts w:ascii="Arial" w:hAnsi="Arial" w:cs="Arial"/>
          <w:lang w:val="en-US"/>
        </w:rPr>
        <w:t>l costs of polio and other SIAs</w:t>
      </w:r>
      <w:r>
        <w:rPr>
          <w:rFonts w:ascii="Arial" w:hAnsi="Arial" w:cs="Arial"/>
          <w:lang w:val="en-US"/>
        </w:rPr>
        <w:t xml:space="preserve">. In addition to the federal government’s contribution, subnational (state and LGA) governments contribute personnel and other operational costs for the routine program – to the tune of $14.6 million (7%) of the estimated </w:t>
      </w:r>
      <w:r w:rsidR="00E54B4C">
        <w:rPr>
          <w:rFonts w:ascii="Arial" w:hAnsi="Arial" w:cs="Arial"/>
          <w:lang w:val="en-US"/>
        </w:rPr>
        <w:t xml:space="preserve">total </w:t>
      </w:r>
      <w:r>
        <w:rPr>
          <w:rFonts w:ascii="Arial" w:hAnsi="Arial" w:cs="Arial"/>
          <w:lang w:val="en-US"/>
        </w:rPr>
        <w:t xml:space="preserve">routine immunization </w:t>
      </w:r>
      <w:r w:rsidR="00E54B4C">
        <w:rPr>
          <w:rFonts w:ascii="Arial" w:hAnsi="Arial" w:cs="Arial"/>
          <w:lang w:val="en-US"/>
        </w:rPr>
        <w:t xml:space="preserve">program </w:t>
      </w:r>
      <w:r>
        <w:rPr>
          <w:rFonts w:ascii="Arial" w:hAnsi="Arial" w:cs="Arial"/>
          <w:lang w:val="en-US"/>
        </w:rPr>
        <w:t>costs in 2013.</w:t>
      </w:r>
      <w:r w:rsidR="00E54B4C">
        <w:rPr>
          <w:rStyle w:val="FootnoteReference"/>
          <w:rFonts w:ascii="Arial" w:hAnsi="Arial" w:cs="Arial"/>
          <w:lang w:val="en-US"/>
        </w:rPr>
        <w:footnoteReference w:id="2"/>
      </w:r>
    </w:p>
    <w:p w:rsidR="00E54B4C" w:rsidRDefault="00E54B4C" w:rsidP="00E54B4C">
      <w:pPr>
        <w:pStyle w:val="ListParagraph"/>
        <w:ind w:left="0"/>
        <w:contextualSpacing w:val="0"/>
        <w:rPr>
          <w:rFonts w:ascii="Arial" w:hAnsi="Arial" w:cs="Arial"/>
          <w:lang w:val="en-US"/>
        </w:rPr>
      </w:pPr>
      <w:r>
        <w:rPr>
          <w:rFonts w:ascii="Arial" w:hAnsi="Arial" w:cs="Arial"/>
          <w:lang w:val="en-US"/>
        </w:rPr>
        <w:lastRenderedPageBreak/>
        <w:t>The Government has been making its co-financing payments for GAVI-supported vaccines without delays or defaults, as well as purchasing traditional vaccines for the routine program, though there have been some reports delays in vaccine purchases, causing stock-outs. This has not occurred, however, since 2013.</w:t>
      </w:r>
    </w:p>
    <w:p w:rsidR="00E54B4C" w:rsidRDefault="00E54B4C" w:rsidP="00E54B4C">
      <w:pPr>
        <w:pStyle w:val="ListParagraph"/>
        <w:ind w:left="0"/>
        <w:contextualSpacing w:val="0"/>
        <w:rPr>
          <w:rFonts w:ascii="Arial" w:hAnsi="Arial" w:cs="Arial"/>
          <w:lang w:val="en-US"/>
        </w:rPr>
      </w:pPr>
      <w:r>
        <w:rPr>
          <w:rFonts w:ascii="Arial" w:hAnsi="Arial" w:cs="Arial"/>
          <w:lang w:val="en-US"/>
        </w:rPr>
        <w:t>Financing for the routine immunization program is considered inadequate and the often slow release of government funds results in delays in planned immunization activities. Other recent developments that have had an impact on immunization funding are:</w:t>
      </w:r>
    </w:p>
    <w:p w:rsidR="00E54B4C" w:rsidRDefault="00E54B4C" w:rsidP="00E54B4C">
      <w:pPr>
        <w:pStyle w:val="ListParagraph"/>
        <w:numPr>
          <w:ilvl w:val="0"/>
          <w:numId w:val="28"/>
        </w:numPr>
        <w:contextualSpacing w:val="0"/>
        <w:rPr>
          <w:rFonts w:ascii="Arial" w:hAnsi="Arial" w:cs="Arial"/>
          <w:lang w:val="en-US"/>
        </w:rPr>
      </w:pPr>
      <w:r>
        <w:rPr>
          <w:rFonts w:ascii="Arial" w:hAnsi="Arial" w:cs="Arial"/>
          <w:lang w:val="en-US"/>
        </w:rPr>
        <w:t>The sharp reduction in oil revenues, which account for 70% of the country’s consolidated revenues, as a result of the decline in global oil prices. This has affected the ability of some states – which are responsible for the delivery of immunization services – to pay health worker salaries, operational costs for outreach activities and other costs affecting the immunization program. Several states have declared bankruptcy in recent years as a result;</w:t>
      </w:r>
    </w:p>
    <w:p w:rsidR="00E54B4C" w:rsidRDefault="00E54B4C" w:rsidP="00E54B4C">
      <w:pPr>
        <w:pStyle w:val="ListParagraph"/>
        <w:numPr>
          <w:ilvl w:val="0"/>
          <w:numId w:val="28"/>
        </w:numPr>
        <w:contextualSpacing w:val="0"/>
        <w:rPr>
          <w:rFonts w:ascii="Arial" w:hAnsi="Arial" w:cs="Arial"/>
          <w:lang w:val="en-US"/>
        </w:rPr>
      </w:pPr>
      <w:r>
        <w:rPr>
          <w:rFonts w:ascii="Arial" w:hAnsi="Arial" w:cs="Arial"/>
          <w:lang w:val="en-US"/>
        </w:rPr>
        <w:t xml:space="preserve">The freezing of </w:t>
      </w:r>
      <w:r w:rsidR="002B09F1">
        <w:rPr>
          <w:rFonts w:ascii="Arial" w:hAnsi="Arial" w:cs="Arial"/>
          <w:lang w:val="en-US"/>
        </w:rPr>
        <w:t xml:space="preserve">all </w:t>
      </w:r>
      <w:r>
        <w:rPr>
          <w:rFonts w:ascii="Arial" w:hAnsi="Arial" w:cs="Arial"/>
          <w:lang w:val="en-US"/>
        </w:rPr>
        <w:t xml:space="preserve">GAVI </w:t>
      </w:r>
      <w:r w:rsidR="002B09F1">
        <w:rPr>
          <w:rFonts w:ascii="Arial" w:hAnsi="Arial" w:cs="Arial"/>
          <w:lang w:val="en-US"/>
        </w:rPr>
        <w:t>cash support</w:t>
      </w:r>
      <w:r w:rsidR="0005184D">
        <w:rPr>
          <w:rFonts w:ascii="Arial" w:hAnsi="Arial" w:cs="Arial"/>
          <w:lang w:val="en-US"/>
        </w:rPr>
        <w:t>,</w:t>
      </w:r>
      <w:r w:rsidR="002B09F1">
        <w:rPr>
          <w:rFonts w:ascii="Arial" w:hAnsi="Arial" w:cs="Arial"/>
          <w:lang w:val="en-US"/>
        </w:rPr>
        <w:t xml:space="preserve"> including </w:t>
      </w:r>
      <w:r>
        <w:rPr>
          <w:rFonts w:ascii="Arial" w:hAnsi="Arial" w:cs="Arial"/>
          <w:lang w:val="en-US"/>
        </w:rPr>
        <w:t>HSS grant funding since March 2014, due to financial management issues</w:t>
      </w:r>
      <w:r w:rsidR="0005184D">
        <w:rPr>
          <w:rFonts w:ascii="Arial" w:hAnsi="Arial" w:cs="Arial"/>
          <w:lang w:val="en-US"/>
        </w:rPr>
        <w:t>. This has</w:t>
      </w:r>
      <w:r w:rsidR="00916ACE">
        <w:rPr>
          <w:rFonts w:ascii="Arial" w:hAnsi="Arial" w:cs="Arial"/>
          <w:lang w:val="en-US"/>
        </w:rPr>
        <w:t xml:space="preserve"> delayed several planned activities</w:t>
      </w:r>
      <w:r>
        <w:rPr>
          <w:rFonts w:ascii="Arial" w:hAnsi="Arial" w:cs="Arial"/>
          <w:lang w:val="en-US"/>
        </w:rPr>
        <w:t xml:space="preserve">, including the training of health workers on integrated PHC service delivery, </w:t>
      </w:r>
      <w:r w:rsidR="00916ACE">
        <w:rPr>
          <w:rFonts w:ascii="Arial" w:hAnsi="Arial" w:cs="Arial"/>
          <w:lang w:val="en-US"/>
        </w:rPr>
        <w:t>TT campaigns as part of the maternal and neonatal elimination program, and an immunization coverage survey. Some priority activities funded through the HSS grant are being implemented with funds channeled through UNICEF.</w:t>
      </w:r>
    </w:p>
    <w:p w:rsidR="00916ACE" w:rsidRDefault="00916ACE" w:rsidP="00916ACE">
      <w:pPr>
        <w:rPr>
          <w:rFonts w:ascii="Arial" w:hAnsi="Arial" w:cs="Arial"/>
          <w:lang w:val="en-US"/>
        </w:rPr>
      </w:pPr>
      <w:r>
        <w:rPr>
          <w:rFonts w:ascii="Arial" w:hAnsi="Arial" w:cs="Arial"/>
          <w:lang w:val="en-US"/>
        </w:rPr>
        <w:t>There have been two recent developments that should increase financing for immunization. The first is the Government’s plan to extend health services to the entire population, including to under-served areas, by providing “primary health care under one roof” (PHCUOR). The vision is to establish functional PHC centers open 24 hours a day in each of the country’s more than 9,500 political wards, manned by at least two certified nurses or midwives. To fund this plan, the Government passed a National Health Act in 2014 that creates a Basic Health Care Provision Fund – half of which will be used to cover the costs of the PHC centers, including vaccines, equipment and operational costs. The National Health Act is currently in the planning stage and is being affected by the decline in oil revenues, which are a major source of funding for its implementation.</w:t>
      </w:r>
    </w:p>
    <w:p w:rsidR="00CA663B" w:rsidRPr="0062336D" w:rsidRDefault="00916ACE" w:rsidP="005439CB">
      <w:pPr>
        <w:rPr>
          <w:rFonts w:ascii="Arial" w:hAnsi="Arial" w:cs="Arial"/>
          <w:lang w:val="en-US"/>
        </w:rPr>
      </w:pPr>
      <w:r>
        <w:rPr>
          <w:rFonts w:ascii="Arial" w:hAnsi="Arial" w:cs="Arial"/>
          <w:lang w:val="en-US"/>
        </w:rPr>
        <w:t>The second effort to increase immunization financing is the development of agreements between state governments and two foundations to secure more stable funding for routine immunization, using a basket funding mechanism with contributions from the state governments and the foundations (the latter to be phased out over time). This initiative – currently operating in two states and being planned in four more – is described in more detail in Section B.</w:t>
      </w:r>
    </w:p>
    <w:p w:rsidR="005439CB" w:rsidRDefault="005439CB">
      <w:pPr>
        <w:rPr>
          <w:rFonts w:ascii="Arial" w:hAnsi="Arial" w:cs="Arial"/>
          <w:b/>
          <w:sz w:val="24"/>
          <w:lang w:val="en-US"/>
        </w:rPr>
      </w:pPr>
      <w:r>
        <w:rPr>
          <w:rFonts w:ascii="Arial" w:hAnsi="Arial" w:cs="Arial"/>
          <w:b/>
          <w:sz w:val="24"/>
          <w:lang w:val="en-US"/>
        </w:rPr>
        <w:br w:type="page"/>
      </w:r>
    </w:p>
    <w:p w:rsidR="00EB5F5D" w:rsidRPr="00EA6F8C" w:rsidRDefault="00EB5F5D" w:rsidP="00EB5F5D">
      <w:pPr>
        <w:rPr>
          <w:rFonts w:ascii="Arial" w:hAnsi="Arial" w:cs="Arial"/>
          <w:b/>
          <w:sz w:val="24"/>
          <w:lang w:val="en-US"/>
        </w:rPr>
      </w:pPr>
      <w:r w:rsidRPr="00EA6F8C">
        <w:rPr>
          <w:rFonts w:ascii="Arial" w:hAnsi="Arial" w:cs="Arial"/>
          <w:b/>
          <w:sz w:val="24"/>
          <w:lang w:val="en-US"/>
        </w:rPr>
        <w:lastRenderedPageBreak/>
        <w:t>ANNEXES</w:t>
      </w:r>
    </w:p>
    <w:p w:rsidR="00E86411" w:rsidRPr="00EA6F8C" w:rsidRDefault="00EB5F5D" w:rsidP="00EB5F5D">
      <w:pPr>
        <w:pStyle w:val="ListParagraph"/>
        <w:numPr>
          <w:ilvl w:val="0"/>
          <w:numId w:val="26"/>
        </w:numPr>
        <w:spacing w:after="0"/>
        <w:rPr>
          <w:rFonts w:ascii="Arial" w:hAnsi="Arial" w:cs="Arial"/>
          <w:lang w:val="en-US"/>
        </w:rPr>
      </w:pPr>
      <w:bookmarkStart w:id="0" w:name="_GoBack"/>
      <w:bookmarkEnd w:id="0"/>
      <w:r w:rsidRPr="00EA6F8C">
        <w:rPr>
          <w:lang w:val="en-US"/>
        </w:rPr>
        <w:t>% of total expenditures on vaccines financed by government funds: 4</w:t>
      </w:r>
      <w:r w:rsidR="00D952F2" w:rsidRPr="00EA6F8C">
        <w:rPr>
          <w:lang w:val="en-US"/>
        </w:rPr>
        <w:t>1</w:t>
      </w:r>
      <w:r w:rsidRPr="00EA6F8C">
        <w:rPr>
          <w:lang w:val="en-US"/>
        </w:rPr>
        <w:t>%</w:t>
      </w:r>
    </w:p>
    <w:sectPr w:rsidR="00E86411" w:rsidRPr="00EA6F8C" w:rsidSect="00CA663B">
      <w:footerReference w:type="default" r:id="rId9"/>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3AA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9C7" w:rsidRDefault="00E169C7">
      <w:pPr>
        <w:spacing w:after="0" w:line="240" w:lineRule="auto"/>
      </w:pPr>
      <w:r>
        <w:separator/>
      </w:r>
    </w:p>
  </w:endnote>
  <w:endnote w:type="continuationSeparator" w:id="0">
    <w:p w:rsidR="00E169C7" w:rsidRDefault="00E1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857851"/>
      <w:docPartObj>
        <w:docPartGallery w:val="Page Numbers (Bottom of Page)"/>
        <w:docPartUnique/>
      </w:docPartObj>
    </w:sdtPr>
    <w:sdtEndPr>
      <w:rPr>
        <w:noProof/>
      </w:rPr>
    </w:sdtEndPr>
    <w:sdtContent>
      <w:p w:rsidR="00EE6083" w:rsidRDefault="00EE6083">
        <w:pPr>
          <w:pStyle w:val="Footer"/>
          <w:jc w:val="center"/>
        </w:pPr>
        <w:r>
          <w:fldChar w:fldCharType="begin"/>
        </w:r>
        <w:r>
          <w:instrText xml:space="preserve"> PAGE   \* MERGEFORMAT </w:instrText>
        </w:r>
        <w:r>
          <w:fldChar w:fldCharType="separate"/>
        </w:r>
        <w:r w:rsidR="005439CB">
          <w:rPr>
            <w:noProof/>
          </w:rPr>
          <w:t>3</w:t>
        </w:r>
        <w:r>
          <w:rPr>
            <w:noProof/>
          </w:rPr>
          <w:fldChar w:fldCharType="end"/>
        </w:r>
      </w:p>
    </w:sdtContent>
  </w:sdt>
  <w:p w:rsidR="00EE6083" w:rsidRDefault="00EE6083" w:rsidP="009C5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9C7" w:rsidRDefault="00E169C7">
      <w:pPr>
        <w:spacing w:after="0" w:line="240" w:lineRule="auto"/>
      </w:pPr>
      <w:r>
        <w:separator/>
      </w:r>
    </w:p>
  </w:footnote>
  <w:footnote w:type="continuationSeparator" w:id="0">
    <w:p w:rsidR="00E169C7" w:rsidRDefault="00E169C7">
      <w:pPr>
        <w:spacing w:after="0" w:line="240" w:lineRule="auto"/>
      </w:pPr>
      <w:r>
        <w:continuationSeparator/>
      </w:r>
    </w:p>
  </w:footnote>
  <w:footnote w:id="1">
    <w:p w:rsidR="00EE6083" w:rsidRPr="001738CC" w:rsidRDefault="00EE6083">
      <w:pPr>
        <w:pStyle w:val="FootnoteText"/>
        <w:rPr>
          <w:lang w:val="en-US"/>
        </w:rPr>
      </w:pPr>
      <w:r>
        <w:rPr>
          <w:rStyle w:val="FootnoteReference"/>
        </w:rPr>
        <w:footnoteRef/>
      </w:r>
      <w:r>
        <w:t xml:space="preserve"> Sources: </w:t>
      </w:r>
      <w:r>
        <w:rPr>
          <w:lang w:val="en-US"/>
        </w:rPr>
        <w:t>FMOH. Comprehensive EPI multi-year plan, 2016-2020, National Primary Health Care Development Agency, 2015, and internal WHO briefing note for the 2016 joint appraisal.</w:t>
      </w:r>
    </w:p>
  </w:footnote>
  <w:footnote w:id="2">
    <w:p w:rsidR="00EE6083" w:rsidRPr="00E54B4C" w:rsidRDefault="00EE6083">
      <w:pPr>
        <w:pStyle w:val="FootnoteText"/>
        <w:rPr>
          <w:lang w:val="en-US"/>
        </w:rPr>
      </w:pPr>
      <w:r>
        <w:rPr>
          <w:rStyle w:val="FootnoteReference"/>
        </w:rPr>
        <w:footnoteRef/>
      </w:r>
      <w:r>
        <w:t xml:space="preserve"> </w:t>
      </w:r>
      <w:r>
        <w:rPr>
          <w:lang w:val="en-US"/>
        </w:rPr>
        <w:t>cMYP 2016-2020.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C717BBF"/>
    <w:multiLevelType w:val="hybridMultilevel"/>
    <w:tmpl w:val="295AE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C78D5"/>
    <w:multiLevelType w:val="hybridMultilevel"/>
    <w:tmpl w:val="AAD07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A9911B8"/>
    <w:multiLevelType w:val="hybridMultilevel"/>
    <w:tmpl w:val="0BA65C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DB03E1"/>
    <w:multiLevelType w:val="hybridMultilevel"/>
    <w:tmpl w:val="17D0D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10B62A0"/>
    <w:multiLevelType w:val="hybridMultilevel"/>
    <w:tmpl w:val="A8CACDC0"/>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D2157"/>
    <w:multiLevelType w:val="multilevel"/>
    <w:tmpl w:val="8E3C3E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EE0362"/>
    <w:multiLevelType w:val="multilevel"/>
    <w:tmpl w:val="D1BA6E1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9">
    <w:nsid w:val="432F2042"/>
    <w:multiLevelType w:val="hybridMultilevel"/>
    <w:tmpl w:val="EC46C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1">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BB4A5A"/>
    <w:multiLevelType w:val="hybridMultilevel"/>
    <w:tmpl w:val="6A70A29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A704F80"/>
    <w:multiLevelType w:val="hybridMultilevel"/>
    <w:tmpl w:val="738AE0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EA3A61"/>
    <w:multiLevelType w:val="hybridMultilevel"/>
    <w:tmpl w:val="B6A0B5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8">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9">
    <w:nsid w:val="76433DC8"/>
    <w:multiLevelType w:val="hybridMultilevel"/>
    <w:tmpl w:val="BCCA34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F11D0B"/>
    <w:multiLevelType w:val="hybridMultilevel"/>
    <w:tmpl w:val="ABEC255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ADF19AB"/>
    <w:multiLevelType w:val="hybridMultilevel"/>
    <w:tmpl w:val="BD865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4">
    <w:nsid w:val="7D2549A5"/>
    <w:multiLevelType w:val="hybridMultilevel"/>
    <w:tmpl w:val="12102D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4"/>
  </w:num>
  <w:num w:numId="5">
    <w:abstractNumId w:val="24"/>
  </w:num>
  <w:num w:numId="6">
    <w:abstractNumId w:val="1"/>
  </w:num>
  <w:num w:numId="7">
    <w:abstractNumId w:val="9"/>
  </w:num>
  <w:num w:numId="8">
    <w:abstractNumId w:val="21"/>
  </w:num>
  <w:num w:numId="9">
    <w:abstractNumId w:val="6"/>
  </w:num>
  <w:num w:numId="10">
    <w:abstractNumId w:val="32"/>
  </w:num>
  <w:num w:numId="11">
    <w:abstractNumId w:val="28"/>
  </w:num>
  <w:num w:numId="12">
    <w:abstractNumId w:val="18"/>
  </w:num>
  <w:num w:numId="13">
    <w:abstractNumId w:val="27"/>
  </w:num>
  <w:num w:numId="14">
    <w:abstractNumId w:val="20"/>
  </w:num>
  <w:num w:numId="15">
    <w:abstractNumId w:val="33"/>
  </w:num>
  <w:num w:numId="16">
    <w:abstractNumId w:val="13"/>
  </w:num>
  <w:num w:numId="17">
    <w:abstractNumId w:val="22"/>
  </w:num>
  <w:num w:numId="18">
    <w:abstractNumId w:val="16"/>
  </w:num>
  <w:num w:numId="19">
    <w:abstractNumId w:val="35"/>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9"/>
  </w:num>
  <w:num w:numId="25">
    <w:abstractNumId w:val="21"/>
  </w:num>
  <w:num w:numId="26">
    <w:abstractNumId w:val="14"/>
  </w:num>
  <w:num w:numId="27">
    <w:abstractNumId w:val="11"/>
  </w:num>
  <w:num w:numId="28">
    <w:abstractNumId w:val="29"/>
  </w:num>
  <w:num w:numId="29">
    <w:abstractNumId w:val="26"/>
  </w:num>
  <w:num w:numId="30">
    <w:abstractNumId w:val="25"/>
  </w:num>
  <w:num w:numId="31">
    <w:abstractNumId w:val="7"/>
  </w:num>
  <w:num w:numId="32">
    <w:abstractNumId w:val="31"/>
  </w:num>
  <w:num w:numId="33">
    <w:abstractNumId w:val="10"/>
  </w:num>
  <w:num w:numId="34">
    <w:abstractNumId w:val="19"/>
  </w:num>
  <w:num w:numId="35">
    <w:abstractNumId w:val="12"/>
  </w:num>
  <w:num w:numId="36">
    <w:abstractNumId w:val="34"/>
  </w:num>
  <w:num w:numId="37">
    <w:abstractNumId w:val="23"/>
  </w:num>
  <w:num w:numId="38">
    <w:abstractNumId w:val="30"/>
  </w:num>
  <w:num w:numId="39">
    <w:abstractNumId w:val="3"/>
  </w:num>
  <w:num w:numId="40">
    <w:abstractNumId w:val="4"/>
  </w:num>
  <w:num w:numId="4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0003"/>
    <w:rsid w:val="0002632E"/>
    <w:rsid w:val="00027E10"/>
    <w:rsid w:val="0005184D"/>
    <w:rsid w:val="00052693"/>
    <w:rsid w:val="0007442D"/>
    <w:rsid w:val="00086ABD"/>
    <w:rsid w:val="00096E70"/>
    <w:rsid w:val="000B2412"/>
    <w:rsid w:val="000C2C44"/>
    <w:rsid w:val="000D4A84"/>
    <w:rsid w:val="000D74F9"/>
    <w:rsid w:val="000E3D3E"/>
    <w:rsid w:val="000E3E9A"/>
    <w:rsid w:val="00111D50"/>
    <w:rsid w:val="001564B6"/>
    <w:rsid w:val="00163179"/>
    <w:rsid w:val="001635F5"/>
    <w:rsid w:val="001738CC"/>
    <w:rsid w:val="001A1767"/>
    <w:rsid w:val="001B0097"/>
    <w:rsid w:val="001C1193"/>
    <w:rsid w:val="001C1E4D"/>
    <w:rsid w:val="001C5026"/>
    <w:rsid w:val="001F2D8D"/>
    <w:rsid w:val="001F52A9"/>
    <w:rsid w:val="00211D17"/>
    <w:rsid w:val="002258E3"/>
    <w:rsid w:val="002327A5"/>
    <w:rsid w:val="00232D9A"/>
    <w:rsid w:val="00236906"/>
    <w:rsid w:val="00236A02"/>
    <w:rsid w:val="0025319C"/>
    <w:rsid w:val="002818D0"/>
    <w:rsid w:val="00281CEF"/>
    <w:rsid w:val="00292589"/>
    <w:rsid w:val="002B09F1"/>
    <w:rsid w:val="002B73D6"/>
    <w:rsid w:val="002C0BCF"/>
    <w:rsid w:val="002D61F5"/>
    <w:rsid w:val="002D762A"/>
    <w:rsid w:val="002F1749"/>
    <w:rsid w:val="002F20C9"/>
    <w:rsid w:val="00323542"/>
    <w:rsid w:val="00337BBA"/>
    <w:rsid w:val="00350FD0"/>
    <w:rsid w:val="00361F07"/>
    <w:rsid w:val="00364589"/>
    <w:rsid w:val="00370616"/>
    <w:rsid w:val="00371B50"/>
    <w:rsid w:val="00373BA5"/>
    <w:rsid w:val="003A682F"/>
    <w:rsid w:val="003A7680"/>
    <w:rsid w:val="003B290A"/>
    <w:rsid w:val="003B59D3"/>
    <w:rsid w:val="003B6F84"/>
    <w:rsid w:val="003D24BB"/>
    <w:rsid w:val="003D6679"/>
    <w:rsid w:val="003D6F13"/>
    <w:rsid w:val="003E30EC"/>
    <w:rsid w:val="003E68D8"/>
    <w:rsid w:val="003F4825"/>
    <w:rsid w:val="0042789C"/>
    <w:rsid w:val="00432B70"/>
    <w:rsid w:val="00436537"/>
    <w:rsid w:val="00437FD4"/>
    <w:rsid w:val="00441EDC"/>
    <w:rsid w:val="00457E0A"/>
    <w:rsid w:val="00460FC0"/>
    <w:rsid w:val="004826EF"/>
    <w:rsid w:val="00492F98"/>
    <w:rsid w:val="004A394A"/>
    <w:rsid w:val="004B1BA4"/>
    <w:rsid w:val="004B5B75"/>
    <w:rsid w:val="004C322B"/>
    <w:rsid w:val="004C4AD6"/>
    <w:rsid w:val="004D307D"/>
    <w:rsid w:val="004F6777"/>
    <w:rsid w:val="00500171"/>
    <w:rsid w:val="0050564C"/>
    <w:rsid w:val="005133F8"/>
    <w:rsid w:val="00513BF2"/>
    <w:rsid w:val="00530AD4"/>
    <w:rsid w:val="00530FEA"/>
    <w:rsid w:val="00532476"/>
    <w:rsid w:val="00534013"/>
    <w:rsid w:val="005439CB"/>
    <w:rsid w:val="005608E7"/>
    <w:rsid w:val="0058000D"/>
    <w:rsid w:val="005B6B29"/>
    <w:rsid w:val="005C6F1C"/>
    <w:rsid w:val="005F0283"/>
    <w:rsid w:val="005F3C9B"/>
    <w:rsid w:val="005F4B52"/>
    <w:rsid w:val="0062336D"/>
    <w:rsid w:val="0063770B"/>
    <w:rsid w:val="006410AE"/>
    <w:rsid w:val="00641572"/>
    <w:rsid w:val="00661C74"/>
    <w:rsid w:val="00680885"/>
    <w:rsid w:val="006842AB"/>
    <w:rsid w:val="00696E6A"/>
    <w:rsid w:val="006A4380"/>
    <w:rsid w:val="006C334B"/>
    <w:rsid w:val="007033F7"/>
    <w:rsid w:val="007348D9"/>
    <w:rsid w:val="00753EBE"/>
    <w:rsid w:val="00762936"/>
    <w:rsid w:val="0076408F"/>
    <w:rsid w:val="00767749"/>
    <w:rsid w:val="00770EEA"/>
    <w:rsid w:val="0079008F"/>
    <w:rsid w:val="007A2153"/>
    <w:rsid w:val="007A35F6"/>
    <w:rsid w:val="007A623E"/>
    <w:rsid w:val="007B053A"/>
    <w:rsid w:val="007C5F79"/>
    <w:rsid w:val="007D16A4"/>
    <w:rsid w:val="007D2AA9"/>
    <w:rsid w:val="007E0DEE"/>
    <w:rsid w:val="007F0729"/>
    <w:rsid w:val="007F2339"/>
    <w:rsid w:val="008053B7"/>
    <w:rsid w:val="00805A3A"/>
    <w:rsid w:val="008105B2"/>
    <w:rsid w:val="008137E7"/>
    <w:rsid w:val="00815D92"/>
    <w:rsid w:val="00824C6B"/>
    <w:rsid w:val="00825812"/>
    <w:rsid w:val="0083568C"/>
    <w:rsid w:val="00856B69"/>
    <w:rsid w:val="00863F77"/>
    <w:rsid w:val="00865907"/>
    <w:rsid w:val="008829D8"/>
    <w:rsid w:val="00883C0A"/>
    <w:rsid w:val="008A1C67"/>
    <w:rsid w:val="008A3BB3"/>
    <w:rsid w:val="008B7142"/>
    <w:rsid w:val="008C1347"/>
    <w:rsid w:val="008E2AE4"/>
    <w:rsid w:val="008E4926"/>
    <w:rsid w:val="008E7AA0"/>
    <w:rsid w:val="008F41EC"/>
    <w:rsid w:val="008F4F49"/>
    <w:rsid w:val="00916ACE"/>
    <w:rsid w:val="009318B8"/>
    <w:rsid w:val="009563E8"/>
    <w:rsid w:val="0098318B"/>
    <w:rsid w:val="009A5026"/>
    <w:rsid w:val="009A785D"/>
    <w:rsid w:val="009B091D"/>
    <w:rsid w:val="009B10F7"/>
    <w:rsid w:val="009B5560"/>
    <w:rsid w:val="009C08D2"/>
    <w:rsid w:val="009C09D8"/>
    <w:rsid w:val="009C5DC1"/>
    <w:rsid w:val="009D7CB0"/>
    <w:rsid w:val="009E1E59"/>
    <w:rsid w:val="00A03C34"/>
    <w:rsid w:val="00A077C6"/>
    <w:rsid w:val="00A11AC1"/>
    <w:rsid w:val="00A30557"/>
    <w:rsid w:val="00A44D74"/>
    <w:rsid w:val="00A472F6"/>
    <w:rsid w:val="00A53678"/>
    <w:rsid w:val="00AB6B44"/>
    <w:rsid w:val="00AD2901"/>
    <w:rsid w:val="00AE591E"/>
    <w:rsid w:val="00AE7557"/>
    <w:rsid w:val="00AF71FB"/>
    <w:rsid w:val="00B033CD"/>
    <w:rsid w:val="00B13423"/>
    <w:rsid w:val="00B218CC"/>
    <w:rsid w:val="00B47D53"/>
    <w:rsid w:val="00B50567"/>
    <w:rsid w:val="00BA09BC"/>
    <w:rsid w:val="00BA2589"/>
    <w:rsid w:val="00BD35F2"/>
    <w:rsid w:val="00BF14CF"/>
    <w:rsid w:val="00BF4CFA"/>
    <w:rsid w:val="00C235C2"/>
    <w:rsid w:val="00C35316"/>
    <w:rsid w:val="00C3741F"/>
    <w:rsid w:val="00C67C9D"/>
    <w:rsid w:val="00CA663B"/>
    <w:rsid w:val="00CD3FD9"/>
    <w:rsid w:val="00CD5CD2"/>
    <w:rsid w:val="00CE4ECE"/>
    <w:rsid w:val="00CF0E45"/>
    <w:rsid w:val="00D00DC6"/>
    <w:rsid w:val="00D139EF"/>
    <w:rsid w:val="00D17551"/>
    <w:rsid w:val="00D20E28"/>
    <w:rsid w:val="00D254A3"/>
    <w:rsid w:val="00D27E92"/>
    <w:rsid w:val="00D30DD8"/>
    <w:rsid w:val="00D34193"/>
    <w:rsid w:val="00D34A31"/>
    <w:rsid w:val="00D732C7"/>
    <w:rsid w:val="00D744D3"/>
    <w:rsid w:val="00D83222"/>
    <w:rsid w:val="00D91889"/>
    <w:rsid w:val="00D9435D"/>
    <w:rsid w:val="00D952F2"/>
    <w:rsid w:val="00D9563B"/>
    <w:rsid w:val="00DC5960"/>
    <w:rsid w:val="00DF6C7F"/>
    <w:rsid w:val="00E01C99"/>
    <w:rsid w:val="00E04AF7"/>
    <w:rsid w:val="00E11B99"/>
    <w:rsid w:val="00E1686A"/>
    <w:rsid w:val="00E169C7"/>
    <w:rsid w:val="00E37109"/>
    <w:rsid w:val="00E54B4C"/>
    <w:rsid w:val="00E86411"/>
    <w:rsid w:val="00E9158F"/>
    <w:rsid w:val="00EA06D2"/>
    <w:rsid w:val="00EA6F8C"/>
    <w:rsid w:val="00EB5F5D"/>
    <w:rsid w:val="00EC5704"/>
    <w:rsid w:val="00EE3DBB"/>
    <w:rsid w:val="00EE6083"/>
    <w:rsid w:val="00F54563"/>
    <w:rsid w:val="00F577A7"/>
    <w:rsid w:val="00F63D60"/>
    <w:rsid w:val="00F81B65"/>
    <w:rsid w:val="00F85BA5"/>
    <w:rsid w:val="00F87D4C"/>
    <w:rsid w:val="00FB2BC5"/>
    <w:rsid w:val="00FD688B"/>
    <w:rsid w:val="00FE5EA1"/>
    <w:rsid w:val="00FE72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927">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07682006">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2187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7C47C85-1FB8-4F86-9EBD-52C749D3D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2016-07-31T18:21:00Z</cp:lastPrinted>
  <dcterms:created xsi:type="dcterms:W3CDTF">2016-08-25T14:21:00Z</dcterms:created>
  <dcterms:modified xsi:type="dcterms:W3CDTF">2016-08-25T14:21:00Z</dcterms:modified>
</cp:coreProperties>
</file>