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23E" w:rsidRPr="00C27BB5" w:rsidRDefault="007A623E" w:rsidP="007A623E">
      <w:pPr>
        <w:jc w:val="center"/>
        <w:rPr>
          <w:b/>
          <w:sz w:val="40"/>
          <w:szCs w:val="40"/>
        </w:rPr>
      </w:pPr>
      <w:r w:rsidRPr="00C27BB5">
        <w:rPr>
          <w:b/>
          <w:sz w:val="40"/>
          <w:szCs w:val="40"/>
        </w:rPr>
        <w:t>Global Vaccine Action Plan</w:t>
      </w:r>
    </w:p>
    <w:p w:rsidR="007A623E" w:rsidRDefault="007A623E" w:rsidP="007A623E">
      <w:pPr>
        <w:jc w:val="center"/>
        <w:rPr>
          <w:i/>
          <w:sz w:val="40"/>
          <w:szCs w:val="40"/>
        </w:rPr>
      </w:pPr>
      <w:r w:rsidRPr="00C27BB5">
        <w:rPr>
          <w:i/>
          <w:sz w:val="40"/>
          <w:szCs w:val="40"/>
        </w:rPr>
        <w:t>Secretariat Annual Report 2016</w:t>
      </w:r>
    </w:p>
    <w:p w:rsidR="007A623E" w:rsidRDefault="007A623E" w:rsidP="007A623E">
      <w:pPr>
        <w:jc w:val="center"/>
        <w:rPr>
          <w:i/>
          <w:sz w:val="40"/>
          <w:szCs w:val="40"/>
        </w:rPr>
      </w:pPr>
      <w:r>
        <w:rPr>
          <w:i/>
          <w:sz w:val="40"/>
          <w:szCs w:val="40"/>
        </w:rPr>
        <w:t>Priority C</w:t>
      </w:r>
      <w:r w:rsidRPr="00C27BB5">
        <w:rPr>
          <w:i/>
          <w:sz w:val="40"/>
          <w:szCs w:val="40"/>
        </w:rPr>
        <w:t xml:space="preserve">ountry report on progress towards </w:t>
      </w:r>
    </w:p>
    <w:p w:rsidR="007A623E" w:rsidRPr="00C27BB5" w:rsidRDefault="007A623E" w:rsidP="007A623E">
      <w:pPr>
        <w:jc w:val="center"/>
        <w:rPr>
          <w:i/>
          <w:sz w:val="40"/>
          <w:szCs w:val="40"/>
        </w:rPr>
      </w:pPr>
      <w:r>
        <w:rPr>
          <w:i/>
          <w:sz w:val="40"/>
          <w:szCs w:val="40"/>
        </w:rPr>
        <w:t>GVAP-RVAP</w:t>
      </w:r>
      <w:r w:rsidRPr="00C27BB5">
        <w:rPr>
          <w:i/>
          <w:sz w:val="40"/>
          <w:szCs w:val="40"/>
        </w:rPr>
        <w:t xml:space="preserve"> goals </w:t>
      </w:r>
    </w:p>
    <w:p w:rsidR="007A623E" w:rsidRDefault="007A623E" w:rsidP="007A623E">
      <w:pPr>
        <w:jc w:val="center"/>
        <w:rPr>
          <w:rFonts w:ascii="Arial" w:hAnsi="Arial"/>
          <w:b/>
          <w:sz w:val="32"/>
        </w:rPr>
      </w:pPr>
    </w:p>
    <w:p w:rsidR="007A623E" w:rsidRDefault="007A623E" w:rsidP="007A623E">
      <w:pPr>
        <w:jc w:val="center"/>
        <w:rPr>
          <w:rFonts w:ascii="Arial" w:hAnsi="Arial"/>
          <w:b/>
          <w:sz w:val="36"/>
        </w:rPr>
      </w:pPr>
      <w:r>
        <w:rPr>
          <w:rFonts w:ascii="Arial" w:hAnsi="Arial"/>
          <w:b/>
          <w:sz w:val="36"/>
        </w:rPr>
        <w:t>NIGERIA</w:t>
      </w:r>
    </w:p>
    <w:p w:rsidR="007A623E" w:rsidRDefault="007A623E" w:rsidP="007A623E">
      <w:pPr>
        <w:jc w:val="center"/>
        <w:rPr>
          <w:rFonts w:ascii="Arial" w:hAnsi="Arial"/>
          <w:b/>
          <w:sz w:val="36"/>
        </w:rPr>
      </w:pPr>
    </w:p>
    <w:p w:rsidR="00457E0A" w:rsidRPr="00EA6F8C" w:rsidRDefault="00457E0A" w:rsidP="00457E0A">
      <w:pPr>
        <w:pStyle w:val="ListParagraph"/>
        <w:numPr>
          <w:ilvl w:val="0"/>
          <w:numId w:val="3"/>
        </w:numPr>
        <w:rPr>
          <w:rFonts w:ascii="Arial" w:hAnsi="Arial" w:cs="Arial"/>
          <w:b/>
          <w:sz w:val="26"/>
          <w:szCs w:val="26"/>
          <w:lang w:val="en-US"/>
        </w:rPr>
      </w:pPr>
      <w:r w:rsidRPr="00EA6F8C">
        <w:rPr>
          <w:rFonts w:ascii="Arial" w:hAnsi="Arial" w:cs="Arial"/>
          <w:b/>
          <w:sz w:val="26"/>
          <w:szCs w:val="26"/>
          <w:lang w:val="en-US"/>
        </w:rPr>
        <w:t xml:space="preserve">Progress towards achievement of GVAP goals </w:t>
      </w:r>
    </w:p>
    <w:p w:rsidR="00457E0A" w:rsidRPr="00EA6F8C" w:rsidRDefault="00457E0A" w:rsidP="00457E0A">
      <w:pPr>
        <w:pStyle w:val="ListParagraph"/>
        <w:rPr>
          <w:rFonts w:ascii="Arial" w:hAnsi="Arial" w:cs="Arial"/>
          <w:b/>
          <w:lang w:val="en-US"/>
        </w:rPr>
      </w:pPr>
    </w:p>
    <w:p w:rsidR="00163179" w:rsidRPr="00FE7220" w:rsidRDefault="00C67C9D" w:rsidP="00163179">
      <w:pPr>
        <w:pStyle w:val="ListParagraph"/>
        <w:numPr>
          <w:ilvl w:val="0"/>
          <w:numId w:val="1"/>
        </w:numPr>
        <w:rPr>
          <w:rFonts w:ascii="Arial" w:hAnsi="Arial" w:cs="Arial"/>
          <w:b/>
          <w:sz w:val="24"/>
          <w:szCs w:val="24"/>
          <w:lang w:val="en-US"/>
        </w:rPr>
      </w:pPr>
      <w:r w:rsidRPr="00FE7220">
        <w:rPr>
          <w:rFonts w:ascii="Arial" w:hAnsi="Arial" w:cs="Arial"/>
          <w:b/>
          <w:sz w:val="24"/>
          <w:szCs w:val="24"/>
          <w:lang w:val="en-US"/>
        </w:rPr>
        <w:t xml:space="preserve">Summary </w:t>
      </w:r>
    </w:p>
    <w:p w:rsidR="00BA2589" w:rsidRPr="00EA6F8C" w:rsidRDefault="00BA2589" w:rsidP="00B033CD">
      <w:pPr>
        <w:rPr>
          <w:rFonts w:ascii="Arial" w:hAnsi="Arial" w:cs="Arial"/>
          <w:lang w:val="en-US"/>
        </w:rPr>
      </w:pPr>
      <w:r w:rsidRPr="00EA6F8C">
        <w:rPr>
          <w:rFonts w:ascii="Arial" w:hAnsi="Arial" w:cs="Arial"/>
          <w:lang w:val="en-US"/>
        </w:rPr>
        <w:t>Th</w:t>
      </w:r>
      <w:r w:rsidR="00EA6F8C" w:rsidRPr="00EA6F8C">
        <w:rPr>
          <w:rFonts w:ascii="Arial" w:hAnsi="Arial" w:cs="Arial"/>
          <w:lang w:val="en-US"/>
        </w:rPr>
        <w:t>e</w:t>
      </w:r>
      <w:r w:rsidRPr="00EA6F8C">
        <w:rPr>
          <w:rFonts w:ascii="Arial" w:hAnsi="Arial" w:cs="Arial"/>
          <w:lang w:val="en-US"/>
        </w:rPr>
        <w:t xml:space="preserve"> </w:t>
      </w:r>
      <w:r w:rsidR="006C334B" w:rsidRPr="00EA6F8C">
        <w:rPr>
          <w:rFonts w:ascii="Arial" w:hAnsi="Arial" w:cs="Arial"/>
          <w:lang w:val="en-US"/>
        </w:rPr>
        <w:t xml:space="preserve">summary table </w:t>
      </w:r>
      <w:r w:rsidR="00EA6F8C" w:rsidRPr="00EA6F8C">
        <w:rPr>
          <w:rFonts w:ascii="Arial" w:hAnsi="Arial" w:cs="Arial"/>
          <w:lang w:val="en-US"/>
        </w:rPr>
        <w:t xml:space="preserve">below </w:t>
      </w:r>
      <w:r w:rsidR="006C334B" w:rsidRPr="00EA6F8C">
        <w:rPr>
          <w:rFonts w:ascii="Arial" w:hAnsi="Arial" w:cs="Arial"/>
          <w:lang w:val="en-US"/>
        </w:rPr>
        <w:t xml:space="preserve">describes </w:t>
      </w:r>
      <w:r w:rsidRPr="00EA6F8C">
        <w:rPr>
          <w:rFonts w:ascii="Arial" w:hAnsi="Arial" w:cs="Arial"/>
          <w:lang w:val="en-US"/>
        </w:rPr>
        <w:t xml:space="preserve">the current situation in </w:t>
      </w:r>
      <w:r w:rsidR="00B033CD" w:rsidRPr="00EA6F8C">
        <w:rPr>
          <w:rFonts w:ascii="Arial" w:hAnsi="Arial" w:cs="Arial"/>
          <w:lang w:val="en-US"/>
        </w:rPr>
        <w:t>Nigeria</w:t>
      </w:r>
      <w:r w:rsidRPr="00EA6F8C">
        <w:rPr>
          <w:rFonts w:ascii="Arial" w:hAnsi="Arial" w:cs="Arial"/>
          <w:lang w:val="en-US"/>
        </w:rPr>
        <w:t xml:space="preserve"> regarding achieving the GVAP goals.</w:t>
      </w:r>
      <w:r w:rsidR="00492F98" w:rsidRPr="00EA6F8C">
        <w:rPr>
          <w:rFonts w:ascii="Arial" w:hAnsi="Arial" w:cs="Arial"/>
          <w:lang w:val="en-US"/>
        </w:rPr>
        <w:t xml:space="preserve"> </w:t>
      </w:r>
      <w:r w:rsidR="00500171" w:rsidRPr="00EA6F8C">
        <w:rPr>
          <w:rFonts w:ascii="Arial" w:hAnsi="Arial" w:cs="Arial"/>
          <w:lang w:val="en-US"/>
        </w:rPr>
        <w:t>D</w:t>
      </w:r>
      <w:r w:rsidR="00696E6A" w:rsidRPr="00EA6F8C">
        <w:rPr>
          <w:rFonts w:ascii="Arial" w:hAnsi="Arial" w:cs="Arial"/>
          <w:lang w:val="en-US"/>
        </w:rPr>
        <w:t xml:space="preserve">ata </w:t>
      </w:r>
      <w:r w:rsidR="00E11B99" w:rsidRPr="00EA6F8C">
        <w:rPr>
          <w:rFonts w:ascii="Arial" w:hAnsi="Arial" w:cs="Arial"/>
          <w:lang w:val="en-US"/>
        </w:rPr>
        <w:t xml:space="preserve">used to assess progress towards achievement of </w:t>
      </w:r>
      <w:r w:rsidR="00696E6A" w:rsidRPr="00EA6F8C">
        <w:rPr>
          <w:rFonts w:ascii="Arial" w:hAnsi="Arial" w:cs="Arial"/>
          <w:lang w:val="en-US"/>
        </w:rPr>
        <w:t>GVAP goals are included in the annex.</w:t>
      </w:r>
    </w:p>
    <w:tbl>
      <w:tblPr>
        <w:tblW w:w="9517" w:type="dxa"/>
        <w:jc w:val="center"/>
        <w:tblLook w:val="04A0" w:firstRow="1" w:lastRow="0" w:firstColumn="1" w:lastColumn="0" w:noHBand="0" w:noVBand="1"/>
      </w:tblPr>
      <w:tblGrid>
        <w:gridCol w:w="3220"/>
        <w:gridCol w:w="3777"/>
        <w:gridCol w:w="2520"/>
      </w:tblGrid>
      <w:tr w:rsidR="00C35316" w:rsidRPr="00EA6F8C" w:rsidTr="00A03C34">
        <w:trPr>
          <w:trHeight w:val="675"/>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Area</w:t>
            </w:r>
          </w:p>
        </w:tc>
        <w:tc>
          <w:tcPr>
            <w:tcW w:w="3777" w:type="dxa"/>
            <w:tcBorders>
              <w:top w:val="single" w:sz="4" w:space="0" w:color="auto"/>
              <w:left w:val="nil"/>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Indicator</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Nigeria</w:t>
            </w:r>
          </w:p>
        </w:tc>
      </w:tr>
      <w:tr w:rsidR="00EA6F8C" w:rsidRPr="00EA6F8C" w:rsidTr="00A03C34">
        <w:trPr>
          <w:trHeight w:val="350"/>
          <w:jc w:val="center"/>
        </w:trPr>
        <w:tc>
          <w:tcPr>
            <w:tcW w:w="3220" w:type="dxa"/>
            <w:vMerge w:val="restart"/>
            <w:tcBorders>
              <w:top w:val="nil"/>
              <w:left w:val="single" w:sz="4" w:space="0" w:color="auto"/>
              <w:right w:val="single" w:sz="4" w:space="0" w:color="auto"/>
            </w:tcBorders>
            <w:shd w:val="clear" w:color="000000" w:fill="C5D9F1"/>
            <w:hideMark/>
          </w:tcPr>
          <w:p w:rsidR="00EA6F8C" w:rsidRPr="00EA6F8C" w:rsidRDefault="00EA6F8C" w:rsidP="00EA6F8C">
            <w:pPr>
              <w:spacing w:after="0" w:line="240" w:lineRule="auto"/>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2. Neonatal tetanus elimination</w:t>
            </w:r>
          </w:p>
        </w:tc>
        <w:tc>
          <w:tcPr>
            <w:tcW w:w="3777" w:type="dxa"/>
            <w:tcBorders>
              <w:top w:val="nil"/>
              <w:left w:val="nil"/>
              <w:bottom w:val="single" w:sz="4" w:space="0" w:color="auto"/>
              <w:right w:val="single" w:sz="4" w:space="0" w:color="auto"/>
            </w:tcBorders>
            <w:shd w:val="clear" w:color="000000" w:fill="C5D9F1"/>
            <w:vAlign w:val="center"/>
            <w:hideMark/>
          </w:tcPr>
          <w:p w:rsidR="00EA6F8C" w:rsidRPr="00EA6F8C" w:rsidRDefault="00EA6F8C" w:rsidP="00EA6F8C">
            <w:pPr>
              <w:spacing w:after="0" w:line="240" w:lineRule="auto"/>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TT2+ c</w:t>
            </w:r>
            <w:r w:rsidRPr="00EA6F8C">
              <w:rPr>
                <w:rFonts w:ascii="Calibri" w:eastAsia="Times New Roman" w:hAnsi="Calibri" w:cs="Calibri"/>
                <w:b/>
                <w:bCs/>
                <w:color w:val="000000"/>
                <w:lang w:val="en-US" w:eastAsia="en-GB"/>
              </w:rPr>
              <w:t>overage</w:t>
            </w:r>
            <w:r>
              <w:rPr>
                <w:rFonts w:ascii="Calibri" w:eastAsia="Times New Roman" w:hAnsi="Calibri" w:cs="Calibri"/>
                <w:b/>
                <w:bCs/>
                <w:color w:val="000000"/>
                <w:lang w:val="en-US" w:eastAsia="en-GB"/>
              </w:rPr>
              <w:t xml:space="preserve"> </w:t>
            </w:r>
            <w:r w:rsidRPr="00EA6F8C">
              <w:rPr>
                <w:rFonts w:ascii="Calibri" w:eastAsia="Times New Roman" w:hAnsi="Calibri" w:cs="Calibri"/>
                <w:b/>
                <w:bCs/>
                <w:color w:val="000000"/>
                <w:lang w:val="en-US" w:eastAsia="en-GB"/>
              </w:rPr>
              <w:t>(reported</w:t>
            </w:r>
            <w:r w:rsidR="000B2412">
              <w:rPr>
                <w:rFonts w:ascii="Calibri" w:eastAsia="Times New Roman" w:hAnsi="Calibri" w:cs="Calibri"/>
                <w:b/>
                <w:bCs/>
                <w:color w:val="000000"/>
                <w:lang w:val="en-US" w:eastAsia="en-GB"/>
              </w:rPr>
              <w:t xml:space="preserve"> on JRF</w:t>
            </w:r>
            <w:r w:rsidRPr="00EA6F8C">
              <w:rPr>
                <w:rFonts w:ascii="Calibri" w:eastAsia="Times New Roman" w:hAnsi="Calibri" w:cs="Calibri"/>
                <w:b/>
                <w:bCs/>
                <w:color w:val="000000"/>
                <w:lang w:val="en-US" w:eastAsia="en-GB"/>
              </w:rPr>
              <w:t xml:space="preserve"> 2015)</w:t>
            </w:r>
          </w:p>
        </w:tc>
        <w:tc>
          <w:tcPr>
            <w:tcW w:w="2520" w:type="dxa"/>
            <w:tcBorders>
              <w:top w:val="nil"/>
              <w:left w:val="nil"/>
              <w:bottom w:val="single" w:sz="4" w:space="0" w:color="auto"/>
              <w:right w:val="single" w:sz="4" w:space="0" w:color="auto"/>
            </w:tcBorders>
            <w:shd w:val="clear" w:color="000000" w:fill="FF0000"/>
            <w:vAlign w:val="center"/>
            <w:hideMark/>
          </w:tcPr>
          <w:p w:rsidR="00EA6F8C" w:rsidRPr="00EA6F8C" w:rsidRDefault="00EA6F8C" w:rsidP="00C35316">
            <w:pPr>
              <w:spacing w:after="0" w:line="240" w:lineRule="auto"/>
              <w:jc w:val="center"/>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40%</w:t>
            </w:r>
          </w:p>
        </w:tc>
      </w:tr>
      <w:tr w:rsidR="00EA6F8C" w:rsidRPr="00EA6F8C" w:rsidTr="00A03C34">
        <w:trPr>
          <w:trHeight w:val="600"/>
          <w:jc w:val="center"/>
        </w:trPr>
        <w:tc>
          <w:tcPr>
            <w:tcW w:w="3220" w:type="dxa"/>
            <w:vMerge/>
            <w:tcBorders>
              <w:left w:val="single" w:sz="4" w:space="0" w:color="auto"/>
              <w:right w:val="single" w:sz="4" w:space="0" w:color="auto"/>
            </w:tcBorders>
            <w:shd w:val="clear" w:color="000000" w:fill="C5D9F1"/>
            <w:vAlign w:val="center"/>
          </w:tcPr>
          <w:p w:rsidR="00EA6F8C" w:rsidRPr="00EA6F8C" w:rsidRDefault="00EA6F8C" w:rsidP="00C35316">
            <w:pPr>
              <w:spacing w:after="0" w:line="240" w:lineRule="auto"/>
              <w:rPr>
                <w:rFonts w:ascii="Calibri" w:eastAsia="Times New Roman" w:hAnsi="Calibri" w:cs="Calibri"/>
                <w:b/>
                <w:bCs/>
                <w:color w:val="000000"/>
                <w:lang w:val="en-US" w:eastAsia="en-GB"/>
              </w:rPr>
            </w:pPr>
          </w:p>
        </w:tc>
        <w:tc>
          <w:tcPr>
            <w:tcW w:w="3777" w:type="dxa"/>
            <w:tcBorders>
              <w:top w:val="nil"/>
              <w:left w:val="nil"/>
              <w:bottom w:val="single" w:sz="4" w:space="0" w:color="auto"/>
              <w:right w:val="single" w:sz="4" w:space="0" w:color="auto"/>
            </w:tcBorders>
            <w:shd w:val="clear" w:color="000000" w:fill="C5D9F1"/>
            <w:vAlign w:val="center"/>
            <w:hideMark/>
          </w:tcPr>
          <w:p w:rsidR="00EA6F8C" w:rsidRPr="00EA6F8C" w:rsidRDefault="00EA6F8C" w:rsidP="00EA6F8C">
            <w:pPr>
              <w:spacing w:after="0" w:line="240" w:lineRule="auto"/>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Rate of protection at b</w:t>
            </w:r>
            <w:r w:rsidRPr="00EA6F8C">
              <w:rPr>
                <w:rFonts w:ascii="Calibri" w:eastAsia="Times New Roman" w:hAnsi="Calibri" w:cs="Calibri"/>
                <w:b/>
                <w:bCs/>
                <w:color w:val="000000"/>
                <w:lang w:val="en-US" w:eastAsia="en-GB"/>
              </w:rPr>
              <w:t xml:space="preserve">irth against </w:t>
            </w:r>
            <w:r>
              <w:rPr>
                <w:rFonts w:ascii="Calibri" w:eastAsia="Times New Roman" w:hAnsi="Calibri" w:cs="Calibri"/>
                <w:b/>
                <w:bCs/>
                <w:color w:val="000000"/>
                <w:lang w:val="en-US" w:eastAsia="en-GB"/>
              </w:rPr>
              <w:t>tetanus</w:t>
            </w:r>
            <w:r w:rsidRPr="00EA6F8C">
              <w:rPr>
                <w:rFonts w:ascii="Calibri" w:eastAsia="Times New Roman" w:hAnsi="Calibri" w:cs="Calibri"/>
                <w:b/>
                <w:bCs/>
                <w:color w:val="000000"/>
                <w:lang w:val="en-US" w:eastAsia="en-GB"/>
              </w:rPr>
              <w:t xml:space="preserve"> (</w:t>
            </w:r>
            <w:r>
              <w:rPr>
                <w:rFonts w:ascii="Calibri" w:eastAsia="Times New Roman" w:hAnsi="Calibri" w:cs="Calibri"/>
                <w:b/>
                <w:bCs/>
                <w:color w:val="000000"/>
                <w:lang w:val="en-US" w:eastAsia="en-GB"/>
              </w:rPr>
              <w:t xml:space="preserve">2015 </w:t>
            </w:r>
            <w:r w:rsidRPr="00EA6F8C">
              <w:rPr>
                <w:rFonts w:ascii="Calibri" w:eastAsia="Times New Roman" w:hAnsi="Calibri" w:cs="Calibri"/>
                <w:b/>
                <w:bCs/>
                <w:color w:val="000000"/>
                <w:lang w:val="en-US" w:eastAsia="en-GB"/>
              </w:rPr>
              <w:t>WUENIC)</w:t>
            </w:r>
          </w:p>
        </w:tc>
        <w:tc>
          <w:tcPr>
            <w:tcW w:w="2520" w:type="dxa"/>
            <w:tcBorders>
              <w:top w:val="nil"/>
              <w:left w:val="nil"/>
              <w:bottom w:val="single" w:sz="4" w:space="0" w:color="auto"/>
              <w:right w:val="single" w:sz="4" w:space="0" w:color="auto"/>
            </w:tcBorders>
            <w:shd w:val="clear" w:color="000000" w:fill="FF0000"/>
            <w:vAlign w:val="center"/>
            <w:hideMark/>
          </w:tcPr>
          <w:p w:rsidR="00EA6F8C" w:rsidRPr="00EA6F8C" w:rsidRDefault="00EA6F8C" w:rsidP="00C35316">
            <w:pPr>
              <w:spacing w:after="0" w:line="240" w:lineRule="auto"/>
              <w:jc w:val="center"/>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55%</w:t>
            </w:r>
          </w:p>
        </w:tc>
      </w:tr>
      <w:tr w:rsidR="00EA6F8C" w:rsidRPr="00EA6F8C" w:rsidTr="00A03C34">
        <w:trPr>
          <w:trHeight w:val="1817"/>
          <w:jc w:val="center"/>
        </w:trPr>
        <w:tc>
          <w:tcPr>
            <w:tcW w:w="3220" w:type="dxa"/>
            <w:vMerge/>
            <w:tcBorders>
              <w:left w:val="single" w:sz="4" w:space="0" w:color="auto"/>
              <w:bottom w:val="single" w:sz="4" w:space="0" w:color="auto"/>
              <w:right w:val="single" w:sz="4" w:space="0" w:color="auto"/>
            </w:tcBorders>
            <w:shd w:val="clear" w:color="000000" w:fill="C5D9F1"/>
          </w:tcPr>
          <w:p w:rsidR="00EA6F8C" w:rsidRPr="00EA6F8C" w:rsidRDefault="00EA6F8C" w:rsidP="00C35316">
            <w:pPr>
              <w:spacing w:after="0" w:line="240" w:lineRule="auto"/>
              <w:rPr>
                <w:rFonts w:ascii="Calibri" w:eastAsia="Times New Roman" w:hAnsi="Calibri" w:cs="Calibri"/>
                <w:b/>
                <w:bCs/>
                <w:color w:val="000000"/>
                <w:lang w:val="en-US" w:eastAsia="en-GB"/>
              </w:rPr>
            </w:pPr>
          </w:p>
        </w:tc>
        <w:tc>
          <w:tcPr>
            <w:tcW w:w="3777" w:type="dxa"/>
            <w:tcBorders>
              <w:top w:val="nil"/>
              <w:left w:val="nil"/>
              <w:bottom w:val="single" w:sz="4" w:space="0" w:color="auto"/>
              <w:right w:val="single" w:sz="4" w:space="0" w:color="auto"/>
            </w:tcBorders>
            <w:shd w:val="clear" w:color="000000" w:fill="C5D9F1"/>
            <w:hideMark/>
          </w:tcPr>
          <w:p w:rsidR="00EA6F8C" w:rsidRPr="00EA6F8C" w:rsidRDefault="00EA6F8C" w:rsidP="00C35316">
            <w:pPr>
              <w:spacing w:after="0" w:line="240" w:lineRule="auto"/>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Last SIAs conducted in the country</w:t>
            </w:r>
          </w:p>
        </w:tc>
        <w:tc>
          <w:tcPr>
            <w:tcW w:w="2520" w:type="dxa"/>
            <w:tcBorders>
              <w:top w:val="nil"/>
              <w:left w:val="nil"/>
              <w:bottom w:val="single" w:sz="4" w:space="0" w:color="auto"/>
              <w:right w:val="single" w:sz="4" w:space="0" w:color="auto"/>
            </w:tcBorders>
            <w:shd w:val="clear" w:color="000000" w:fill="FF0000"/>
            <w:hideMark/>
          </w:tcPr>
          <w:p w:rsidR="00EA6F8C" w:rsidRPr="00EA6F8C" w:rsidRDefault="00E01C99" w:rsidP="00E01C99">
            <w:pPr>
              <w:spacing w:after="0" w:line="240" w:lineRule="auto"/>
              <w:jc w:val="center"/>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 xml:space="preserve">Round 1 conducted in </w:t>
            </w:r>
            <w:r w:rsidRPr="00EA6F8C">
              <w:rPr>
                <w:rFonts w:ascii="Calibri" w:eastAsia="Times New Roman" w:hAnsi="Calibri" w:cs="Calibri"/>
                <w:b/>
                <w:bCs/>
                <w:color w:val="000000"/>
                <w:lang w:val="en-US" w:eastAsia="en-GB"/>
              </w:rPr>
              <w:t>6</w:t>
            </w:r>
            <w:r>
              <w:rPr>
                <w:rFonts w:ascii="Calibri" w:eastAsia="Times New Roman" w:hAnsi="Calibri" w:cs="Calibri"/>
                <w:b/>
                <w:bCs/>
                <w:color w:val="000000"/>
                <w:lang w:val="en-US" w:eastAsia="en-GB"/>
              </w:rPr>
              <w:t xml:space="preserve">1 high-risk </w:t>
            </w:r>
            <w:r w:rsidRPr="00EA6F8C">
              <w:rPr>
                <w:rFonts w:ascii="Calibri" w:eastAsia="Times New Roman" w:hAnsi="Calibri" w:cs="Calibri"/>
                <w:b/>
                <w:bCs/>
                <w:color w:val="000000"/>
                <w:lang w:val="en-US" w:eastAsia="en-GB"/>
              </w:rPr>
              <w:t xml:space="preserve">districts </w:t>
            </w:r>
            <w:r>
              <w:rPr>
                <w:rFonts w:ascii="Calibri" w:eastAsia="Times New Roman" w:hAnsi="Calibri" w:cs="Calibri"/>
                <w:b/>
                <w:bCs/>
                <w:color w:val="000000"/>
                <w:lang w:val="en-US" w:eastAsia="en-GB"/>
              </w:rPr>
              <w:t xml:space="preserve">in October 2014. </w:t>
            </w:r>
            <w:r>
              <w:rPr>
                <w:rFonts w:ascii="Calibri" w:eastAsia="Times New Roman" w:hAnsi="Calibri" w:cs="Calibri"/>
                <w:b/>
                <w:bCs/>
                <w:color w:val="000000"/>
                <w:lang w:val="en-US" w:eastAsia="en-GB"/>
              </w:rPr>
              <w:br/>
              <w:t>Rounds 2 and 3 scheduled for Sept 2016 and 2017 in same districts.</w:t>
            </w:r>
          </w:p>
        </w:tc>
      </w:tr>
      <w:tr w:rsidR="00C35316" w:rsidRPr="00EA6F8C" w:rsidTr="00A03C34">
        <w:trPr>
          <w:trHeight w:val="1727"/>
          <w:jc w:val="center"/>
        </w:trPr>
        <w:tc>
          <w:tcPr>
            <w:tcW w:w="3220" w:type="dxa"/>
            <w:tcBorders>
              <w:top w:val="nil"/>
              <w:left w:val="single" w:sz="4" w:space="0" w:color="auto"/>
              <w:bottom w:val="single" w:sz="4" w:space="0" w:color="auto"/>
              <w:right w:val="single" w:sz="4" w:space="0" w:color="auto"/>
            </w:tcBorders>
            <w:shd w:val="clear" w:color="000000" w:fill="C5D9F1"/>
            <w:vAlign w:val="center"/>
            <w:hideMark/>
          </w:tcPr>
          <w:p w:rsidR="00C35316" w:rsidRPr="00EA6F8C" w:rsidRDefault="00C35316" w:rsidP="00C35316">
            <w:pPr>
              <w:spacing w:after="0" w:line="240" w:lineRule="auto"/>
              <w:rPr>
                <w:rFonts w:ascii="Calibri" w:eastAsia="Times New Roman" w:hAnsi="Calibri" w:cs="Calibri"/>
                <w:b/>
                <w:bCs/>
                <w:color w:val="000000"/>
                <w:lang w:val="en-US" w:eastAsia="en-GB"/>
              </w:rPr>
            </w:pPr>
          </w:p>
        </w:tc>
        <w:tc>
          <w:tcPr>
            <w:tcW w:w="3777" w:type="dxa"/>
            <w:tcBorders>
              <w:top w:val="nil"/>
              <w:left w:val="nil"/>
              <w:bottom w:val="single" w:sz="4" w:space="0" w:color="auto"/>
              <w:right w:val="single" w:sz="4" w:space="0" w:color="auto"/>
            </w:tcBorders>
            <w:shd w:val="clear" w:color="000000" w:fill="C5D9F1"/>
            <w:hideMark/>
          </w:tcPr>
          <w:p w:rsidR="00C35316" w:rsidRPr="00EA6F8C" w:rsidRDefault="00C35316" w:rsidP="00E01C99">
            <w:pPr>
              <w:spacing w:after="0" w:line="240" w:lineRule="auto"/>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Elimination validation date</w:t>
            </w:r>
          </w:p>
        </w:tc>
        <w:tc>
          <w:tcPr>
            <w:tcW w:w="2520" w:type="dxa"/>
            <w:tcBorders>
              <w:top w:val="nil"/>
              <w:left w:val="nil"/>
              <w:bottom w:val="single" w:sz="4" w:space="0" w:color="auto"/>
              <w:right w:val="single" w:sz="4" w:space="0" w:color="auto"/>
            </w:tcBorders>
            <w:shd w:val="clear" w:color="000000" w:fill="FF0000"/>
            <w:vAlign w:val="center"/>
            <w:hideMark/>
          </w:tcPr>
          <w:p w:rsidR="00C35316" w:rsidRPr="00EA6F8C" w:rsidRDefault="00C35316" w:rsidP="00E01C99">
            <w:pPr>
              <w:spacing w:after="0" w:line="240" w:lineRule="auto"/>
              <w:jc w:val="center"/>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Not yet validated</w:t>
            </w:r>
            <w:r w:rsidR="00E01C99">
              <w:rPr>
                <w:rFonts w:ascii="Calibri" w:eastAsia="Times New Roman" w:hAnsi="Calibri" w:cs="Calibri"/>
                <w:b/>
                <w:bCs/>
                <w:color w:val="000000"/>
                <w:lang w:val="en-US" w:eastAsia="en-GB"/>
              </w:rPr>
              <w:t xml:space="preserve">: </w:t>
            </w:r>
            <w:r w:rsidRPr="00EA6F8C">
              <w:rPr>
                <w:rFonts w:ascii="Calibri" w:eastAsia="Times New Roman" w:hAnsi="Calibri" w:cs="Calibri"/>
                <w:b/>
                <w:bCs/>
                <w:color w:val="000000"/>
                <w:lang w:val="en-US" w:eastAsia="en-GB"/>
              </w:rPr>
              <w:t xml:space="preserve">pre-validation assessment </w:t>
            </w:r>
            <w:r w:rsidR="00E01C99">
              <w:rPr>
                <w:rFonts w:ascii="Calibri" w:eastAsia="Times New Roman" w:hAnsi="Calibri" w:cs="Calibri"/>
                <w:b/>
                <w:bCs/>
                <w:color w:val="000000"/>
                <w:lang w:val="en-US" w:eastAsia="en-GB"/>
              </w:rPr>
              <w:t xml:space="preserve">planned </w:t>
            </w:r>
            <w:r w:rsidRPr="00EA6F8C">
              <w:rPr>
                <w:rFonts w:ascii="Calibri" w:eastAsia="Times New Roman" w:hAnsi="Calibri" w:cs="Calibri"/>
                <w:b/>
                <w:bCs/>
                <w:color w:val="000000"/>
                <w:lang w:val="en-US" w:eastAsia="en-GB"/>
              </w:rPr>
              <w:t xml:space="preserve">in 1-2 geopolitical zones before the end of </w:t>
            </w:r>
            <w:r w:rsidR="00E01C99">
              <w:rPr>
                <w:rFonts w:ascii="Calibri" w:eastAsia="Times New Roman" w:hAnsi="Calibri" w:cs="Calibri"/>
                <w:b/>
                <w:bCs/>
                <w:color w:val="000000"/>
                <w:lang w:val="en-US" w:eastAsia="en-GB"/>
              </w:rPr>
              <w:t>2016</w:t>
            </w:r>
          </w:p>
        </w:tc>
      </w:tr>
    </w:tbl>
    <w:p w:rsidR="00D744D3" w:rsidRDefault="00D744D3" w:rsidP="00D744D3">
      <w:pPr>
        <w:pStyle w:val="ListParagraph"/>
        <w:numPr>
          <w:ilvl w:val="1"/>
          <w:numId w:val="18"/>
        </w:numPr>
        <w:contextualSpacing w:val="0"/>
        <w:rPr>
          <w:rFonts w:ascii="Arial" w:hAnsi="Arial" w:cs="Arial"/>
          <w:b/>
          <w:lang w:val="en-US"/>
        </w:rPr>
      </w:pPr>
      <w:r>
        <w:rPr>
          <w:rFonts w:ascii="Arial" w:hAnsi="Arial" w:cs="Arial"/>
          <w:lang w:val="en-US"/>
        </w:rPr>
        <w:t xml:space="preserve"> </w:t>
      </w:r>
      <w:r w:rsidR="00B50567" w:rsidRPr="00D744D3">
        <w:rPr>
          <w:rFonts w:ascii="Arial" w:hAnsi="Arial" w:cs="Arial"/>
          <w:lang w:val="en-US"/>
        </w:rPr>
        <w:t xml:space="preserve"> </w:t>
      </w:r>
      <w:r w:rsidRPr="00EA6F8C">
        <w:rPr>
          <w:rFonts w:ascii="Arial" w:hAnsi="Arial" w:cs="Arial"/>
          <w:b/>
          <w:lang w:val="en-US"/>
        </w:rPr>
        <w:t>Goal 2 : Meet global and regional elimination targets</w:t>
      </w:r>
    </w:p>
    <w:p w:rsidR="00B50567" w:rsidRDefault="00D744D3" w:rsidP="00D744D3">
      <w:pPr>
        <w:pStyle w:val="ListParagraph"/>
        <w:numPr>
          <w:ilvl w:val="2"/>
          <w:numId w:val="18"/>
        </w:numPr>
        <w:contextualSpacing w:val="0"/>
        <w:rPr>
          <w:rFonts w:ascii="Arial" w:hAnsi="Arial" w:cs="Arial"/>
          <w:b/>
          <w:lang w:val="en-US"/>
        </w:rPr>
      </w:pPr>
      <w:r w:rsidRPr="00D744D3">
        <w:rPr>
          <w:rFonts w:ascii="Arial" w:hAnsi="Arial" w:cs="Arial"/>
          <w:b/>
          <w:lang w:val="en-US"/>
        </w:rPr>
        <w:t xml:space="preserve">Achieve maternal and neonatal tetanus </w:t>
      </w:r>
      <w:r>
        <w:rPr>
          <w:rFonts w:ascii="Arial" w:hAnsi="Arial" w:cs="Arial"/>
          <w:b/>
          <w:lang w:val="en-US"/>
        </w:rPr>
        <w:t xml:space="preserve">(MNT) </w:t>
      </w:r>
      <w:r w:rsidRPr="00D744D3">
        <w:rPr>
          <w:rFonts w:ascii="Arial" w:hAnsi="Arial" w:cs="Arial"/>
          <w:b/>
          <w:lang w:val="en-US"/>
        </w:rPr>
        <w:t>elimination</w:t>
      </w:r>
    </w:p>
    <w:p w:rsidR="00D744D3" w:rsidRDefault="00D744D3" w:rsidP="00D744D3">
      <w:pPr>
        <w:rPr>
          <w:rFonts w:ascii="Arial" w:hAnsi="Arial" w:cs="Arial"/>
          <w:lang w:val="en-US"/>
        </w:rPr>
      </w:pPr>
      <w:r w:rsidRPr="00D744D3">
        <w:rPr>
          <w:rFonts w:ascii="Arial" w:hAnsi="Arial" w:cs="Arial"/>
          <w:lang w:val="en-US"/>
        </w:rPr>
        <w:lastRenderedPageBreak/>
        <w:t>Nigeria</w:t>
      </w:r>
      <w:r>
        <w:rPr>
          <w:rFonts w:ascii="Arial" w:hAnsi="Arial" w:cs="Arial"/>
          <w:lang w:val="en-US"/>
        </w:rPr>
        <w:t xml:space="preserve"> has the goal of eliminating MNT by 2020 and an intermediate goal of more than 70% of LGAs having less than one case per 1,000 live births by 2018.</w:t>
      </w:r>
      <w:r>
        <w:rPr>
          <w:rStyle w:val="FootnoteReference"/>
          <w:rFonts w:ascii="Arial" w:hAnsi="Arial" w:cs="Arial"/>
          <w:lang w:val="en-US"/>
        </w:rPr>
        <w:footnoteReference w:id="1"/>
      </w:r>
      <w:r>
        <w:rPr>
          <w:rFonts w:ascii="Arial" w:hAnsi="Arial" w:cs="Arial"/>
          <w:lang w:val="en-US"/>
        </w:rPr>
        <w:t xml:space="preserve"> As of 2014, 17 states (46%) still reported more than one MNT per 100,000, though this represents considerable progress since 2010, when 27 states </w:t>
      </w:r>
      <w:r w:rsidR="003D6F13">
        <w:rPr>
          <w:rFonts w:ascii="Arial" w:hAnsi="Arial" w:cs="Arial"/>
          <w:lang w:val="en-US"/>
        </w:rPr>
        <w:t>were over this threshold.</w:t>
      </w:r>
      <w:r w:rsidR="003D6F13">
        <w:rPr>
          <w:rStyle w:val="FootnoteReference"/>
          <w:rFonts w:ascii="Arial" w:hAnsi="Arial" w:cs="Arial"/>
          <w:lang w:val="en-US"/>
        </w:rPr>
        <w:footnoteReference w:id="2"/>
      </w:r>
      <w:r w:rsidR="003D6F13">
        <w:rPr>
          <w:rFonts w:ascii="Arial" w:hAnsi="Arial" w:cs="Arial"/>
          <w:lang w:val="en-US"/>
        </w:rPr>
        <w:t xml:space="preserve"> In addition, case-based MNT surveillance has improved since 2008, when it was added to the AFP/measles surveillance platform. However, according to the cMYP, there is still a high level of under-</w:t>
      </w:r>
      <w:r>
        <w:rPr>
          <w:rFonts w:ascii="Arial" w:hAnsi="Arial" w:cs="Arial"/>
          <w:lang w:val="en-US"/>
        </w:rPr>
        <w:t>report</w:t>
      </w:r>
      <w:r w:rsidR="003D6F13">
        <w:rPr>
          <w:rFonts w:ascii="Arial" w:hAnsi="Arial" w:cs="Arial"/>
          <w:lang w:val="en-US"/>
        </w:rPr>
        <w:t xml:space="preserve">ing of the disease. </w:t>
      </w:r>
    </w:p>
    <w:p w:rsidR="003D6F13" w:rsidRDefault="003D6F13" w:rsidP="00D744D3">
      <w:pPr>
        <w:rPr>
          <w:rFonts w:ascii="Arial" w:hAnsi="Arial" w:cs="Arial"/>
          <w:lang w:val="en-US"/>
        </w:rPr>
      </w:pPr>
      <w:r>
        <w:rPr>
          <w:rFonts w:ascii="Arial" w:hAnsi="Arial" w:cs="Arial"/>
          <w:lang w:val="en-US"/>
        </w:rPr>
        <w:t>Nigeria faces two main challenges to meeting its MNT elimination goal:</w:t>
      </w:r>
    </w:p>
    <w:p w:rsidR="003D6F13" w:rsidRDefault="003D6F13" w:rsidP="003D6F13">
      <w:pPr>
        <w:pStyle w:val="ListParagraph"/>
        <w:numPr>
          <w:ilvl w:val="0"/>
          <w:numId w:val="31"/>
        </w:numPr>
        <w:contextualSpacing w:val="0"/>
        <w:rPr>
          <w:rFonts w:ascii="Arial" w:hAnsi="Arial" w:cs="Arial"/>
          <w:lang w:val="en-US"/>
        </w:rPr>
      </w:pPr>
      <w:r>
        <w:rPr>
          <w:rFonts w:ascii="Arial" w:hAnsi="Arial" w:cs="Arial"/>
          <w:lang w:val="en-US"/>
        </w:rPr>
        <w:t>Relatively low rates of utilization of maternal health services. According to the 2013 Nigeria Demographic and Health Survey (DHS), just more than half (51%) of women made four or more antenatal care (ANC) visits during their last pregnancy, 48% received two or more TT injections, and 36% delivered their babies in a health facility.</w:t>
      </w:r>
      <w:r>
        <w:rPr>
          <w:rStyle w:val="FootnoteReference"/>
          <w:rFonts w:ascii="Arial" w:hAnsi="Arial" w:cs="Arial"/>
          <w:lang w:val="en-US"/>
        </w:rPr>
        <w:footnoteReference w:id="3"/>
      </w:r>
      <w:r>
        <w:rPr>
          <w:rFonts w:ascii="Arial" w:hAnsi="Arial" w:cs="Arial"/>
          <w:lang w:val="en-US"/>
        </w:rPr>
        <w:t xml:space="preserve"> Many areas have much lower rates of maternal health utilization. Nearly half (47%) of women in rural areas reported no ANC visits during their last pregnancy compared to 11% in urban areas, and eight states – all in the Northeast and Northwest regions – had protection at birth (PAB) rates of less than 40%, with some states (Kebbi, Sokoto, Zamfara) as low as 14-17%</w:t>
      </w:r>
      <w:r w:rsidR="00EA06D2">
        <w:rPr>
          <w:rFonts w:ascii="Arial" w:hAnsi="Arial" w:cs="Arial"/>
          <w:lang w:val="en-US"/>
        </w:rPr>
        <w:t>. The national PAB rate – which WHO and UNICEF estimated at 55% in 2015 – has changed little since 2000, when it was 57%. While the cMYP has the goal of reaching more than 80% national coverage with two or more doses of TT vaccine, the lack of improvement in routine TT coverage remains a key impediment to Nigeria achieving MNT elimination;</w:t>
      </w:r>
    </w:p>
    <w:p w:rsidR="00EA06D2" w:rsidRPr="003D6F13" w:rsidRDefault="00F54563" w:rsidP="002B09F1">
      <w:pPr>
        <w:pStyle w:val="ListParagraph"/>
        <w:numPr>
          <w:ilvl w:val="0"/>
          <w:numId w:val="31"/>
        </w:numPr>
        <w:contextualSpacing w:val="0"/>
        <w:rPr>
          <w:rFonts w:ascii="Arial" w:hAnsi="Arial" w:cs="Arial"/>
          <w:lang w:val="en-US"/>
        </w:rPr>
      </w:pPr>
      <w:r>
        <w:rPr>
          <w:rFonts w:ascii="Arial" w:hAnsi="Arial" w:cs="Arial"/>
          <w:lang w:val="en-US"/>
        </w:rPr>
        <w:t>Delays in conducting TT campaigns in high-risk areas. SIAs for women aged 15 to 49 years and pregnant women began on a pilot bases in 2009 in five states, with the aim of providing three TT doses (through three rounds). However, only three states were able to complete all three rounds, resulting in an overall coverage rate in the pilot states of 49% for TT3.</w:t>
      </w:r>
      <w:r>
        <w:rPr>
          <w:rStyle w:val="FootnoteReference"/>
          <w:rFonts w:ascii="Arial" w:hAnsi="Arial" w:cs="Arial"/>
          <w:lang w:val="en-US"/>
        </w:rPr>
        <w:footnoteReference w:id="4"/>
      </w:r>
      <w:r>
        <w:rPr>
          <w:rFonts w:ascii="Arial" w:hAnsi="Arial" w:cs="Arial"/>
          <w:lang w:val="en-US"/>
        </w:rPr>
        <w:t xml:space="preserve"> Subsequently, targeting by states was abandoned and 61 LGAs were identified as high-risk areas. Plans were made to conduct three rounds of SIAs from 2014 to 2016 in these areas. The first round took place as planned in 2014, but the second round</w:t>
      </w:r>
      <w:r w:rsidR="003B290A">
        <w:rPr>
          <w:rFonts w:ascii="Arial" w:hAnsi="Arial" w:cs="Arial"/>
          <w:lang w:val="en-US"/>
        </w:rPr>
        <w:t xml:space="preserve">, originally </w:t>
      </w:r>
      <w:r>
        <w:rPr>
          <w:rFonts w:ascii="Arial" w:hAnsi="Arial" w:cs="Arial"/>
          <w:lang w:val="en-US"/>
        </w:rPr>
        <w:t>scheduled for 2015</w:t>
      </w:r>
      <w:r w:rsidR="003B290A">
        <w:rPr>
          <w:rFonts w:ascii="Arial" w:hAnsi="Arial" w:cs="Arial"/>
          <w:lang w:val="en-US"/>
        </w:rPr>
        <w:t>,</w:t>
      </w:r>
      <w:r>
        <w:rPr>
          <w:rFonts w:ascii="Arial" w:hAnsi="Arial" w:cs="Arial"/>
          <w:lang w:val="en-US"/>
        </w:rPr>
        <w:t xml:space="preserve"> was delayed </w:t>
      </w:r>
      <w:r w:rsidR="0098318B">
        <w:rPr>
          <w:rFonts w:ascii="Arial" w:hAnsi="Arial" w:cs="Arial"/>
          <w:lang w:val="en-US"/>
        </w:rPr>
        <w:t xml:space="preserve">until early 2016, </w:t>
      </w:r>
      <w:r>
        <w:rPr>
          <w:rFonts w:ascii="Arial" w:hAnsi="Arial" w:cs="Arial"/>
          <w:lang w:val="en-US"/>
        </w:rPr>
        <w:t xml:space="preserve">due to a lack of funding as a result of the suspension of GAVI </w:t>
      </w:r>
      <w:r w:rsidR="002B09F1">
        <w:rPr>
          <w:rFonts w:ascii="Arial" w:hAnsi="Arial" w:cs="Arial"/>
          <w:lang w:val="en-US"/>
        </w:rPr>
        <w:t xml:space="preserve">operational cash support </w:t>
      </w:r>
      <w:r>
        <w:rPr>
          <w:rFonts w:ascii="Arial" w:hAnsi="Arial" w:cs="Arial"/>
          <w:lang w:val="en-US"/>
        </w:rPr>
        <w:t xml:space="preserve">and to competition with planning for national measles campaigns. The </w:t>
      </w:r>
      <w:r w:rsidR="0098318B">
        <w:rPr>
          <w:rFonts w:ascii="Arial" w:hAnsi="Arial" w:cs="Arial"/>
          <w:lang w:val="en-US"/>
        </w:rPr>
        <w:t>third</w:t>
      </w:r>
      <w:r>
        <w:rPr>
          <w:rFonts w:ascii="Arial" w:hAnsi="Arial" w:cs="Arial"/>
          <w:lang w:val="en-US"/>
        </w:rPr>
        <w:t xml:space="preserve"> round is now scheduled for 2017.</w:t>
      </w:r>
    </w:p>
    <w:p w:rsidR="0062336D" w:rsidRPr="0062336D" w:rsidRDefault="0062336D" w:rsidP="0062336D">
      <w:pPr>
        <w:pStyle w:val="ListParagraph"/>
        <w:rPr>
          <w:rFonts w:ascii="Arial" w:hAnsi="Arial" w:cs="Arial"/>
          <w:lang w:val="en-US"/>
        </w:rPr>
      </w:pPr>
    </w:p>
    <w:p w:rsidR="0062336D" w:rsidRDefault="0062336D" w:rsidP="0062336D">
      <w:pPr>
        <w:rPr>
          <w:rFonts w:ascii="Arial" w:hAnsi="Arial" w:cs="Arial"/>
          <w:lang w:val="en-US"/>
        </w:rPr>
      </w:pPr>
    </w:p>
    <w:p w:rsidR="00CA663B" w:rsidRPr="0062336D" w:rsidRDefault="00CA663B" w:rsidP="0062336D">
      <w:pPr>
        <w:rPr>
          <w:rFonts w:ascii="Arial" w:hAnsi="Arial" w:cs="Arial"/>
          <w:lang w:val="en-US"/>
        </w:rPr>
      </w:pPr>
      <w:r w:rsidRPr="0062336D">
        <w:rPr>
          <w:rFonts w:ascii="Arial" w:hAnsi="Arial" w:cs="Arial"/>
          <w:lang w:val="en-US"/>
        </w:rPr>
        <w:br w:type="page"/>
      </w:r>
    </w:p>
    <w:p w:rsidR="00EB5F5D" w:rsidRPr="00EA6F8C" w:rsidRDefault="00EB5F5D" w:rsidP="00EB5F5D">
      <w:pPr>
        <w:rPr>
          <w:rFonts w:ascii="Arial" w:hAnsi="Arial" w:cs="Arial"/>
          <w:b/>
          <w:sz w:val="24"/>
          <w:lang w:val="en-US"/>
        </w:rPr>
      </w:pPr>
      <w:r w:rsidRPr="00EA6F8C">
        <w:rPr>
          <w:rFonts w:ascii="Arial" w:hAnsi="Arial" w:cs="Arial"/>
          <w:b/>
          <w:sz w:val="24"/>
          <w:lang w:val="en-US"/>
        </w:rPr>
        <w:lastRenderedPageBreak/>
        <w:t>ANNEXES</w:t>
      </w:r>
    </w:p>
    <w:p w:rsidR="00EB5F5D" w:rsidRPr="00EA6F8C" w:rsidRDefault="00EB5F5D" w:rsidP="00EB5F5D">
      <w:pPr>
        <w:pStyle w:val="ListParagraph"/>
        <w:numPr>
          <w:ilvl w:val="0"/>
          <w:numId w:val="22"/>
        </w:numPr>
        <w:rPr>
          <w:lang w:val="en-US"/>
        </w:rPr>
      </w:pPr>
      <w:r w:rsidRPr="00EA6F8C">
        <w:rPr>
          <w:b/>
          <w:bCs/>
          <w:lang w:val="en-US"/>
        </w:rPr>
        <w:t xml:space="preserve">MNT </w:t>
      </w:r>
    </w:p>
    <w:p w:rsidR="00E86411" w:rsidRPr="004B1BA4" w:rsidRDefault="00D952F2" w:rsidP="004B1BA4">
      <w:pPr>
        <w:pStyle w:val="ListParagraph"/>
        <w:numPr>
          <w:ilvl w:val="0"/>
          <w:numId w:val="25"/>
        </w:numPr>
        <w:rPr>
          <w:lang w:val="en-US"/>
        </w:rPr>
      </w:pPr>
      <w:r w:rsidRPr="00D91889">
        <w:rPr>
          <w:bCs/>
          <w:lang w:val="en-US"/>
        </w:rPr>
        <w:t>Not yet validated - planning a pre-validation assessment in 1-2 geopolitical zones before the end of the year</w:t>
      </w:r>
      <w:bookmarkStart w:id="0" w:name="_GoBack"/>
      <w:bookmarkEnd w:id="0"/>
    </w:p>
    <w:sectPr w:rsidR="00E86411" w:rsidRPr="004B1BA4" w:rsidSect="00CA663B">
      <w:footerReference w:type="default" r:id="rId9"/>
      <w:type w:val="continuous"/>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23AA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0C3" w:rsidRDefault="002420C3">
      <w:pPr>
        <w:spacing w:after="0" w:line="240" w:lineRule="auto"/>
      </w:pPr>
      <w:r>
        <w:separator/>
      </w:r>
    </w:p>
  </w:endnote>
  <w:endnote w:type="continuationSeparator" w:id="0">
    <w:p w:rsidR="002420C3" w:rsidRDefault="00242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857851"/>
      <w:docPartObj>
        <w:docPartGallery w:val="Page Numbers (Bottom of Page)"/>
        <w:docPartUnique/>
      </w:docPartObj>
    </w:sdtPr>
    <w:sdtEndPr>
      <w:rPr>
        <w:noProof/>
      </w:rPr>
    </w:sdtEndPr>
    <w:sdtContent>
      <w:p w:rsidR="00EE6083" w:rsidRDefault="00EE6083">
        <w:pPr>
          <w:pStyle w:val="Footer"/>
          <w:jc w:val="center"/>
        </w:pPr>
        <w:r>
          <w:fldChar w:fldCharType="begin"/>
        </w:r>
        <w:r>
          <w:instrText xml:space="preserve"> PAGE   \* MERGEFORMAT </w:instrText>
        </w:r>
        <w:r>
          <w:fldChar w:fldCharType="separate"/>
        </w:r>
        <w:r w:rsidR="004B1BA4">
          <w:rPr>
            <w:noProof/>
          </w:rPr>
          <w:t>2</w:t>
        </w:r>
        <w:r>
          <w:rPr>
            <w:noProof/>
          </w:rPr>
          <w:fldChar w:fldCharType="end"/>
        </w:r>
      </w:p>
    </w:sdtContent>
  </w:sdt>
  <w:p w:rsidR="00EE6083" w:rsidRDefault="00EE6083" w:rsidP="009C5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0C3" w:rsidRDefault="002420C3">
      <w:pPr>
        <w:spacing w:after="0" w:line="240" w:lineRule="auto"/>
      </w:pPr>
      <w:r>
        <w:separator/>
      </w:r>
    </w:p>
  </w:footnote>
  <w:footnote w:type="continuationSeparator" w:id="0">
    <w:p w:rsidR="002420C3" w:rsidRDefault="002420C3">
      <w:pPr>
        <w:spacing w:after="0" w:line="240" w:lineRule="auto"/>
      </w:pPr>
      <w:r>
        <w:continuationSeparator/>
      </w:r>
    </w:p>
  </w:footnote>
  <w:footnote w:id="1">
    <w:p w:rsidR="00EE6083" w:rsidRPr="000B2412" w:rsidRDefault="00EE6083">
      <w:pPr>
        <w:pStyle w:val="FootnoteText"/>
        <w:rPr>
          <w:lang w:val="fr-FR"/>
        </w:rPr>
      </w:pPr>
      <w:r>
        <w:rPr>
          <w:rStyle w:val="FootnoteReference"/>
        </w:rPr>
        <w:footnoteRef/>
      </w:r>
      <w:r w:rsidRPr="000B2412">
        <w:rPr>
          <w:lang w:val="fr-FR"/>
        </w:rPr>
        <w:t xml:space="preserve"> cMYP.</w:t>
      </w:r>
    </w:p>
  </w:footnote>
  <w:footnote w:id="2">
    <w:p w:rsidR="00EE6083" w:rsidRPr="000B2412" w:rsidRDefault="00EE6083">
      <w:pPr>
        <w:pStyle w:val="FootnoteText"/>
        <w:rPr>
          <w:lang w:val="fr-FR"/>
        </w:rPr>
      </w:pPr>
      <w:r>
        <w:rPr>
          <w:rStyle w:val="FootnoteReference"/>
        </w:rPr>
        <w:footnoteRef/>
      </w:r>
      <w:r w:rsidRPr="000B2412">
        <w:rPr>
          <w:lang w:val="fr-FR"/>
        </w:rPr>
        <w:t xml:space="preserve"> cMYP.</w:t>
      </w:r>
    </w:p>
  </w:footnote>
  <w:footnote w:id="3">
    <w:p w:rsidR="00EE6083" w:rsidRPr="003D6F13" w:rsidRDefault="00EE6083">
      <w:pPr>
        <w:pStyle w:val="FootnoteText"/>
        <w:rPr>
          <w:lang w:val="en-US"/>
        </w:rPr>
      </w:pPr>
      <w:r>
        <w:rPr>
          <w:rStyle w:val="FootnoteReference"/>
        </w:rPr>
        <w:footnoteRef/>
      </w:r>
      <w:r w:rsidRPr="000B2412">
        <w:rPr>
          <w:lang w:val="fr-FR"/>
        </w:rPr>
        <w:t xml:space="preserve"> National Population Commission. </w:t>
      </w:r>
      <w:r>
        <w:rPr>
          <w:lang w:val="en-US"/>
        </w:rPr>
        <w:t>Nigeria Demographic and Health Survey 2013.</w:t>
      </w:r>
    </w:p>
  </w:footnote>
  <w:footnote w:id="4">
    <w:p w:rsidR="00EE6083" w:rsidRPr="00F54563" w:rsidRDefault="00EE6083">
      <w:pPr>
        <w:pStyle w:val="FootnoteText"/>
        <w:rPr>
          <w:lang w:val="en-US"/>
        </w:rPr>
      </w:pPr>
      <w:r>
        <w:rPr>
          <w:rStyle w:val="FootnoteReference"/>
        </w:rPr>
        <w:footnoteRef/>
      </w:r>
      <w:r>
        <w:t xml:space="preserve"> </w:t>
      </w:r>
      <w:r>
        <w:rPr>
          <w:lang w:val="en-US"/>
        </w:rPr>
        <w:t>cMYP.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C717BBF"/>
    <w:multiLevelType w:val="hybridMultilevel"/>
    <w:tmpl w:val="295AE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C78D5"/>
    <w:multiLevelType w:val="hybridMultilevel"/>
    <w:tmpl w:val="AAD074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A9911B8"/>
    <w:multiLevelType w:val="hybridMultilevel"/>
    <w:tmpl w:val="0BA65C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DDB03E1"/>
    <w:multiLevelType w:val="hybridMultilevel"/>
    <w:tmpl w:val="17D0DA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10B62A0"/>
    <w:multiLevelType w:val="hybridMultilevel"/>
    <w:tmpl w:val="A8CACDC0"/>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8D2157"/>
    <w:multiLevelType w:val="multilevel"/>
    <w:tmpl w:val="8E3C3E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2EE0362"/>
    <w:multiLevelType w:val="multilevel"/>
    <w:tmpl w:val="D1BA6E1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9">
    <w:nsid w:val="432F2042"/>
    <w:multiLevelType w:val="hybridMultilevel"/>
    <w:tmpl w:val="EC46C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1">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4BB4A5A"/>
    <w:multiLevelType w:val="hybridMultilevel"/>
    <w:tmpl w:val="6A70A29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A704F80"/>
    <w:multiLevelType w:val="hybridMultilevel"/>
    <w:tmpl w:val="738AE0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0EA3A61"/>
    <w:multiLevelType w:val="hybridMultilevel"/>
    <w:tmpl w:val="B6A0B5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8">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9">
    <w:nsid w:val="76433DC8"/>
    <w:multiLevelType w:val="hybridMultilevel"/>
    <w:tmpl w:val="BCCA34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7F11D0B"/>
    <w:multiLevelType w:val="hybridMultilevel"/>
    <w:tmpl w:val="ABEC255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7ADF19AB"/>
    <w:multiLevelType w:val="hybridMultilevel"/>
    <w:tmpl w:val="BD865C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4">
    <w:nsid w:val="7D2549A5"/>
    <w:multiLevelType w:val="hybridMultilevel"/>
    <w:tmpl w:val="12102DE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2"/>
  </w:num>
  <w:num w:numId="4">
    <w:abstractNumId w:val="14"/>
  </w:num>
  <w:num w:numId="5">
    <w:abstractNumId w:val="24"/>
  </w:num>
  <w:num w:numId="6">
    <w:abstractNumId w:val="1"/>
  </w:num>
  <w:num w:numId="7">
    <w:abstractNumId w:val="9"/>
  </w:num>
  <w:num w:numId="8">
    <w:abstractNumId w:val="21"/>
  </w:num>
  <w:num w:numId="9">
    <w:abstractNumId w:val="6"/>
  </w:num>
  <w:num w:numId="10">
    <w:abstractNumId w:val="32"/>
  </w:num>
  <w:num w:numId="11">
    <w:abstractNumId w:val="28"/>
  </w:num>
  <w:num w:numId="12">
    <w:abstractNumId w:val="18"/>
  </w:num>
  <w:num w:numId="13">
    <w:abstractNumId w:val="27"/>
  </w:num>
  <w:num w:numId="14">
    <w:abstractNumId w:val="20"/>
  </w:num>
  <w:num w:numId="15">
    <w:abstractNumId w:val="33"/>
  </w:num>
  <w:num w:numId="16">
    <w:abstractNumId w:val="13"/>
  </w:num>
  <w:num w:numId="17">
    <w:abstractNumId w:val="22"/>
  </w:num>
  <w:num w:numId="18">
    <w:abstractNumId w:val="16"/>
  </w:num>
  <w:num w:numId="19">
    <w:abstractNumId w:val="35"/>
  </w:num>
  <w:num w:numId="20">
    <w:abstractNumId w:val="0"/>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9"/>
  </w:num>
  <w:num w:numId="25">
    <w:abstractNumId w:val="21"/>
  </w:num>
  <w:num w:numId="26">
    <w:abstractNumId w:val="14"/>
  </w:num>
  <w:num w:numId="27">
    <w:abstractNumId w:val="11"/>
  </w:num>
  <w:num w:numId="28">
    <w:abstractNumId w:val="29"/>
  </w:num>
  <w:num w:numId="29">
    <w:abstractNumId w:val="26"/>
  </w:num>
  <w:num w:numId="30">
    <w:abstractNumId w:val="25"/>
  </w:num>
  <w:num w:numId="31">
    <w:abstractNumId w:val="7"/>
  </w:num>
  <w:num w:numId="32">
    <w:abstractNumId w:val="31"/>
  </w:num>
  <w:num w:numId="33">
    <w:abstractNumId w:val="10"/>
  </w:num>
  <w:num w:numId="34">
    <w:abstractNumId w:val="19"/>
  </w:num>
  <w:num w:numId="35">
    <w:abstractNumId w:val="12"/>
  </w:num>
  <w:num w:numId="36">
    <w:abstractNumId w:val="34"/>
  </w:num>
  <w:num w:numId="37">
    <w:abstractNumId w:val="23"/>
  </w:num>
  <w:num w:numId="38">
    <w:abstractNumId w:val="30"/>
  </w:num>
  <w:num w:numId="39">
    <w:abstractNumId w:val="3"/>
  </w:num>
  <w:num w:numId="40">
    <w:abstractNumId w:val="4"/>
  </w:num>
  <w:num w:numId="4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0003"/>
    <w:rsid w:val="0002632E"/>
    <w:rsid w:val="00027E10"/>
    <w:rsid w:val="0005184D"/>
    <w:rsid w:val="00052693"/>
    <w:rsid w:val="0007442D"/>
    <w:rsid w:val="00086ABD"/>
    <w:rsid w:val="00096E70"/>
    <w:rsid w:val="000B2412"/>
    <w:rsid w:val="000C2C44"/>
    <w:rsid w:val="000D4A84"/>
    <w:rsid w:val="000D74F9"/>
    <w:rsid w:val="000E3D3E"/>
    <w:rsid w:val="000E3E9A"/>
    <w:rsid w:val="00111D50"/>
    <w:rsid w:val="001564B6"/>
    <w:rsid w:val="00163179"/>
    <w:rsid w:val="001635F5"/>
    <w:rsid w:val="001738CC"/>
    <w:rsid w:val="001A1767"/>
    <w:rsid w:val="001B0097"/>
    <w:rsid w:val="001C1193"/>
    <w:rsid w:val="001C1E4D"/>
    <w:rsid w:val="001C5026"/>
    <w:rsid w:val="001F2D8D"/>
    <w:rsid w:val="001F52A9"/>
    <w:rsid w:val="00211D17"/>
    <w:rsid w:val="002258E3"/>
    <w:rsid w:val="002327A5"/>
    <w:rsid w:val="00232D9A"/>
    <w:rsid w:val="00236906"/>
    <w:rsid w:val="00236A02"/>
    <w:rsid w:val="002420C3"/>
    <w:rsid w:val="0025319C"/>
    <w:rsid w:val="002818D0"/>
    <w:rsid w:val="00281CEF"/>
    <w:rsid w:val="00292589"/>
    <w:rsid w:val="002B09F1"/>
    <w:rsid w:val="002B73D6"/>
    <w:rsid w:val="002C0BCF"/>
    <w:rsid w:val="002D61F5"/>
    <w:rsid w:val="002D762A"/>
    <w:rsid w:val="002F1749"/>
    <w:rsid w:val="002F20C9"/>
    <w:rsid w:val="00323542"/>
    <w:rsid w:val="00350FD0"/>
    <w:rsid w:val="00361F07"/>
    <w:rsid w:val="00364589"/>
    <w:rsid w:val="00370616"/>
    <w:rsid w:val="00371B50"/>
    <w:rsid w:val="00373BA5"/>
    <w:rsid w:val="003A7680"/>
    <w:rsid w:val="003B290A"/>
    <w:rsid w:val="003B59D3"/>
    <w:rsid w:val="003B6F84"/>
    <w:rsid w:val="003D24BB"/>
    <w:rsid w:val="003D6679"/>
    <w:rsid w:val="003D6F13"/>
    <w:rsid w:val="003E30EC"/>
    <w:rsid w:val="003E68D8"/>
    <w:rsid w:val="003F4825"/>
    <w:rsid w:val="00432B70"/>
    <w:rsid w:val="00436537"/>
    <w:rsid w:val="00437FD4"/>
    <w:rsid w:val="00441EDC"/>
    <w:rsid w:val="00457E0A"/>
    <w:rsid w:val="00460FC0"/>
    <w:rsid w:val="004826EF"/>
    <w:rsid w:val="00492F98"/>
    <w:rsid w:val="004A394A"/>
    <w:rsid w:val="004B1BA4"/>
    <w:rsid w:val="004B5B75"/>
    <w:rsid w:val="004C322B"/>
    <w:rsid w:val="004C4AD6"/>
    <w:rsid w:val="004D307D"/>
    <w:rsid w:val="004F6777"/>
    <w:rsid w:val="00500171"/>
    <w:rsid w:val="0050564C"/>
    <w:rsid w:val="005133F8"/>
    <w:rsid w:val="00513BF2"/>
    <w:rsid w:val="00530AD4"/>
    <w:rsid w:val="00530FEA"/>
    <w:rsid w:val="00532476"/>
    <w:rsid w:val="00534013"/>
    <w:rsid w:val="005608E7"/>
    <w:rsid w:val="0058000D"/>
    <w:rsid w:val="005B6B29"/>
    <w:rsid w:val="005C6F1C"/>
    <w:rsid w:val="005F0283"/>
    <w:rsid w:val="005F3C9B"/>
    <w:rsid w:val="005F4B52"/>
    <w:rsid w:val="0062336D"/>
    <w:rsid w:val="0063770B"/>
    <w:rsid w:val="006410AE"/>
    <w:rsid w:val="00641572"/>
    <w:rsid w:val="00661C74"/>
    <w:rsid w:val="00680885"/>
    <w:rsid w:val="006842AB"/>
    <w:rsid w:val="00696E6A"/>
    <w:rsid w:val="006A4380"/>
    <w:rsid w:val="006C334B"/>
    <w:rsid w:val="007033F7"/>
    <w:rsid w:val="007348D9"/>
    <w:rsid w:val="00753EBE"/>
    <w:rsid w:val="00762936"/>
    <w:rsid w:val="0076408F"/>
    <w:rsid w:val="00767749"/>
    <w:rsid w:val="00770EEA"/>
    <w:rsid w:val="0079008F"/>
    <w:rsid w:val="007A2153"/>
    <w:rsid w:val="007A35F6"/>
    <w:rsid w:val="007A623E"/>
    <w:rsid w:val="007B053A"/>
    <w:rsid w:val="007C5F79"/>
    <w:rsid w:val="007D16A4"/>
    <w:rsid w:val="007D2AA9"/>
    <w:rsid w:val="007E0DEE"/>
    <w:rsid w:val="007F0729"/>
    <w:rsid w:val="007F2339"/>
    <w:rsid w:val="008053B7"/>
    <w:rsid w:val="00805A3A"/>
    <w:rsid w:val="008105B2"/>
    <w:rsid w:val="008137E7"/>
    <w:rsid w:val="00815D92"/>
    <w:rsid w:val="00824C6B"/>
    <w:rsid w:val="00825812"/>
    <w:rsid w:val="0083568C"/>
    <w:rsid w:val="00856B69"/>
    <w:rsid w:val="00863F77"/>
    <w:rsid w:val="00865907"/>
    <w:rsid w:val="008829D8"/>
    <w:rsid w:val="00883C0A"/>
    <w:rsid w:val="008A1C67"/>
    <w:rsid w:val="008B7142"/>
    <w:rsid w:val="008C1347"/>
    <w:rsid w:val="008E2AE4"/>
    <w:rsid w:val="008E4926"/>
    <w:rsid w:val="008E7AA0"/>
    <w:rsid w:val="008F41EC"/>
    <w:rsid w:val="008F4F49"/>
    <w:rsid w:val="00916ACE"/>
    <w:rsid w:val="009318B8"/>
    <w:rsid w:val="009563E8"/>
    <w:rsid w:val="0098318B"/>
    <w:rsid w:val="009A5026"/>
    <w:rsid w:val="009A785D"/>
    <w:rsid w:val="009B091D"/>
    <w:rsid w:val="009B10F7"/>
    <w:rsid w:val="009C09D8"/>
    <w:rsid w:val="009C5DC1"/>
    <w:rsid w:val="009D7CB0"/>
    <w:rsid w:val="009E1E59"/>
    <w:rsid w:val="00A03C34"/>
    <w:rsid w:val="00A077C6"/>
    <w:rsid w:val="00A11AC1"/>
    <w:rsid w:val="00A30557"/>
    <w:rsid w:val="00A44D74"/>
    <w:rsid w:val="00A472F6"/>
    <w:rsid w:val="00A53678"/>
    <w:rsid w:val="00AB6B44"/>
    <w:rsid w:val="00AD2901"/>
    <w:rsid w:val="00AE591E"/>
    <w:rsid w:val="00AE7557"/>
    <w:rsid w:val="00AF71FB"/>
    <w:rsid w:val="00B033CD"/>
    <w:rsid w:val="00B13423"/>
    <w:rsid w:val="00B218CC"/>
    <w:rsid w:val="00B47D53"/>
    <w:rsid w:val="00B50567"/>
    <w:rsid w:val="00BA09BC"/>
    <w:rsid w:val="00BA2589"/>
    <w:rsid w:val="00BD35F2"/>
    <w:rsid w:val="00BF14CF"/>
    <w:rsid w:val="00BF4CFA"/>
    <w:rsid w:val="00C235C2"/>
    <w:rsid w:val="00C35316"/>
    <w:rsid w:val="00C3741F"/>
    <w:rsid w:val="00C67C9D"/>
    <w:rsid w:val="00CA663B"/>
    <w:rsid w:val="00CD3FD9"/>
    <w:rsid w:val="00CD5CD2"/>
    <w:rsid w:val="00CE4ECE"/>
    <w:rsid w:val="00CF0E45"/>
    <w:rsid w:val="00D00DC6"/>
    <w:rsid w:val="00D139EF"/>
    <w:rsid w:val="00D17551"/>
    <w:rsid w:val="00D20E28"/>
    <w:rsid w:val="00D254A3"/>
    <w:rsid w:val="00D27E92"/>
    <w:rsid w:val="00D30DD8"/>
    <w:rsid w:val="00D34193"/>
    <w:rsid w:val="00D34A31"/>
    <w:rsid w:val="00D732C7"/>
    <w:rsid w:val="00D744D3"/>
    <w:rsid w:val="00D83222"/>
    <w:rsid w:val="00D91889"/>
    <w:rsid w:val="00D9435D"/>
    <w:rsid w:val="00D952F2"/>
    <w:rsid w:val="00D9563B"/>
    <w:rsid w:val="00DC5960"/>
    <w:rsid w:val="00DF6C7F"/>
    <w:rsid w:val="00E01C99"/>
    <w:rsid w:val="00E11B99"/>
    <w:rsid w:val="00E1686A"/>
    <w:rsid w:val="00E37109"/>
    <w:rsid w:val="00E54B4C"/>
    <w:rsid w:val="00E86411"/>
    <w:rsid w:val="00E9158F"/>
    <w:rsid w:val="00EA06D2"/>
    <w:rsid w:val="00EA6F8C"/>
    <w:rsid w:val="00EB5F5D"/>
    <w:rsid w:val="00EC5704"/>
    <w:rsid w:val="00EE3DBB"/>
    <w:rsid w:val="00EE6083"/>
    <w:rsid w:val="00F54563"/>
    <w:rsid w:val="00F577A7"/>
    <w:rsid w:val="00F63D60"/>
    <w:rsid w:val="00F81B65"/>
    <w:rsid w:val="00F85BA5"/>
    <w:rsid w:val="00F87D4C"/>
    <w:rsid w:val="00FB2BC5"/>
    <w:rsid w:val="00FD688B"/>
    <w:rsid w:val="00FE5EA1"/>
    <w:rsid w:val="00FE72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1738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8CC"/>
    <w:rPr>
      <w:sz w:val="20"/>
      <w:szCs w:val="20"/>
    </w:rPr>
  </w:style>
  <w:style w:type="character" w:styleId="FootnoteReference">
    <w:name w:val="footnote reference"/>
    <w:basedOn w:val="DefaultParagraphFont"/>
    <w:uiPriority w:val="99"/>
    <w:semiHidden/>
    <w:unhideWhenUsed/>
    <w:rsid w:val="001738CC"/>
    <w:rPr>
      <w:vertAlign w:val="superscript"/>
    </w:rPr>
  </w:style>
  <w:style w:type="paragraph" w:styleId="Caption">
    <w:name w:val="caption"/>
    <w:basedOn w:val="Normal"/>
    <w:next w:val="Normal"/>
    <w:uiPriority w:val="35"/>
    <w:unhideWhenUsed/>
    <w:qFormat/>
    <w:rsid w:val="001A176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1738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8CC"/>
    <w:rPr>
      <w:sz w:val="20"/>
      <w:szCs w:val="20"/>
    </w:rPr>
  </w:style>
  <w:style w:type="character" w:styleId="FootnoteReference">
    <w:name w:val="footnote reference"/>
    <w:basedOn w:val="DefaultParagraphFont"/>
    <w:uiPriority w:val="99"/>
    <w:semiHidden/>
    <w:unhideWhenUsed/>
    <w:rsid w:val="001738CC"/>
    <w:rPr>
      <w:vertAlign w:val="superscript"/>
    </w:rPr>
  </w:style>
  <w:style w:type="paragraph" w:styleId="Caption">
    <w:name w:val="caption"/>
    <w:basedOn w:val="Normal"/>
    <w:next w:val="Normal"/>
    <w:uiPriority w:val="35"/>
    <w:unhideWhenUsed/>
    <w:qFormat/>
    <w:rsid w:val="001A176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6927">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07682006">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12187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D479E81-45D2-4CCC-A78A-730AE4D30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2016-07-31T18:21:00Z</cp:lastPrinted>
  <dcterms:created xsi:type="dcterms:W3CDTF">2016-08-25T14:10:00Z</dcterms:created>
  <dcterms:modified xsi:type="dcterms:W3CDTF">2016-08-25T14:10:00Z</dcterms:modified>
</cp:coreProperties>
</file>