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EA6F8C" w:rsidRPr="00EA6F8C" w:rsidTr="000B2412">
        <w:trPr>
          <w:trHeight w:val="600"/>
          <w:jc w:val="center"/>
        </w:trPr>
        <w:tc>
          <w:tcPr>
            <w:tcW w:w="3220" w:type="dxa"/>
            <w:vMerge w:val="restart"/>
            <w:tcBorders>
              <w:top w:val="nil"/>
              <w:left w:val="single" w:sz="4" w:space="0" w:color="auto"/>
              <w:right w:val="single" w:sz="4" w:space="0" w:color="auto"/>
            </w:tcBorders>
            <w:shd w:val="clear" w:color="000000" w:fill="DDD9C4"/>
            <w:hideMark/>
          </w:tcPr>
          <w:p w:rsidR="00EA6F8C" w:rsidRPr="00EA6F8C" w:rsidRDefault="00EA6F8C" w:rsidP="00EA6F8C">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1. Interrupt wild poliovirus transmission</w:t>
            </w:r>
          </w:p>
        </w:tc>
        <w:tc>
          <w:tcPr>
            <w:tcW w:w="3777" w:type="dxa"/>
            <w:tcBorders>
              <w:top w:val="nil"/>
              <w:left w:val="nil"/>
              <w:bottom w:val="single" w:sz="4" w:space="0" w:color="auto"/>
              <w:right w:val="single" w:sz="4" w:space="0" w:color="auto"/>
            </w:tcBorders>
            <w:shd w:val="clear" w:color="000000" w:fill="DDD9C4"/>
            <w:vAlign w:val="center"/>
            <w:hideMark/>
          </w:tcPr>
          <w:p w:rsidR="00EA6F8C" w:rsidRPr="00EA6F8C" w:rsidRDefault="00EA6F8C"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Transmission Interrupted</w:t>
            </w:r>
          </w:p>
        </w:tc>
        <w:tc>
          <w:tcPr>
            <w:tcW w:w="2520" w:type="dxa"/>
            <w:tcBorders>
              <w:top w:val="nil"/>
              <w:left w:val="nil"/>
              <w:bottom w:val="single" w:sz="4" w:space="0" w:color="auto"/>
              <w:right w:val="single" w:sz="4" w:space="0" w:color="auto"/>
            </w:tcBorders>
            <w:shd w:val="clear" w:color="auto" w:fill="FF0000"/>
            <w:vAlign w:val="center"/>
            <w:hideMark/>
          </w:tcPr>
          <w:p w:rsidR="00EA6F8C" w:rsidRPr="00EA6F8C" w:rsidRDefault="00C3741F" w:rsidP="00C3741F">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No</w:t>
            </w:r>
            <w:r w:rsidR="00EA6F8C">
              <w:rPr>
                <w:rFonts w:ascii="Calibri" w:eastAsia="Times New Roman" w:hAnsi="Calibri" w:cs="Calibri"/>
                <w:b/>
                <w:bCs/>
                <w:color w:val="000000"/>
                <w:lang w:val="en-US" w:eastAsia="en-GB"/>
              </w:rPr>
              <w:t>, 2 new WPV cases detected in 2016</w:t>
            </w:r>
          </w:p>
        </w:tc>
      </w:tr>
      <w:tr w:rsidR="00EA6F8C" w:rsidRPr="00EA6F8C" w:rsidTr="00A03C34">
        <w:trPr>
          <w:trHeight w:val="900"/>
          <w:jc w:val="center"/>
        </w:trPr>
        <w:tc>
          <w:tcPr>
            <w:tcW w:w="3220" w:type="dxa"/>
            <w:vMerge/>
            <w:tcBorders>
              <w:left w:val="single" w:sz="4" w:space="0" w:color="auto"/>
              <w:right w:val="single" w:sz="4" w:space="0" w:color="auto"/>
            </w:tcBorders>
            <w:shd w:val="clear" w:color="000000" w:fill="DDD9C4"/>
            <w:vAlign w:val="center"/>
          </w:tcPr>
          <w:p w:rsidR="00EA6F8C" w:rsidRPr="00EA6F8C" w:rsidRDefault="00EA6F8C"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DDD9C4"/>
            <w:vAlign w:val="center"/>
            <w:hideMark/>
          </w:tcPr>
          <w:p w:rsidR="00EA6F8C" w:rsidRPr="00EA6F8C" w:rsidRDefault="00EA6F8C" w:rsidP="00EA6F8C">
            <w:pPr>
              <w:spacing w:after="0" w:line="240" w:lineRule="auto"/>
              <w:rPr>
                <w:rFonts w:ascii="Calibri" w:eastAsia="Times New Roman" w:hAnsi="Calibri" w:cs="Calibri"/>
                <w:b/>
                <w:bCs/>
                <w:lang w:val="en-US" w:eastAsia="en-GB"/>
              </w:rPr>
            </w:pPr>
            <w:r w:rsidRPr="00EA6F8C">
              <w:rPr>
                <w:rFonts w:ascii="Calibri" w:eastAsia="Times New Roman" w:hAnsi="Calibri" w:cs="Calibri"/>
                <w:b/>
                <w:bCs/>
                <w:lang w:val="en-US" w:eastAsia="en-GB"/>
              </w:rPr>
              <w:t>Risk of late detection</w:t>
            </w:r>
            <w:r>
              <w:rPr>
                <w:rFonts w:ascii="Calibri" w:eastAsia="Times New Roman" w:hAnsi="Calibri" w:cs="Calibri"/>
                <w:b/>
                <w:bCs/>
                <w:lang w:val="en-US" w:eastAsia="en-GB"/>
              </w:rPr>
              <w:t>:</w:t>
            </w:r>
            <w:r w:rsidRPr="00EA6F8C">
              <w:rPr>
                <w:rFonts w:ascii="Calibri" w:eastAsia="Times New Roman" w:hAnsi="Calibri" w:cs="Calibri"/>
                <w:b/>
                <w:bCs/>
                <w:lang w:val="en-US" w:eastAsia="en-GB"/>
              </w:rPr>
              <w:br/>
              <w:t xml:space="preserve">Percent of adequate stool specimens (Rolling 12m) </w:t>
            </w:r>
            <w:r>
              <w:rPr>
                <w:rFonts w:ascii="Calibri" w:eastAsia="Times New Roman" w:hAnsi="Calibri" w:cs="Calibri"/>
                <w:b/>
                <w:bCs/>
                <w:lang w:val="en-US" w:eastAsia="en-GB"/>
              </w:rPr>
              <w:t>(t</w:t>
            </w:r>
            <w:r w:rsidRPr="00EA6F8C">
              <w:rPr>
                <w:rFonts w:ascii="Calibri" w:eastAsia="Times New Roman" w:hAnsi="Calibri" w:cs="Calibri"/>
                <w:b/>
                <w:bCs/>
                <w:lang w:val="en-US" w:eastAsia="en-GB"/>
              </w:rPr>
              <w:t>arget &gt; 80%</w:t>
            </w:r>
            <w:r>
              <w:rPr>
                <w:rFonts w:ascii="Calibri" w:eastAsia="Times New Roman" w:hAnsi="Calibri" w:cs="Calibri"/>
                <w:b/>
                <w:bCs/>
                <w:lang w:val="en-US" w:eastAsia="en-GB"/>
              </w:rPr>
              <w:t>)</w:t>
            </w:r>
          </w:p>
        </w:tc>
        <w:tc>
          <w:tcPr>
            <w:tcW w:w="2520" w:type="dxa"/>
            <w:tcBorders>
              <w:top w:val="nil"/>
              <w:left w:val="nil"/>
              <w:bottom w:val="single" w:sz="4" w:space="0" w:color="auto"/>
              <w:right w:val="single" w:sz="4" w:space="0" w:color="auto"/>
            </w:tcBorders>
            <w:shd w:val="clear" w:color="000000" w:fill="00B050"/>
            <w:vAlign w:val="center"/>
            <w:hideMark/>
          </w:tcPr>
          <w:p w:rsidR="00EA6F8C" w:rsidRPr="00EA6F8C" w:rsidRDefault="00EA6F8C"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99.1</w:t>
            </w:r>
          </w:p>
        </w:tc>
      </w:tr>
      <w:tr w:rsidR="00EA6F8C" w:rsidRPr="00EA6F8C" w:rsidTr="00A03C34">
        <w:trPr>
          <w:trHeight w:val="900"/>
          <w:jc w:val="center"/>
        </w:trPr>
        <w:tc>
          <w:tcPr>
            <w:tcW w:w="3220" w:type="dxa"/>
            <w:vMerge/>
            <w:tcBorders>
              <w:left w:val="single" w:sz="4" w:space="0" w:color="auto"/>
              <w:right w:val="single" w:sz="4" w:space="0" w:color="auto"/>
            </w:tcBorders>
            <w:shd w:val="clear" w:color="000000" w:fill="DDD9C4"/>
            <w:vAlign w:val="center"/>
          </w:tcPr>
          <w:p w:rsidR="00EA6F8C" w:rsidRPr="00EA6F8C" w:rsidRDefault="00EA6F8C"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DDD9C4"/>
            <w:vAlign w:val="center"/>
            <w:hideMark/>
          </w:tcPr>
          <w:p w:rsidR="00EA6F8C" w:rsidRPr="00EA6F8C" w:rsidRDefault="00EA6F8C" w:rsidP="00EA6F8C">
            <w:pPr>
              <w:spacing w:after="0" w:line="240" w:lineRule="auto"/>
              <w:rPr>
                <w:rFonts w:ascii="Calibri" w:eastAsia="Times New Roman" w:hAnsi="Calibri" w:cs="Calibri"/>
                <w:b/>
                <w:bCs/>
                <w:lang w:val="en-US" w:eastAsia="en-GB"/>
              </w:rPr>
            </w:pPr>
            <w:r w:rsidRPr="00EA6F8C">
              <w:rPr>
                <w:rFonts w:ascii="Calibri" w:eastAsia="Times New Roman" w:hAnsi="Calibri" w:cs="Calibri"/>
                <w:b/>
                <w:bCs/>
                <w:lang w:val="en-US" w:eastAsia="en-GB"/>
              </w:rPr>
              <w:t>Risk of late detection</w:t>
            </w:r>
            <w:r>
              <w:rPr>
                <w:rFonts w:ascii="Calibri" w:eastAsia="Times New Roman" w:hAnsi="Calibri" w:cs="Calibri"/>
                <w:b/>
                <w:bCs/>
                <w:lang w:val="en-US" w:eastAsia="en-GB"/>
              </w:rPr>
              <w:t>:</w:t>
            </w:r>
            <w:r w:rsidRPr="00EA6F8C">
              <w:rPr>
                <w:rFonts w:ascii="Calibri" w:eastAsia="Times New Roman" w:hAnsi="Calibri" w:cs="Calibri"/>
                <w:b/>
                <w:bCs/>
                <w:lang w:val="en-US" w:eastAsia="en-GB"/>
              </w:rPr>
              <w:br/>
              <w:t xml:space="preserve">Non polio AFP rate (Rolling 12m ) </w:t>
            </w:r>
            <w:r w:rsidRPr="00EA6F8C">
              <w:rPr>
                <w:rFonts w:ascii="Calibri" w:eastAsia="Times New Roman" w:hAnsi="Calibri" w:cs="Calibri"/>
                <w:b/>
                <w:bCs/>
                <w:lang w:val="en-US" w:eastAsia="en-GB"/>
              </w:rPr>
              <w:br/>
            </w:r>
            <w:r>
              <w:rPr>
                <w:rFonts w:ascii="Calibri" w:eastAsia="Times New Roman" w:hAnsi="Calibri" w:cs="Calibri"/>
                <w:b/>
                <w:bCs/>
                <w:lang w:val="en-US" w:eastAsia="en-GB"/>
              </w:rPr>
              <w:t>(t</w:t>
            </w:r>
            <w:r w:rsidRPr="00EA6F8C">
              <w:rPr>
                <w:rFonts w:ascii="Calibri" w:eastAsia="Times New Roman" w:hAnsi="Calibri" w:cs="Calibri"/>
                <w:b/>
                <w:bCs/>
                <w:lang w:val="en-US" w:eastAsia="en-GB"/>
              </w:rPr>
              <w:t>arget &gt; 2</w:t>
            </w:r>
            <w:r>
              <w:rPr>
                <w:rFonts w:ascii="Calibri" w:eastAsia="Times New Roman" w:hAnsi="Calibri" w:cs="Calibri"/>
                <w:b/>
                <w:bCs/>
                <w:lang w:val="en-US" w:eastAsia="en-GB"/>
              </w:rPr>
              <w:t>/100,000)</w:t>
            </w:r>
          </w:p>
        </w:tc>
        <w:tc>
          <w:tcPr>
            <w:tcW w:w="2520" w:type="dxa"/>
            <w:tcBorders>
              <w:top w:val="nil"/>
              <w:left w:val="nil"/>
              <w:bottom w:val="single" w:sz="4" w:space="0" w:color="auto"/>
              <w:right w:val="single" w:sz="4" w:space="0" w:color="auto"/>
            </w:tcBorders>
            <w:shd w:val="clear" w:color="000000" w:fill="00B050"/>
            <w:vAlign w:val="center"/>
            <w:hideMark/>
          </w:tcPr>
          <w:p w:rsidR="00EA6F8C" w:rsidRPr="00EA6F8C" w:rsidRDefault="00EA6F8C"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18</w:t>
            </w:r>
            <w:r>
              <w:rPr>
                <w:rFonts w:ascii="Calibri" w:eastAsia="Times New Roman" w:hAnsi="Calibri" w:cs="Calibri"/>
                <w:b/>
                <w:bCs/>
                <w:color w:val="000000"/>
                <w:lang w:val="en-US" w:eastAsia="en-GB"/>
              </w:rPr>
              <w:t>/100,000</w:t>
            </w:r>
          </w:p>
        </w:tc>
      </w:tr>
      <w:tr w:rsidR="00EA6F8C" w:rsidRPr="00EA6F8C" w:rsidTr="00A03C34">
        <w:trPr>
          <w:trHeight w:val="1385"/>
          <w:jc w:val="center"/>
        </w:trPr>
        <w:tc>
          <w:tcPr>
            <w:tcW w:w="3220" w:type="dxa"/>
            <w:vMerge/>
            <w:tcBorders>
              <w:left w:val="single" w:sz="4" w:space="0" w:color="auto"/>
              <w:bottom w:val="single" w:sz="4" w:space="0" w:color="auto"/>
              <w:right w:val="single" w:sz="4" w:space="0" w:color="auto"/>
            </w:tcBorders>
            <w:shd w:val="clear" w:color="000000" w:fill="DDD9C4"/>
            <w:vAlign w:val="center"/>
          </w:tcPr>
          <w:p w:rsidR="00EA6F8C" w:rsidRPr="00EA6F8C" w:rsidRDefault="00EA6F8C"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DDD9C4"/>
            <w:vAlign w:val="center"/>
            <w:hideMark/>
          </w:tcPr>
          <w:p w:rsidR="00EA6F8C" w:rsidRPr="00EA6F8C" w:rsidRDefault="00EA6F8C" w:rsidP="00EA6F8C">
            <w:pPr>
              <w:spacing w:after="0" w:line="240" w:lineRule="auto"/>
              <w:rPr>
                <w:rFonts w:ascii="Calibri" w:eastAsia="Times New Roman" w:hAnsi="Calibri" w:cs="Calibri"/>
                <w:b/>
                <w:bCs/>
                <w:lang w:val="en-US" w:eastAsia="en-GB"/>
              </w:rPr>
            </w:pPr>
            <w:r w:rsidRPr="00EA6F8C">
              <w:rPr>
                <w:rFonts w:ascii="Calibri" w:eastAsia="Times New Roman" w:hAnsi="Calibri" w:cs="Calibri"/>
                <w:b/>
                <w:bCs/>
                <w:lang w:val="en-US" w:eastAsia="en-GB"/>
              </w:rPr>
              <w:t>Risk of spread after importation</w:t>
            </w:r>
            <w:r>
              <w:rPr>
                <w:rFonts w:ascii="Calibri" w:eastAsia="Times New Roman" w:hAnsi="Calibri" w:cs="Calibri"/>
                <w:b/>
                <w:bCs/>
                <w:lang w:val="en-US" w:eastAsia="en-GB"/>
              </w:rPr>
              <w:t>:</w:t>
            </w:r>
            <w:r w:rsidRPr="00EA6F8C">
              <w:rPr>
                <w:rFonts w:ascii="Calibri" w:eastAsia="Times New Roman" w:hAnsi="Calibri" w:cs="Calibri"/>
                <w:b/>
                <w:bCs/>
                <w:lang w:val="en-US" w:eastAsia="en-GB"/>
              </w:rPr>
              <w:t xml:space="preserve"> </w:t>
            </w:r>
            <w:r w:rsidRPr="00EA6F8C">
              <w:rPr>
                <w:rFonts w:ascii="Calibri" w:eastAsia="Times New Roman" w:hAnsi="Calibri" w:cs="Calibri"/>
                <w:b/>
                <w:bCs/>
                <w:lang w:val="en-US" w:eastAsia="en-GB"/>
              </w:rPr>
              <w:br/>
              <w:t>% of 6-59</w:t>
            </w:r>
            <w:r>
              <w:rPr>
                <w:rFonts w:ascii="Calibri" w:eastAsia="Times New Roman" w:hAnsi="Calibri" w:cs="Calibri"/>
                <w:b/>
                <w:bCs/>
                <w:lang w:val="en-US" w:eastAsia="en-GB"/>
              </w:rPr>
              <w:t xml:space="preserve"> month olds </w:t>
            </w:r>
            <w:r w:rsidRPr="00EA6F8C">
              <w:rPr>
                <w:rFonts w:ascii="Calibri" w:eastAsia="Times New Roman" w:hAnsi="Calibri" w:cs="Calibri"/>
                <w:b/>
                <w:bCs/>
                <w:lang w:val="en-US" w:eastAsia="en-GB"/>
              </w:rPr>
              <w:t>having received less than 3 doses in the last year before occurrence case/environmental positive)</w:t>
            </w:r>
          </w:p>
        </w:tc>
        <w:tc>
          <w:tcPr>
            <w:tcW w:w="2520" w:type="dxa"/>
            <w:tcBorders>
              <w:top w:val="nil"/>
              <w:left w:val="nil"/>
              <w:bottom w:val="single" w:sz="4" w:space="0" w:color="auto"/>
              <w:right w:val="single" w:sz="4" w:space="0" w:color="auto"/>
            </w:tcBorders>
            <w:shd w:val="clear" w:color="000000" w:fill="00B050"/>
            <w:vAlign w:val="center"/>
            <w:hideMark/>
          </w:tcPr>
          <w:p w:rsidR="00EA6F8C" w:rsidRPr="00EA6F8C" w:rsidRDefault="00EA6F8C"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2</w:t>
            </w:r>
            <w:r>
              <w:rPr>
                <w:rFonts w:ascii="Calibri" w:eastAsia="Times New Roman" w:hAnsi="Calibri" w:cs="Calibri"/>
                <w:b/>
                <w:bCs/>
                <w:color w:val="000000"/>
                <w:lang w:val="en-US" w:eastAsia="en-GB"/>
              </w:rPr>
              <w:t>%</w:t>
            </w:r>
          </w:p>
        </w:tc>
      </w:tr>
    </w:tbl>
    <w:p w:rsidR="00CA663B" w:rsidRPr="00236906" w:rsidRDefault="00CA663B" w:rsidP="00236906">
      <w:pPr>
        <w:pStyle w:val="ListParagraph"/>
        <w:numPr>
          <w:ilvl w:val="0"/>
          <w:numId w:val="1"/>
        </w:numPr>
        <w:contextualSpacing w:val="0"/>
        <w:rPr>
          <w:rFonts w:ascii="Arial" w:hAnsi="Arial" w:cs="Arial"/>
          <w:b/>
          <w:sz w:val="24"/>
          <w:szCs w:val="24"/>
          <w:lang w:val="en-US"/>
        </w:rPr>
      </w:pPr>
      <w:r w:rsidRPr="00236906">
        <w:rPr>
          <w:rFonts w:ascii="Arial" w:hAnsi="Arial" w:cs="Arial"/>
          <w:b/>
          <w:sz w:val="24"/>
          <w:szCs w:val="24"/>
          <w:lang w:val="en-US"/>
        </w:rPr>
        <w:t>Progress towards specific GVAP goals (issues/challenges/successes)</w:t>
      </w:r>
    </w:p>
    <w:p w:rsidR="00236906" w:rsidRDefault="00CA663B" w:rsidP="00236906">
      <w:pPr>
        <w:rPr>
          <w:rFonts w:ascii="Arial" w:hAnsi="Arial" w:cs="Arial"/>
          <w:b/>
          <w:lang w:val="en-US"/>
        </w:rPr>
      </w:pPr>
      <w:r w:rsidRPr="00EA6F8C">
        <w:rPr>
          <w:rFonts w:ascii="Arial" w:hAnsi="Arial" w:cs="Arial"/>
          <w:b/>
          <w:lang w:val="en-US"/>
        </w:rPr>
        <w:t xml:space="preserve">3.1 Goal </w:t>
      </w:r>
      <w:r w:rsidR="00236906">
        <w:rPr>
          <w:rFonts w:ascii="Arial" w:hAnsi="Arial" w:cs="Arial"/>
          <w:b/>
          <w:lang w:val="en-US"/>
        </w:rPr>
        <w:t>1: Achieve a world free of p</w:t>
      </w:r>
      <w:r w:rsidR="00236906" w:rsidRPr="00EA6F8C">
        <w:rPr>
          <w:rFonts w:ascii="Arial" w:hAnsi="Arial" w:cs="Arial"/>
          <w:b/>
          <w:lang w:val="en-US"/>
        </w:rPr>
        <w:t>oliomyelitis</w:t>
      </w:r>
    </w:p>
    <w:p w:rsidR="00236906" w:rsidRPr="009D7CB0" w:rsidRDefault="009D7CB0" w:rsidP="00236906">
      <w:pPr>
        <w:rPr>
          <w:rFonts w:ascii="Arial" w:hAnsi="Arial" w:cs="Arial"/>
          <w:u w:val="single"/>
          <w:lang w:val="en-US"/>
        </w:rPr>
      </w:pPr>
      <w:r w:rsidRPr="009D7CB0">
        <w:rPr>
          <w:rFonts w:ascii="Arial" w:hAnsi="Arial" w:cs="Arial"/>
          <w:u w:val="single"/>
          <w:lang w:val="en-US"/>
        </w:rPr>
        <w:t>Has Nigeria interrupted polio transmission?</w:t>
      </w:r>
    </w:p>
    <w:p w:rsidR="009D7CB0" w:rsidRDefault="009D7CB0" w:rsidP="00236906">
      <w:pPr>
        <w:rPr>
          <w:rFonts w:ascii="Arial" w:hAnsi="Arial" w:cs="Arial"/>
          <w:lang w:val="en-US"/>
        </w:rPr>
      </w:pPr>
      <w:r>
        <w:rPr>
          <w:rFonts w:ascii="Arial" w:hAnsi="Arial" w:cs="Arial"/>
          <w:lang w:val="en-US"/>
        </w:rPr>
        <w:t xml:space="preserve">Official data from the country’s extensive AFP/polio surveillance system showed that transmission of wild polio virus (WPV) had been interrupted by the first quarter of 2015 – </w:t>
      </w:r>
      <w:r>
        <w:rPr>
          <w:rFonts w:ascii="Arial" w:hAnsi="Arial" w:cs="Arial"/>
          <w:lang w:val="en-US"/>
        </w:rPr>
        <w:lastRenderedPageBreak/>
        <w:t>with the last case reported in July 2014.</w:t>
      </w:r>
      <w:r>
        <w:rPr>
          <w:rStyle w:val="FootnoteReference"/>
          <w:rFonts w:ascii="Arial" w:hAnsi="Arial" w:cs="Arial"/>
          <w:lang w:val="en-US"/>
        </w:rPr>
        <w:footnoteReference w:id="1"/>
      </w:r>
      <w:r>
        <w:rPr>
          <w:rFonts w:ascii="Arial" w:hAnsi="Arial" w:cs="Arial"/>
          <w:lang w:val="en-US"/>
        </w:rPr>
        <w:t xml:space="preserve"> WP incidence had been decreasing each year since 2012 (when 122 cases were confirmed) to only six cases in 2014, and the map of the disease had narrowed to two remote states with security problems (Kano and </w:t>
      </w:r>
      <w:proofErr w:type="spellStart"/>
      <w:r>
        <w:rPr>
          <w:rFonts w:ascii="Arial" w:hAnsi="Arial" w:cs="Arial"/>
          <w:lang w:val="en-US"/>
        </w:rPr>
        <w:t>Yobe</w:t>
      </w:r>
      <w:proofErr w:type="spellEnd"/>
      <w:r>
        <w:rPr>
          <w:rFonts w:ascii="Arial" w:hAnsi="Arial" w:cs="Arial"/>
          <w:lang w:val="en-US"/>
        </w:rPr>
        <w:t xml:space="preserve">) (Figure 1). </w:t>
      </w:r>
      <w:r w:rsidR="009A785D">
        <w:rPr>
          <w:rFonts w:ascii="Arial" w:hAnsi="Arial" w:cs="Arial"/>
          <w:lang w:val="en-US"/>
        </w:rPr>
        <w:t>The i</w:t>
      </w:r>
      <w:r>
        <w:rPr>
          <w:rFonts w:ascii="Arial" w:hAnsi="Arial" w:cs="Arial"/>
          <w:lang w:val="en-US"/>
        </w:rPr>
        <w:t>ncidence of vaccine-derived polio virus (VDPV) – reported since 2005 – has also declined from a peak of 155 cases in 2009 to only one case in 2015.</w:t>
      </w:r>
    </w:p>
    <w:p w:rsidR="009D7CB0" w:rsidRDefault="009D7CB0" w:rsidP="00236906">
      <w:pPr>
        <w:rPr>
          <w:rFonts w:ascii="Arial" w:hAnsi="Arial" w:cs="Arial"/>
          <w:lang w:val="en-US"/>
        </w:rPr>
      </w:pPr>
      <w:r>
        <w:rPr>
          <w:rFonts w:ascii="Arial" w:hAnsi="Arial" w:cs="Arial"/>
          <w:lang w:val="en-US"/>
        </w:rPr>
        <w:t xml:space="preserve">There has been a recent setback, however, with the detection of two cases of WPV type 1 in July 2016 in </w:t>
      </w:r>
      <w:proofErr w:type="spellStart"/>
      <w:r>
        <w:rPr>
          <w:rFonts w:ascii="Arial" w:hAnsi="Arial" w:cs="Arial"/>
          <w:lang w:val="en-US"/>
        </w:rPr>
        <w:t>Borno</w:t>
      </w:r>
      <w:proofErr w:type="spellEnd"/>
      <w:r>
        <w:rPr>
          <w:rFonts w:ascii="Arial" w:hAnsi="Arial" w:cs="Arial"/>
          <w:lang w:val="en-US"/>
        </w:rPr>
        <w:t xml:space="preserve"> state in the extreme Northeast corner of the country, a remote area where Boko Haram is centered. The strain was found to be closely linked to the last WPV1 cases reported from </w:t>
      </w:r>
      <w:proofErr w:type="spellStart"/>
      <w:r>
        <w:rPr>
          <w:rFonts w:ascii="Arial" w:hAnsi="Arial" w:cs="Arial"/>
          <w:lang w:val="en-US"/>
        </w:rPr>
        <w:t>Borno</w:t>
      </w:r>
      <w:proofErr w:type="spellEnd"/>
      <w:r>
        <w:rPr>
          <w:rFonts w:ascii="Arial" w:hAnsi="Arial" w:cs="Arial"/>
          <w:lang w:val="en-US"/>
        </w:rPr>
        <w:t xml:space="preserve"> state in 2011, indicating that the virus has been circulating undetected in the state for five years. This is clearly a setback to the country’s plans to achieve certification of cessation of all types of WPV by 2018, as stated in the immunization program’s multi-year plan (</w:t>
      </w:r>
      <w:proofErr w:type="spellStart"/>
      <w:r>
        <w:rPr>
          <w:rFonts w:ascii="Arial" w:hAnsi="Arial" w:cs="Arial"/>
          <w:lang w:val="en-US"/>
        </w:rPr>
        <w:t>cMYP</w:t>
      </w:r>
      <w:proofErr w:type="spellEnd"/>
      <w:r>
        <w:rPr>
          <w:rFonts w:ascii="Arial" w:hAnsi="Arial" w:cs="Arial"/>
          <w:lang w:val="en-US"/>
        </w:rPr>
        <w:t>).</w:t>
      </w:r>
    </w:p>
    <w:p w:rsidR="009D7CB0" w:rsidRDefault="009D7CB0" w:rsidP="00236906">
      <w:pPr>
        <w:rPr>
          <w:rFonts w:ascii="Arial" w:hAnsi="Arial" w:cs="Arial"/>
          <w:lang w:val="en-US"/>
        </w:rPr>
      </w:pPr>
      <w:r>
        <w:rPr>
          <w:rFonts w:ascii="Arial" w:hAnsi="Arial" w:cs="Arial"/>
          <w:lang w:val="en-US"/>
        </w:rPr>
        <w:t xml:space="preserve">The Nigeria Government – with partner support and under the direction of the National Polio Emergency Operations Centre (EOC) – has been conducting a series of polio vaccination campaigns for several years to </w:t>
      </w:r>
      <w:r w:rsidR="009A785D">
        <w:rPr>
          <w:rFonts w:ascii="Arial" w:hAnsi="Arial" w:cs="Arial"/>
          <w:lang w:val="en-US"/>
        </w:rPr>
        <w:t>halt</w:t>
      </w:r>
      <w:r>
        <w:rPr>
          <w:rFonts w:ascii="Arial" w:hAnsi="Arial" w:cs="Arial"/>
          <w:lang w:val="en-US"/>
        </w:rPr>
        <w:t xml:space="preserve"> transmission of the disease</w:t>
      </w:r>
      <w:r w:rsidR="003E68D8">
        <w:rPr>
          <w:rFonts w:ascii="Arial" w:hAnsi="Arial" w:cs="Arial"/>
          <w:lang w:val="en-US"/>
        </w:rPr>
        <w:t>. The country has held two or three rounds of national immunization days (NIDs) and six or seven round of sub-national immunization days (SNIDs)</w:t>
      </w:r>
      <w:r w:rsidR="009A785D" w:rsidRPr="009A785D">
        <w:rPr>
          <w:rFonts w:ascii="Arial" w:hAnsi="Arial" w:cs="Arial"/>
          <w:lang w:val="en-US"/>
        </w:rPr>
        <w:t xml:space="preserve"> </w:t>
      </w:r>
      <w:r w:rsidR="009A785D">
        <w:rPr>
          <w:rFonts w:ascii="Arial" w:hAnsi="Arial" w:cs="Arial"/>
          <w:lang w:val="en-US"/>
        </w:rPr>
        <w:t>per year</w:t>
      </w:r>
      <w:r w:rsidR="003E68D8">
        <w:rPr>
          <w:rFonts w:ascii="Arial" w:hAnsi="Arial" w:cs="Arial"/>
          <w:lang w:val="en-US"/>
        </w:rPr>
        <w:t xml:space="preserve">, including in reaction to cases. In response to the two recent WPV cases, three large-scale SIAs using the bivalent OPV are currently being planned in </w:t>
      </w:r>
      <w:proofErr w:type="spellStart"/>
      <w:r w:rsidR="003E68D8">
        <w:rPr>
          <w:rFonts w:ascii="Arial" w:hAnsi="Arial" w:cs="Arial"/>
          <w:lang w:val="en-US"/>
        </w:rPr>
        <w:t>Borno</w:t>
      </w:r>
      <w:proofErr w:type="spellEnd"/>
      <w:r w:rsidR="003E68D8">
        <w:rPr>
          <w:rFonts w:ascii="Arial" w:hAnsi="Arial" w:cs="Arial"/>
          <w:lang w:val="en-US"/>
        </w:rPr>
        <w:t xml:space="preserve"> state. </w:t>
      </w:r>
    </w:p>
    <w:p w:rsidR="001A1767" w:rsidRDefault="001A1767" w:rsidP="001A1767">
      <w:pPr>
        <w:pStyle w:val="Caption"/>
      </w:pPr>
    </w:p>
    <w:p w:rsidR="009D7CB0" w:rsidRPr="001A1767" w:rsidRDefault="001A1767" w:rsidP="001A1767">
      <w:pPr>
        <w:pStyle w:val="Caption"/>
        <w:rPr>
          <w:rFonts w:ascii="Arial" w:hAnsi="Arial" w:cs="Arial"/>
          <w:color w:val="auto"/>
          <w:sz w:val="22"/>
          <w:szCs w:val="22"/>
          <w:lang w:val="en-US"/>
        </w:rPr>
      </w:pPr>
      <w:r w:rsidRPr="001A1767">
        <w:rPr>
          <w:rFonts w:ascii="Arial" w:hAnsi="Arial" w:cs="Arial"/>
          <w:color w:val="auto"/>
          <w:sz w:val="22"/>
          <w:szCs w:val="22"/>
        </w:rPr>
        <w:t xml:space="preserve">Figure </w:t>
      </w:r>
      <w:r w:rsidRPr="001A1767">
        <w:rPr>
          <w:rFonts w:ascii="Arial" w:hAnsi="Arial" w:cs="Arial"/>
          <w:color w:val="auto"/>
          <w:sz w:val="22"/>
          <w:szCs w:val="22"/>
        </w:rPr>
        <w:fldChar w:fldCharType="begin"/>
      </w:r>
      <w:r w:rsidRPr="001A1767">
        <w:rPr>
          <w:rFonts w:ascii="Arial" w:hAnsi="Arial" w:cs="Arial"/>
          <w:color w:val="auto"/>
          <w:sz w:val="22"/>
          <w:szCs w:val="22"/>
        </w:rPr>
        <w:instrText xml:space="preserve"> SEQ Figure \* ARABIC </w:instrText>
      </w:r>
      <w:r w:rsidRPr="001A1767">
        <w:rPr>
          <w:rFonts w:ascii="Arial" w:hAnsi="Arial" w:cs="Arial"/>
          <w:color w:val="auto"/>
          <w:sz w:val="22"/>
          <w:szCs w:val="22"/>
        </w:rPr>
        <w:fldChar w:fldCharType="separate"/>
      </w:r>
      <w:r w:rsidR="00D91889">
        <w:rPr>
          <w:rFonts w:ascii="Arial" w:hAnsi="Arial" w:cs="Arial"/>
          <w:noProof/>
          <w:color w:val="auto"/>
          <w:sz w:val="22"/>
          <w:szCs w:val="22"/>
        </w:rPr>
        <w:t>1</w:t>
      </w:r>
      <w:r w:rsidRPr="001A1767">
        <w:rPr>
          <w:rFonts w:ascii="Arial" w:hAnsi="Arial" w:cs="Arial"/>
          <w:color w:val="auto"/>
          <w:sz w:val="22"/>
          <w:szCs w:val="22"/>
        </w:rPr>
        <w:fldChar w:fldCharType="end"/>
      </w:r>
      <w:r w:rsidRPr="001A1767">
        <w:rPr>
          <w:rFonts w:ascii="Arial" w:hAnsi="Arial" w:cs="Arial"/>
          <w:color w:val="auto"/>
          <w:sz w:val="22"/>
          <w:szCs w:val="22"/>
        </w:rPr>
        <w:t xml:space="preserve">: </w:t>
      </w:r>
      <w:r w:rsidR="009D7CB0" w:rsidRPr="001A1767">
        <w:rPr>
          <w:rFonts w:ascii="Arial" w:hAnsi="Arial" w:cs="Arial"/>
          <w:color w:val="auto"/>
          <w:sz w:val="22"/>
          <w:szCs w:val="22"/>
          <w:lang w:val="en-US"/>
        </w:rPr>
        <w:t>Trends in incidence of confirmed wild polio virus and vaccine-derived disease in Nigeria</w:t>
      </w:r>
    </w:p>
    <w:p w:rsidR="009D7CB0" w:rsidRDefault="009D7CB0" w:rsidP="009A785D">
      <w:pPr>
        <w:spacing w:after="0"/>
        <w:jc w:val="center"/>
        <w:rPr>
          <w:rFonts w:ascii="Arial" w:hAnsi="Arial" w:cs="Arial"/>
          <w:lang w:val="en-US"/>
        </w:rPr>
      </w:pPr>
      <w:r>
        <w:rPr>
          <w:noProof/>
          <w:lang w:eastAsia="zh-CN"/>
        </w:rPr>
        <w:drawing>
          <wp:inline distT="0" distB="0" distL="0" distR="0" wp14:anchorId="54DA7C5A" wp14:editId="7BFCF704">
            <wp:extent cx="3743325" cy="22002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184D" w:rsidRPr="009A785D" w:rsidRDefault="0005184D" w:rsidP="009A785D">
      <w:pPr>
        <w:ind w:left="1440" w:hanging="1440"/>
        <w:rPr>
          <w:rFonts w:ascii="Arial" w:hAnsi="Arial" w:cs="Arial"/>
          <w:sz w:val="18"/>
          <w:szCs w:val="18"/>
          <w:lang w:val="en-US"/>
        </w:rPr>
      </w:pPr>
      <w:r w:rsidRPr="009A785D">
        <w:rPr>
          <w:rFonts w:ascii="Arial" w:hAnsi="Arial" w:cs="Arial"/>
          <w:sz w:val="18"/>
          <w:szCs w:val="18"/>
          <w:lang w:val="en-US"/>
        </w:rPr>
        <w:tab/>
        <w:t xml:space="preserve">Source: </w:t>
      </w:r>
      <w:r w:rsidR="009A785D" w:rsidRPr="009A785D">
        <w:rPr>
          <w:rFonts w:ascii="Arial" w:hAnsi="Arial" w:cs="Arial"/>
          <w:sz w:val="18"/>
          <w:szCs w:val="18"/>
          <w:lang w:val="en-US"/>
        </w:rPr>
        <w:t xml:space="preserve">WHO, Highlights of new wild poliovirus and </w:t>
      </w:r>
      <w:proofErr w:type="spellStart"/>
      <w:r w:rsidR="009A785D" w:rsidRPr="009A785D">
        <w:rPr>
          <w:rFonts w:ascii="Arial" w:hAnsi="Arial" w:cs="Arial"/>
          <w:sz w:val="18"/>
          <w:szCs w:val="18"/>
          <w:lang w:val="en-US"/>
        </w:rPr>
        <w:t>cVDPV</w:t>
      </w:r>
      <w:proofErr w:type="spellEnd"/>
      <w:r w:rsidR="009A785D" w:rsidRPr="009A785D">
        <w:rPr>
          <w:rFonts w:ascii="Arial" w:hAnsi="Arial" w:cs="Arial"/>
          <w:sz w:val="18"/>
          <w:szCs w:val="18"/>
          <w:lang w:val="en-US"/>
        </w:rPr>
        <w:t xml:space="preserve"> cases reported globally, week of August 9, 2016 (presentation)</w:t>
      </w:r>
    </w:p>
    <w:p w:rsidR="003E68D8" w:rsidRDefault="003E68D8" w:rsidP="003E68D8">
      <w:pPr>
        <w:rPr>
          <w:rFonts w:ascii="Arial" w:hAnsi="Arial" w:cs="Arial"/>
          <w:lang w:val="en-US"/>
        </w:rPr>
      </w:pPr>
      <w:r>
        <w:rPr>
          <w:rFonts w:ascii="Arial" w:hAnsi="Arial" w:cs="Arial"/>
          <w:lang w:val="en-US"/>
        </w:rPr>
        <w:t>The quality of the SIAs has improved in recent years, with the Government funding innovative ways and making special efforts to reach under-served and hard-to-reach areas. These include:</w:t>
      </w:r>
    </w:p>
    <w:p w:rsidR="003E68D8" w:rsidRDefault="003E68D8" w:rsidP="003E68D8">
      <w:pPr>
        <w:pStyle w:val="ListParagraph"/>
        <w:numPr>
          <w:ilvl w:val="0"/>
          <w:numId w:val="29"/>
        </w:numPr>
        <w:contextualSpacing w:val="0"/>
        <w:rPr>
          <w:rFonts w:ascii="Arial" w:hAnsi="Arial" w:cs="Arial"/>
          <w:lang w:val="en-US"/>
        </w:rPr>
      </w:pPr>
      <w:r>
        <w:rPr>
          <w:rFonts w:ascii="Arial" w:hAnsi="Arial" w:cs="Arial"/>
          <w:lang w:val="en-US"/>
        </w:rPr>
        <w:lastRenderedPageBreak/>
        <w:t xml:space="preserve">Vaccination campaigns in registered IDP camps in four states (Adamawa, </w:t>
      </w:r>
      <w:proofErr w:type="spellStart"/>
      <w:r>
        <w:rPr>
          <w:rFonts w:ascii="Arial" w:hAnsi="Arial" w:cs="Arial"/>
          <w:lang w:val="en-US"/>
        </w:rPr>
        <w:t>Borno</w:t>
      </w:r>
      <w:proofErr w:type="spellEnd"/>
      <w:r>
        <w:rPr>
          <w:rFonts w:ascii="Arial" w:hAnsi="Arial" w:cs="Arial"/>
          <w:lang w:val="en-US"/>
        </w:rPr>
        <w:t xml:space="preserve">, </w:t>
      </w:r>
      <w:proofErr w:type="spellStart"/>
      <w:r>
        <w:rPr>
          <w:rFonts w:ascii="Arial" w:hAnsi="Arial" w:cs="Arial"/>
          <w:lang w:val="en-US"/>
        </w:rPr>
        <w:t>Gombe</w:t>
      </w:r>
      <w:proofErr w:type="spellEnd"/>
      <w:r>
        <w:rPr>
          <w:rFonts w:ascii="Arial" w:hAnsi="Arial" w:cs="Arial"/>
          <w:lang w:val="en-US"/>
        </w:rPr>
        <w:t xml:space="preserve"> and </w:t>
      </w:r>
      <w:proofErr w:type="spellStart"/>
      <w:r>
        <w:rPr>
          <w:rFonts w:ascii="Arial" w:hAnsi="Arial" w:cs="Arial"/>
          <w:lang w:val="en-US"/>
        </w:rPr>
        <w:t>Taraba</w:t>
      </w:r>
      <w:proofErr w:type="spellEnd"/>
      <w:r>
        <w:rPr>
          <w:rFonts w:ascii="Arial" w:hAnsi="Arial" w:cs="Arial"/>
          <w:lang w:val="en-US"/>
        </w:rPr>
        <w:t>) that, despite the insurgency, was able to vaccinate nearly 58,000 children 0-59 months old in one month in 2014;</w:t>
      </w:r>
    </w:p>
    <w:p w:rsidR="003E68D8" w:rsidRDefault="003E68D8" w:rsidP="003E68D8">
      <w:pPr>
        <w:pStyle w:val="ListParagraph"/>
        <w:numPr>
          <w:ilvl w:val="0"/>
          <w:numId w:val="29"/>
        </w:numPr>
        <w:contextualSpacing w:val="0"/>
        <w:rPr>
          <w:rFonts w:ascii="Arial" w:hAnsi="Arial" w:cs="Arial"/>
          <w:lang w:val="en-US"/>
        </w:rPr>
      </w:pPr>
      <w:r>
        <w:rPr>
          <w:rFonts w:ascii="Arial" w:hAnsi="Arial" w:cs="Arial"/>
          <w:lang w:val="en-US"/>
        </w:rPr>
        <w:t>Health camps in 2013 and 2014 in areas with low utilization of routine immunization and health services. In three state where health camps were used to introduce IPV (</w:t>
      </w:r>
      <w:proofErr w:type="spellStart"/>
      <w:r>
        <w:rPr>
          <w:rFonts w:ascii="Arial" w:hAnsi="Arial" w:cs="Arial"/>
          <w:lang w:val="en-US"/>
        </w:rPr>
        <w:t>Borno</w:t>
      </w:r>
      <w:proofErr w:type="spellEnd"/>
      <w:r>
        <w:rPr>
          <w:rFonts w:ascii="Arial" w:hAnsi="Arial" w:cs="Arial"/>
          <w:lang w:val="en-US"/>
        </w:rPr>
        <w:t xml:space="preserve">, </w:t>
      </w:r>
      <w:proofErr w:type="spellStart"/>
      <w:r>
        <w:rPr>
          <w:rFonts w:ascii="Arial" w:hAnsi="Arial" w:cs="Arial"/>
          <w:lang w:val="en-US"/>
        </w:rPr>
        <w:t>Yobe</w:t>
      </w:r>
      <w:proofErr w:type="spellEnd"/>
      <w:r>
        <w:rPr>
          <w:rFonts w:ascii="Arial" w:hAnsi="Arial" w:cs="Arial"/>
          <w:lang w:val="en-US"/>
        </w:rPr>
        <w:t xml:space="preserve"> and Kano), three million children were vaccinated in 2013.</w:t>
      </w:r>
    </w:p>
    <w:p w:rsidR="003E68D8" w:rsidRDefault="00111D50" w:rsidP="003E68D8">
      <w:pPr>
        <w:rPr>
          <w:rFonts w:ascii="Arial" w:hAnsi="Arial" w:cs="Arial"/>
          <w:lang w:val="en-US"/>
        </w:rPr>
      </w:pPr>
      <w:r>
        <w:rPr>
          <w:rFonts w:ascii="Arial" w:hAnsi="Arial" w:cs="Arial"/>
          <w:lang w:val="en-US"/>
        </w:rPr>
        <w:t>Official data show high coverage of these campaigns (e.g., 95% of more), but given issues with data quality (often showing coverage of &gt;100%), the numbers of children being missed by polio SIAs is uncertain.</w:t>
      </w:r>
    </w:p>
    <w:p w:rsidR="00111D50" w:rsidRPr="00111D50" w:rsidRDefault="00111D50" w:rsidP="003E68D8">
      <w:pPr>
        <w:rPr>
          <w:rFonts w:ascii="Arial" w:hAnsi="Arial" w:cs="Arial"/>
          <w:u w:val="single"/>
          <w:lang w:val="en-US"/>
        </w:rPr>
      </w:pPr>
      <w:r w:rsidRPr="00111D50">
        <w:rPr>
          <w:rFonts w:ascii="Arial" w:hAnsi="Arial" w:cs="Arial"/>
          <w:u w:val="single"/>
          <w:lang w:val="en-US"/>
        </w:rPr>
        <w:t>Key problems contributing to the continual risk of polio transmission in Nigeria</w:t>
      </w:r>
    </w:p>
    <w:p w:rsidR="00111D50" w:rsidRDefault="00111D50" w:rsidP="00B50567">
      <w:pPr>
        <w:pStyle w:val="ListParagraph"/>
        <w:numPr>
          <w:ilvl w:val="0"/>
          <w:numId w:val="30"/>
        </w:numPr>
        <w:contextualSpacing w:val="0"/>
        <w:rPr>
          <w:rFonts w:ascii="Arial" w:hAnsi="Arial" w:cs="Arial"/>
          <w:lang w:val="en-US"/>
        </w:rPr>
      </w:pPr>
      <w:r w:rsidRPr="00111D50">
        <w:rPr>
          <w:rFonts w:ascii="Arial" w:hAnsi="Arial" w:cs="Arial"/>
          <w:b/>
          <w:lang w:val="en-US"/>
        </w:rPr>
        <w:t>Gaps in AFP/polio surveillance</w:t>
      </w:r>
      <w:r>
        <w:rPr>
          <w:rFonts w:ascii="Arial" w:hAnsi="Arial" w:cs="Arial"/>
          <w:lang w:val="en-US"/>
        </w:rPr>
        <w:t>. Nigeria’s AFP surveillance system – implemented by Disease Surveillance and Notification Officers in all 774 LGAs, State Epidemiologists and the polio “surge” staff – has met the global performance targets for more than 10 years, with a c</w:t>
      </w:r>
      <w:r w:rsidR="009A785D">
        <w:rPr>
          <w:rFonts w:ascii="Arial" w:hAnsi="Arial" w:cs="Arial"/>
          <w:lang w:val="en-US"/>
        </w:rPr>
        <w:t xml:space="preserve">urrent AFP detection rate of 18 per </w:t>
      </w:r>
      <w:r>
        <w:rPr>
          <w:rFonts w:ascii="Arial" w:hAnsi="Arial" w:cs="Arial"/>
          <w:lang w:val="en-US"/>
        </w:rPr>
        <w:t>100,000 children under 15 years of age (up from 13</w:t>
      </w:r>
      <w:r w:rsidR="00B50567">
        <w:rPr>
          <w:rFonts w:ascii="Arial" w:hAnsi="Arial" w:cs="Arial"/>
          <w:lang w:val="en-US"/>
        </w:rPr>
        <w:t>/100,000</w:t>
      </w:r>
      <w:r>
        <w:rPr>
          <w:rFonts w:ascii="Arial" w:hAnsi="Arial" w:cs="Arial"/>
          <w:lang w:val="en-US"/>
        </w:rPr>
        <w:t xml:space="preserve"> in 2014) and a 99% rate of adequate stool specimens. The system is supported by two national laboratories, a reference lab and specialized lab in the U.S. Nonetheless, both the two recent cases found in </w:t>
      </w:r>
      <w:proofErr w:type="spellStart"/>
      <w:r>
        <w:rPr>
          <w:rFonts w:ascii="Arial" w:hAnsi="Arial" w:cs="Arial"/>
          <w:lang w:val="en-US"/>
        </w:rPr>
        <w:t>Borno</w:t>
      </w:r>
      <w:proofErr w:type="spellEnd"/>
      <w:r>
        <w:rPr>
          <w:rFonts w:ascii="Arial" w:hAnsi="Arial" w:cs="Arial"/>
          <w:lang w:val="en-US"/>
        </w:rPr>
        <w:t xml:space="preserve"> state and orphan viruses detected in 2014 through genetic sequencing suggest that the virus has been circulating undetected in certain areas – for five years in the case of WPV1 in </w:t>
      </w:r>
      <w:proofErr w:type="spellStart"/>
      <w:r>
        <w:rPr>
          <w:rFonts w:ascii="Arial" w:hAnsi="Arial" w:cs="Arial"/>
          <w:lang w:val="en-US"/>
        </w:rPr>
        <w:t>Borno</w:t>
      </w:r>
      <w:proofErr w:type="spellEnd"/>
      <w:r>
        <w:rPr>
          <w:rFonts w:ascii="Arial" w:hAnsi="Arial" w:cs="Arial"/>
          <w:lang w:val="en-US"/>
        </w:rPr>
        <w:t xml:space="preserve"> state – and thus</w:t>
      </w:r>
      <w:r w:rsidR="00B50567">
        <w:rPr>
          <w:rFonts w:ascii="Arial" w:hAnsi="Arial" w:cs="Arial"/>
          <w:lang w:val="en-US"/>
        </w:rPr>
        <w:t xml:space="preserve"> there remain gaps in the surveillance system. The challenge in conducting consistent, high-quality surveillance in inaccessible and insecure areas like </w:t>
      </w:r>
      <w:proofErr w:type="spellStart"/>
      <w:r w:rsidR="00B50567">
        <w:rPr>
          <w:rFonts w:ascii="Arial" w:hAnsi="Arial" w:cs="Arial"/>
          <w:lang w:val="en-US"/>
        </w:rPr>
        <w:t>Borno</w:t>
      </w:r>
      <w:proofErr w:type="spellEnd"/>
      <w:r w:rsidR="00B50567">
        <w:rPr>
          <w:rFonts w:ascii="Arial" w:hAnsi="Arial" w:cs="Arial"/>
          <w:lang w:val="en-US"/>
        </w:rPr>
        <w:t xml:space="preserve"> state is likely a key reason for this gap.</w:t>
      </w:r>
    </w:p>
    <w:p w:rsidR="00D744D3" w:rsidRDefault="00B50567" w:rsidP="00B50567">
      <w:pPr>
        <w:pStyle w:val="ListParagraph"/>
        <w:numPr>
          <w:ilvl w:val="0"/>
          <w:numId w:val="30"/>
        </w:numPr>
        <w:contextualSpacing w:val="0"/>
        <w:rPr>
          <w:rFonts w:ascii="Arial" w:hAnsi="Arial" w:cs="Arial"/>
          <w:lang w:val="en-US"/>
        </w:rPr>
      </w:pPr>
      <w:r w:rsidRPr="00B50567">
        <w:rPr>
          <w:rFonts w:ascii="Arial" w:hAnsi="Arial" w:cs="Arial"/>
          <w:b/>
          <w:lang w:val="en-US"/>
        </w:rPr>
        <w:t>Continued low performance of the routine immunization program</w:t>
      </w:r>
      <w:r>
        <w:rPr>
          <w:rFonts w:ascii="Arial" w:hAnsi="Arial" w:cs="Arial"/>
          <w:lang w:val="en-US"/>
        </w:rPr>
        <w:t xml:space="preserve">. </w:t>
      </w:r>
      <w:r w:rsidR="00361F07">
        <w:rPr>
          <w:rFonts w:ascii="Arial" w:hAnsi="Arial" w:cs="Arial"/>
          <w:lang w:val="en-US"/>
        </w:rPr>
        <w:t xml:space="preserve">The </w:t>
      </w:r>
      <w:r>
        <w:rPr>
          <w:rFonts w:ascii="Arial" w:hAnsi="Arial" w:cs="Arial"/>
          <w:lang w:val="en-US"/>
        </w:rPr>
        <w:t>WHO-UNICEF</w:t>
      </w:r>
      <w:r w:rsidR="00361F07">
        <w:rPr>
          <w:rFonts w:ascii="Arial" w:hAnsi="Arial" w:cs="Arial"/>
          <w:lang w:val="en-US"/>
        </w:rPr>
        <w:t xml:space="preserve"> </w:t>
      </w:r>
      <w:r>
        <w:rPr>
          <w:rFonts w:ascii="Arial" w:hAnsi="Arial" w:cs="Arial"/>
          <w:lang w:val="en-US"/>
        </w:rPr>
        <w:t xml:space="preserve">estimated </w:t>
      </w:r>
      <w:r w:rsidR="002B09F1">
        <w:rPr>
          <w:rFonts w:ascii="Arial" w:hAnsi="Arial" w:cs="Arial"/>
          <w:lang w:val="en-US"/>
        </w:rPr>
        <w:t xml:space="preserve">routine vaccination </w:t>
      </w:r>
      <w:r>
        <w:rPr>
          <w:rFonts w:ascii="Arial" w:hAnsi="Arial" w:cs="Arial"/>
          <w:lang w:val="en-US"/>
        </w:rPr>
        <w:t>coverage rate for three doses of polio vaccine was only 55% nationally in 2015 and 49% in 2014.</w:t>
      </w:r>
      <w:r>
        <w:rPr>
          <w:rStyle w:val="FootnoteReference"/>
          <w:rFonts w:ascii="Arial" w:hAnsi="Arial" w:cs="Arial"/>
          <w:lang w:val="en-US"/>
        </w:rPr>
        <w:footnoteReference w:id="2"/>
      </w:r>
      <w:r>
        <w:rPr>
          <w:rFonts w:ascii="Arial" w:hAnsi="Arial" w:cs="Arial"/>
          <w:lang w:val="en-US"/>
        </w:rPr>
        <w:t xml:space="preserve"> Coverage in remote and unsafe areas is l</w:t>
      </w:r>
      <w:r w:rsidR="0098318B">
        <w:rPr>
          <w:rFonts w:ascii="Arial" w:hAnsi="Arial" w:cs="Arial"/>
          <w:lang w:val="en-US"/>
        </w:rPr>
        <w:t>ikely considerably lower than these rates</w:t>
      </w:r>
      <w:r>
        <w:rPr>
          <w:rFonts w:ascii="Arial" w:hAnsi="Arial" w:cs="Arial"/>
          <w:lang w:val="en-US"/>
        </w:rPr>
        <w:t xml:space="preserve">. This points to a failure of the routine program to reach children with all required vaccine doses. </w:t>
      </w:r>
      <w:r w:rsidRPr="00B50567">
        <w:rPr>
          <w:rFonts w:ascii="Arial" w:hAnsi="Arial" w:cs="Arial"/>
          <w:lang w:val="en-US"/>
        </w:rPr>
        <w:t xml:space="preserve">While issues affecting routine immunization coverage are covered in detail in Section 3.3 below, </w:t>
      </w:r>
      <w:r>
        <w:rPr>
          <w:rFonts w:ascii="Arial" w:hAnsi="Arial" w:cs="Arial"/>
          <w:lang w:val="en-US"/>
        </w:rPr>
        <w:t>two</w:t>
      </w:r>
      <w:r w:rsidRPr="00B50567">
        <w:rPr>
          <w:rFonts w:ascii="Arial" w:hAnsi="Arial" w:cs="Arial"/>
          <w:lang w:val="en-US"/>
        </w:rPr>
        <w:t xml:space="preserve"> main factors for the poor OPV coverage we ca</w:t>
      </w:r>
      <w:r>
        <w:rPr>
          <w:rFonts w:ascii="Arial" w:hAnsi="Arial" w:cs="Arial"/>
          <w:lang w:val="en-US"/>
        </w:rPr>
        <w:t>n mention here are the insufficient availability of health services and low population utilization rates, especially in remote areas; and the shortage of health workers in many areas. The insecurity caused by Boko Haram</w:t>
      </w:r>
      <w:r w:rsidR="00D744D3">
        <w:rPr>
          <w:rFonts w:ascii="Arial" w:hAnsi="Arial" w:cs="Arial"/>
          <w:lang w:val="en-US"/>
        </w:rPr>
        <w:t xml:space="preserve"> in the North and militants in the South contribute to both of these problems.</w:t>
      </w:r>
    </w:p>
    <w:p w:rsidR="00C235C2" w:rsidRDefault="00C235C2">
      <w:pPr>
        <w:rPr>
          <w:rFonts w:ascii="Arial" w:hAnsi="Arial" w:cs="Arial"/>
          <w:b/>
          <w:sz w:val="24"/>
          <w:lang w:val="en-US"/>
        </w:rPr>
      </w:pPr>
      <w:r>
        <w:rPr>
          <w:rFonts w:ascii="Arial" w:hAnsi="Arial" w:cs="Arial"/>
          <w:b/>
          <w:sz w:val="24"/>
          <w:lang w:val="en-US"/>
        </w:rPr>
        <w:br w:type="page"/>
      </w:r>
    </w:p>
    <w:p w:rsidR="00EB5F5D" w:rsidRPr="00C235C2" w:rsidRDefault="00EB5F5D" w:rsidP="00C235C2">
      <w:pPr>
        <w:rPr>
          <w:rFonts w:ascii="Arial" w:hAnsi="Arial" w:cs="Arial"/>
          <w:b/>
          <w:sz w:val="24"/>
          <w:lang w:val="en-US"/>
        </w:rPr>
      </w:pPr>
      <w:r w:rsidRPr="00EA6F8C">
        <w:rPr>
          <w:rFonts w:ascii="Arial" w:hAnsi="Arial" w:cs="Arial"/>
          <w:b/>
          <w:sz w:val="24"/>
          <w:lang w:val="en-US"/>
        </w:rPr>
        <w:lastRenderedPageBreak/>
        <w:t>ANNEXES</w:t>
      </w:r>
    </w:p>
    <w:p w:rsidR="00EB5F5D" w:rsidRPr="00EA6F8C" w:rsidRDefault="00EB5F5D" w:rsidP="00EB5F5D">
      <w:pPr>
        <w:pStyle w:val="ListParagraph"/>
        <w:numPr>
          <w:ilvl w:val="0"/>
          <w:numId w:val="22"/>
        </w:numPr>
        <w:rPr>
          <w:b/>
          <w:bCs/>
          <w:sz w:val="24"/>
          <w:szCs w:val="24"/>
          <w:lang w:val="en-US"/>
        </w:rPr>
      </w:pPr>
      <w:r w:rsidRPr="00EA6F8C">
        <w:rPr>
          <w:b/>
          <w:bCs/>
          <w:sz w:val="24"/>
          <w:szCs w:val="24"/>
          <w:lang w:val="en-US"/>
        </w:rPr>
        <w:t>Polio</w:t>
      </w:r>
    </w:p>
    <w:p w:rsidR="00EB5F5D" w:rsidRPr="000D74F9" w:rsidRDefault="00EB5F5D" w:rsidP="00EB5F5D">
      <w:pPr>
        <w:pStyle w:val="ListParagraph"/>
        <w:numPr>
          <w:ilvl w:val="0"/>
          <w:numId w:val="24"/>
        </w:numPr>
        <w:rPr>
          <w:bCs/>
          <w:sz w:val="24"/>
          <w:szCs w:val="24"/>
          <w:lang w:val="en-US"/>
        </w:rPr>
      </w:pPr>
      <w:r w:rsidRPr="000D74F9">
        <w:rPr>
          <w:bCs/>
          <w:sz w:val="24"/>
          <w:szCs w:val="24"/>
          <w:lang w:val="en-US"/>
        </w:rPr>
        <w:t>Transmission stopped in</w:t>
      </w:r>
      <w:r w:rsidR="00E9158F" w:rsidRPr="000D74F9">
        <w:rPr>
          <w:bCs/>
          <w:sz w:val="24"/>
          <w:szCs w:val="24"/>
          <w:lang w:val="en-US"/>
        </w:rPr>
        <w:t xml:space="preserve"> 2014, but new </w:t>
      </w:r>
      <w:r w:rsidR="000D74F9">
        <w:rPr>
          <w:bCs/>
          <w:sz w:val="24"/>
          <w:szCs w:val="24"/>
          <w:lang w:val="en-US"/>
        </w:rPr>
        <w:t xml:space="preserve">WPV </w:t>
      </w:r>
      <w:r w:rsidR="00E9158F" w:rsidRPr="000D74F9">
        <w:rPr>
          <w:bCs/>
          <w:sz w:val="24"/>
          <w:szCs w:val="24"/>
          <w:lang w:val="en-US"/>
        </w:rPr>
        <w:t xml:space="preserve">cases have been detected in </w:t>
      </w:r>
      <w:r w:rsidR="000D74F9">
        <w:rPr>
          <w:bCs/>
          <w:sz w:val="24"/>
          <w:szCs w:val="24"/>
          <w:lang w:val="en-US"/>
        </w:rPr>
        <w:t xml:space="preserve">August </w:t>
      </w:r>
      <w:r w:rsidR="00E9158F" w:rsidRPr="000D74F9">
        <w:rPr>
          <w:bCs/>
          <w:sz w:val="24"/>
          <w:szCs w:val="24"/>
          <w:lang w:val="en-US"/>
        </w:rPr>
        <w:t>2016.</w:t>
      </w:r>
    </w:p>
    <w:p w:rsidR="00EB5F5D" w:rsidRPr="000D74F9" w:rsidRDefault="00EB5F5D" w:rsidP="00EB5F5D">
      <w:pPr>
        <w:pStyle w:val="ListParagraph"/>
        <w:numPr>
          <w:ilvl w:val="0"/>
          <w:numId w:val="24"/>
        </w:numPr>
        <w:rPr>
          <w:bCs/>
          <w:sz w:val="24"/>
          <w:szCs w:val="24"/>
          <w:lang w:val="en-US"/>
        </w:rPr>
      </w:pPr>
      <w:r w:rsidRPr="000D74F9">
        <w:rPr>
          <w:bCs/>
          <w:sz w:val="24"/>
          <w:szCs w:val="24"/>
          <w:lang w:val="en-US"/>
        </w:rPr>
        <w:t>Eradication certified</w:t>
      </w:r>
      <w:r w:rsidR="00E9158F" w:rsidRPr="000D74F9">
        <w:rPr>
          <w:bCs/>
          <w:sz w:val="24"/>
          <w:szCs w:val="24"/>
          <w:lang w:val="en-US"/>
        </w:rPr>
        <w:t xml:space="preserve"> (not yet).</w:t>
      </w:r>
    </w:p>
    <w:p w:rsidR="00EB5F5D" w:rsidRPr="00EA6F8C" w:rsidRDefault="00EB5F5D" w:rsidP="00EB5F5D">
      <w:pPr>
        <w:pStyle w:val="ListParagraph"/>
        <w:ind w:left="1080"/>
        <w:rPr>
          <w:b/>
          <w:bCs/>
          <w:sz w:val="24"/>
          <w:szCs w:val="24"/>
          <w:lang w:val="en-US"/>
        </w:rPr>
      </w:pPr>
    </w:p>
    <w:p w:rsidR="00D952F2" w:rsidRPr="00D91889" w:rsidRDefault="00D91889" w:rsidP="00D91889">
      <w:pPr>
        <w:pStyle w:val="Caption"/>
        <w:rPr>
          <w:rFonts w:ascii="Arial" w:hAnsi="Arial" w:cs="Arial"/>
          <w:color w:val="auto"/>
          <w:sz w:val="22"/>
          <w:szCs w:val="22"/>
        </w:rPr>
      </w:pPr>
      <w:r w:rsidRPr="00D91889">
        <w:rPr>
          <w:rFonts w:ascii="Arial" w:hAnsi="Arial" w:cs="Arial"/>
          <w:color w:val="auto"/>
          <w:sz w:val="22"/>
          <w:szCs w:val="22"/>
        </w:rPr>
        <w:t xml:space="preserve">Table </w:t>
      </w:r>
      <w:r w:rsidRPr="00D91889">
        <w:rPr>
          <w:rFonts w:ascii="Arial" w:hAnsi="Arial" w:cs="Arial"/>
          <w:color w:val="auto"/>
          <w:sz w:val="22"/>
          <w:szCs w:val="22"/>
        </w:rPr>
        <w:fldChar w:fldCharType="begin"/>
      </w:r>
      <w:r w:rsidRPr="00D91889">
        <w:rPr>
          <w:rFonts w:ascii="Arial" w:hAnsi="Arial" w:cs="Arial"/>
          <w:color w:val="auto"/>
          <w:sz w:val="22"/>
          <w:szCs w:val="22"/>
        </w:rPr>
        <w:instrText xml:space="preserve"> SEQ Table \* ARABIC </w:instrText>
      </w:r>
      <w:r w:rsidRPr="00D91889">
        <w:rPr>
          <w:rFonts w:ascii="Arial" w:hAnsi="Arial" w:cs="Arial"/>
          <w:color w:val="auto"/>
          <w:sz w:val="22"/>
          <w:szCs w:val="22"/>
        </w:rPr>
        <w:fldChar w:fldCharType="separate"/>
      </w:r>
      <w:r w:rsidRPr="00D91889">
        <w:rPr>
          <w:rFonts w:ascii="Arial" w:hAnsi="Arial" w:cs="Arial"/>
          <w:color w:val="auto"/>
          <w:sz w:val="22"/>
          <w:szCs w:val="22"/>
        </w:rPr>
        <w:t>1</w:t>
      </w:r>
      <w:r w:rsidRPr="00D91889">
        <w:rPr>
          <w:rFonts w:ascii="Arial" w:hAnsi="Arial" w:cs="Arial"/>
          <w:color w:val="auto"/>
          <w:sz w:val="22"/>
          <w:szCs w:val="22"/>
        </w:rPr>
        <w:fldChar w:fldCharType="end"/>
      </w:r>
      <w:r w:rsidRPr="00D91889">
        <w:rPr>
          <w:rFonts w:ascii="Arial" w:hAnsi="Arial" w:cs="Arial"/>
          <w:color w:val="auto"/>
          <w:sz w:val="22"/>
          <w:szCs w:val="22"/>
        </w:rPr>
        <w:t xml:space="preserve">: </w:t>
      </w:r>
      <w:r w:rsidR="00EB5F5D" w:rsidRPr="00D91889">
        <w:rPr>
          <w:rFonts w:ascii="Arial" w:hAnsi="Arial" w:cs="Arial"/>
          <w:color w:val="auto"/>
          <w:sz w:val="22"/>
          <w:szCs w:val="22"/>
        </w:rPr>
        <w:t>SIA activities planned in 2016-2017</w:t>
      </w:r>
    </w:p>
    <w:tbl>
      <w:tblPr>
        <w:tblStyle w:val="TableGrid"/>
        <w:tblW w:w="9900" w:type="dxa"/>
        <w:tblInd w:w="-252" w:type="dxa"/>
        <w:tblLook w:val="04A0" w:firstRow="1" w:lastRow="0" w:firstColumn="1" w:lastColumn="0" w:noHBand="0" w:noVBand="1"/>
      </w:tblPr>
      <w:tblGrid>
        <w:gridCol w:w="1003"/>
        <w:gridCol w:w="1254"/>
        <w:gridCol w:w="757"/>
        <w:gridCol w:w="1194"/>
        <w:gridCol w:w="1209"/>
        <w:gridCol w:w="1167"/>
        <w:gridCol w:w="962"/>
        <w:gridCol w:w="1017"/>
        <w:gridCol w:w="1412"/>
      </w:tblGrid>
      <w:tr w:rsidR="00D952F2" w:rsidRPr="00E9158F" w:rsidTr="00E9158F">
        <w:trPr>
          <w:trHeight w:val="255"/>
        </w:trPr>
        <w:tc>
          <w:tcPr>
            <w:tcW w:w="1003" w:type="dxa"/>
            <w:noWrap/>
            <w:hideMark/>
          </w:tcPr>
          <w:p w:rsidR="00D952F2" w:rsidRPr="00E9158F" w:rsidRDefault="00D952F2" w:rsidP="00E9158F">
            <w:pPr>
              <w:jc w:val="center"/>
              <w:rPr>
                <w:b/>
                <w:sz w:val="20"/>
                <w:szCs w:val="20"/>
                <w:lang w:val="en-US"/>
              </w:rPr>
            </w:pPr>
            <w:r w:rsidRPr="00E9158F">
              <w:rPr>
                <w:b/>
                <w:sz w:val="20"/>
                <w:szCs w:val="20"/>
                <w:lang w:val="en-US"/>
              </w:rPr>
              <w:t>Activity</w:t>
            </w:r>
          </w:p>
        </w:tc>
        <w:tc>
          <w:tcPr>
            <w:tcW w:w="1200" w:type="dxa"/>
            <w:noWrap/>
            <w:hideMark/>
          </w:tcPr>
          <w:p w:rsidR="00D952F2" w:rsidRPr="00E9158F" w:rsidRDefault="00D952F2" w:rsidP="00E9158F">
            <w:pPr>
              <w:jc w:val="center"/>
              <w:rPr>
                <w:b/>
                <w:sz w:val="20"/>
                <w:szCs w:val="20"/>
                <w:lang w:val="en-US"/>
              </w:rPr>
            </w:pPr>
            <w:r w:rsidRPr="00E9158F">
              <w:rPr>
                <w:b/>
                <w:sz w:val="20"/>
                <w:szCs w:val="20"/>
                <w:lang w:val="en-US"/>
              </w:rPr>
              <w:t>Intervention</w:t>
            </w:r>
          </w:p>
        </w:tc>
        <w:tc>
          <w:tcPr>
            <w:tcW w:w="757" w:type="dxa"/>
            <w:noWrap/>
            <w:hideMark/>
          </w:tcPr>
          <w:p w:rsidR="00D952F2" w:rsidRPr="00E9158F" w:rsidRDefault="00D952F2" w:rsidP="00E9158F">
            <w:pPr>
              <w:jc w:val="center"/>
              <w:rPr>
                <w:b/>
                <w:sz w:val="20"/>
                <w:szCs w:val="20"/>
                <w:lang w:val="en-US"/>
              </w:rPr>
            </w:pPr>
            <w:r w:rsidRPr="00E9158F">
              <w:rPr>
                <w:b/>
                <w:sz w:val="20"/>
                <w:szCs w:val="20"/>
                <w:lang w:val="en-US"/>
              </w:rPr>
              <w:t>Year</w:t>
            </w:r>
          </w:p>
        </w:tc>
        <w:tc>
          <w:tcPr>
            <w:tcW w:w="1194" w:type="dxa"/>
            <w:noWrap/>
            <w:hideMark/>
          </w:tcPr>
          <w:p w:rsidR="00D952F2" w:rsidRPr="00E9158F" w:rsidRDefault="00D952F2" w:rsidP="00E9158F">
            <w:pPr>
              <w:jc w:val="center"/>
              <w:rPr>
                <w:b/>
                <w:sz w:val="20"/>
                <w:szCs w:val="20"/>
                <w:lang w:val="en-US"/>
              </w:rPr>
            </w:pPr>
            <w:r w:rsidRPr="00E9158F">
              <w:rPr>
                <w:b/>
                <w:sz w:val="20"/>
                <w:szCs w:val="20"/>
                <w:lang w:val="en-US"/>
              </w:rPr>
              <w:t>Start</w:t>
            </w:r>
            <w:r w:rsidR="00E9158F" w:rsidRPr="00E9158F">
              <w:rPr>
                <w:b/>
                <w:sz w:val="20"/>
                <w:szCs w:val="20"/>
                <w:lang w:val="en-US"/>
              </w:rPr>
              <w:t xml:space="preserve"> </w:t>
            </w:r>
            <w:r w:rsidRPr="00E9158F">
              <w:rPr>
                <w:b/>
                <w:sz w:val="20"/>
                <w:szCs w:val="20"/>
                <w:lang w:val="en-US"/>
              </w:rPr>
              <w:t>Date</w:t>
            </w:r>
          </w:p>
        </w:tc>
        <w:tc>
          <w:tcPr>
            <w:tcW w:w="1209" w:type="dxa"/>
            <w:noWrap/>
            <w:hideMark/>
          </w:tcPr>
          <w:p w:rsidR="00D952F2" w:rsidRPr="00E9158F" w:rsidRDefault="00D952F2" w:rsidP="00E9158F">
            <w:pPr>
              <w:jc w:val="center"/>
              <w:rPr>
                <w:b/>
                <w:sz w:val="20"/>
                <w:szCs w:val="20"/>
                <w:lang w:val="en-US"/>
              </w:rPr>
            </w:pPr>
            <w:r w:rsidRPr="00E9158F">
              <w:rPr>
                <w:b/>
                <w:sz w:val="20"/>
                <w:szCs w:val="20"/>
                <w:lang w:val="en-US"/>
              </w:rPr>
              <w:t>End</w:t>
            </w:r>
            <w:r w:rsidR="00E9158F" w:rsidRPr="00E9158F">
              <w:rPr>
                <w:b/>
                <w:sz w:val="20"/>
                <w:szCs w:val="20"/>
                <w:lang w:val="en-US"/>
              </w:rPr>
              <w:t xml:space="preserve"> </w:t>
            </w:r>
            <w:r w:rsidRPr="00E9158F">
              <w:rPr>
                <w:b/>
                <w:sz w:val="20"/>
                <w:szCs w:val="20"/>
                <w:lang w:val="en-US"/>
              </w:rPr>
              <w:t>Date</w:t>
            </w:r>
          </w:p>
        </w:tc>
        <w:tc>
          <w:tcPr>
            <w:tcW w:w="1167" w:type="dxa"/>
            <w:noWrap/>
            <w:hideMark/>
          </w:tcPr>
          <w:p w:rsidR="00D952F2" w:rsidRPr="00E9158F" w:rsidRDefault="00D952F2" w:rsidP="00E9158F">
            <w:pPr>
              <w:jc w:val="center"/>
              <w:rPr>
                <w:b/>
                <w:sz w:val="20"/>
                <w:szCs w:val="20"/>
                <w:lang w:val="en-US"/>
              </w:rPr>
            </w:pPr>
            <w:r w:rsidRPr="00E9158F">
              <w:rPr>
                <w:b/>
                <w:sz w:val="20"/>
                <w:szCs w:val="20"/>
                <w:lang w:val="en-US"/>
              </w:rPr>
              <w:t>Age</w:t>
            </w:r>
            <w:r w:rsidR="00E9158F" w:rsidRPr="00E9158F">
              <w:rPr>
                <w:b/>
                <w:sz w:val="20"/>
                <w:szCs w:val="20"/>
                <w:lang w:val="en-US"/>
              </w:rPr>
              <w:t xml:space="preserve"> </w:t>
            </w:r>
            <w:r w:rsidRPr="00E9158F">
              <w:rPr>
                <w:b/>
                <w:sz w:val="20"/>
                <w:szCs w:val="20"/>
                <w:lang w:val="en-US"/>
              </w:rPr>
              <w:t>Group</w:t>
            </w:r>
          </w:p>
        </w:tc>
        <w:tc>
          <w:tcPr>
            <w:tcW w:w="962" w:type="dxa"/>
            <w:noWrap/>
            <w:hideMark/>
          </w:tcPr>
          <w:p w:rsidR="00D952F2" w:rsidRPr="00E9158F" w:rsidRDefault="00D952F2" w:rsidP="00E9158F">
            <w:pPr>
              <w:jc w:val="center"/>
              <w:rPr>
                <w:b/>
                <w:sz w:val="20"/>
                <w:szCs w:val="20"/>
                <w:lang w:val="en-US"/>
              </w:rPr>
            </w:pPr>
            <w:r w:rsidRPr="00E9158F">
              <w:rPr>
                <w:b/>
                <w:sz w:val="20"/>
                <w:szCs w:val="20"/>
                <w:lang w:val="en-US"/>
              </w:rPr>
              <w:t>Extent</w:t>
            </w:r>
          </w:p>
        </w:tc>
        <w:tc>
          <w:tcPr>
            <w:tcW w:w="996" w:type="dxa"/>
            <w:noWrap/>
            <w:hideMark/>
          </w:tcPr>
          <w:p w:rsidR="00D952F2" w:rsidRPr="00E9158F" w:rsidRDefault="00D952F2" w:rsidP="00E9158F">
            <w:pPr>
              <w:jc w:val="center"/>
              <w:rPr>
                <w:b/>
                <w:sz w:val="20"/>
                <w:szCs w:val="20"/>
                <w:lang w:val="en-US"/>
              </w:rPr>
            </w:pPr>
            <w:r w:rsidRPr="00E9158F">
              <w:rPr>
                <w:b/>
                <w:sz w:val="20"/>
                <w:szCs w:val="20"/>
                <w:lang w:val="en-US"/>
              </w:rPr>
              <w:t>Status</w:t>
            </w:r>
          </w:p>
        </w:tc>
        <w:tc>
          <w:tcPr>
            <w:tcW w:w="1412" w:type="dxa"/>
            <w:noWrap/>
            <w:hideMark/>
          </w:tcPr>
          <w:p w:rsidR="00D952F2" w:rsidRPr="00E9158F" w:rsidRDefault="00D952F2" w:rsidP="00E9158F">
            <w:pPr>
              <w:jc w:val="center"/>
              <w:rPr>
                <w:b/>
                <w:sz w:val="20"/>
                <w:szCs w:val="20"/>
                <w:lang w:val="en-US"/>
              </w:rPr>
            </w:pPr>
            <w:r w:rsidRPr="00E9158F">
              <w:rPr>
                <w:b/>
                <w:sz w:val="20"/>
                <w:szCs w:val="20"/>
                <w:lang w:val="en-US"/>
              </w:rPr>
              <w:t>Target</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Catch</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MR</w:t>
            </w:r>
          </w:p>
        </w:tc>
        <w:tc>
          <w:tcPr>
            <w:tcW w:w="757" w:type="dxa"/>
            <w:noWrap/>
            <w:hideMark/>
          </w:tcPr>
          <w:p w:rsidR="00D952F2" w:rsidRPr="00E9158F" w:rsidRDefault="00D952F2" w:rsidP="00D952F2">
            <w:pPr>
              <w:rPr>
                <w:sz w:val="20"/>
                <w:szCs w:val="20"/>
                <w:lang w:val="en-US"/>
              </w:rPr>
            </w:pPr>
            <w:r w:rsidRPr="00E9158F">
              <w:rPr>
                <w:sz w:val="20"/>
                <w:szCs w:val="20"/>
                <w:lang w:val="en-US"/>
              </w:rPr>
              <w:t>2017</w:t>
            </w:r>
          </w:p>
        </w:tc>
        <w:tc>
          <w:tcPr>
            <w:tcW w:w="1194" w:type="dxa"/>
            <w:noWrap/>
            <w:hideMark/>
          </w:tcPr>
          <w:p w:rsidR="00D952F2" w:rsidRPr="00E9158F" w:rsidRDefault="00D952F2" w:rsidP="00D952F2">
            <w:pPr>
              <w:rPr>
                <w:sz w:val="20"/>
                <w:szCs w:val="20"/>
                <w:lang w:val="en-US"/>
              </w:rPr>
            </w:pPr>
            <w:r w:rsidRPr="00E9158F">
              <w:rPr>
                <w:sz w:val="20"/>
                <w:szCs w:val="20"/>
                <w:lang w:val="en-US"/>
              </w:rPr>
              <w:t>29/02/1904</w:t>
            </w:r>
          </w:p>
        </w:tc>
        <w:tc>
          <w:tcPr>
            <w:tcW w:w="1209" w:type="dxa"/>
            <w:noWrap/>
            <w:hideMark/>
          </w:tcPr>
          <w:p w:rsidR="00D952F2" w:rsidRPr="00E9158F" w:rsidRDefault="00D952F2" w:rsidP="00D952F2">
            <w:pPr>
              <w:rPr>
                <w:sz w:val="20"/>
                <w:szCs w:val="20"/>
                <w:lang w:val="en-US"/>
              </w:rPr>
            </w:pPr>
          </w:p>
        </w:tc>
        <w:tc>
          <w:tcPr>
            <w:tcW w:w="1167" w:type="dxa"/>
            <w:noWrap/>
            <w:hideMark/>
          </w:tcPr>
          <w:p w:rsidR="00D952F2" w:rsidRPr="00E9158F" w:rsidRDefault="00D952F2" w:rsidP="00D952F2">
            <w:pPr>
              <w:rPr>
                <w:sz w:val="20"/>
                <w:szCs w:val="20"/>
                <w:lang w:val="en-US"/>
              </w:rPr>
            </w:pPr>
            <w:r w:rsidRPr="00E9158F">
              <w:rPr>
                <w:sz w:val="20"/>
                <w:szCs w:val="20"/>
                <w:lang w:val="en-US"/>
              </w:rPr>
              <w:t>9 M-14 Y</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Uncertain</w:t>
            </w:r>
          </w:p>
        </w:tc>
        <w:tc>
          <w:tcPr>
            <w:tcW w:w="1412" w:type="dxa"/>
            <w:noWrap/>
            <w:hideMark/>
          </w:tcPr>
          <w:p w:rsidR="00D952F2" w:rsidRPr="00E9158F" w:rsidRDefault="00D952F2" w:rsidP="00D952F2">
            <w:pPr>
              <w:rPr>
                <w:sz w:val="20"/>
                <w:szCs w:val="20"/>
                <w:lang w:val="en-US"/>
              </w:rPr>
            </w:pPr>
            <w:r w:rsidRPr="00E9158F">
              <w:rPr>
                <w:sz w:val="20"/>
                <w:szCs w:val="20"/>
                <w:lang w:val="en-US"/>
              </w:rPr>
              <w:t>8</w:t>
            </w:r>
            <w:r w:rsidR="00E9158F">
              <w:rPr>
                <w:sz w:val="20"/>
                <w:szCs w:val="20"/>
                <w:lang w:val="en-US"/>
              </w:rPr>
              <w:t>,</w:t>
            </w:r>
            <w:r w:rsidRPr="00E9158F">
              <w:rPr>
                <w:sz w:val="20"/>
                <w:szCs w:val="20"/>
                <w:lang w:val="en-US"/>
              </w:rPr>
              <w:t>0447</w:t>
            </w:r>
            <w:r w:rsidR="00E9158F">
              <w:rPr>
                <w:sz w:val="20"/>
                <w:szCs w:val="20"/>
                <w:lang w:val="en-US"/>
              </w:rPr>
              <w:t>,</w:t>
            </w:r>
            <w:r w:rsidRPr="00E9158F">
              <w:rPr>
                <w:sz w:val="20"/>
                <w:szCs w:val="20"/>
                <w:lang w:val="en-US"/>
              </w:rPr>
              <w:t>735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Follow</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Measles</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28/01/2016</w:t>
            </w:r>
          </w:p>
        </w:tc>
        <w:tc>
          <w:tcPr>
            <w:tcW w:w="1209" w:type="dxa"/>
            <w:noWrap/>
            <w:hideMark/>
          </w:tcPr>
          <w:p w:rsidR="00D952F2" w:rsidRPr="00E9158F" w:rsidRDefault="00D952F2" w:rsidP="00D952F2">
            <w:pPr>
              <w:rPr>
                <w:sz w:val="20"/>
                <w:szCs w:val="20"/>
                <w:lang w:val="en-US"/>
              </w:rPr>
            </w:pPr>
            <w:r w:rsidRPr="00E9158F">
              <w:rPr>
                <w:sz w:val="20"/>
                <w:szCs w:val="20"/>
                <w:lang w:val="en-US"/>
              </w:rPr>
              <w:t>01/02/2016</w:t>
            </w:r>
          </w:p>
        </w:tc>
        <w:tc>
          <w:tcPr>
            <w:tcW w:w="1167" w:type="dxa"/>
            <w:noWrap/>
            <w:hideMark/>
          </w:tcPr>
          <w:p w:rsidR="00D952F2" w:rsidRPr="00E9158F" w:rsidRDefault="00D952F2" w:rsidP="00D952F2">
            <w:pPr>
              <w:rPr>
                <w:sz w:val="20"/>
                <w:szCs w:val="20"/>
                <w:lang w:val="en-US"/>
              </w:rPr>
            </w:pPr>
            <w:r w:rsidRPr="00E9158F">
              <w:rPr>
                <w:sz w:val="20"/>
                <w:szCs w:val="20"/>
                <w:lang w:val="en-US"/>
              </w:rPr>
              <w:t>9-59 M</w:t>
            </w:r>
          </w:p>
        </w:tc>
        <w:tc>
          <w:tcPr>
            <w:tcW w:w="962" w:type="dxa"/>
            <w:noWrap/>
            <w:hideMark/>
          </w:tcPr>
          <w:p w:rsidR="00D952F2" w:rsidRPr="00E9158F" w:rsidRDefault="00D952F2" w:rsidP="00D952F2">
            <w:pPr>
              <w:rPr>
                <w:sz w:val="20"/>
                <w:szCs w:val="20"/>
                <w:lang w:val="en-US"/>
              </w:rPr>
            </w:pPr>
            <w:r w:rsidRPr="00E9158F">
              <w:rPr>
                <w:sz w:val="20"/>
                <w:szCs w:val="20"/>
                <w:lang w:val="en-US"/>
              </w:rPr>
              <w:t>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done</w:t>
            </w:r>
          </w:p>
        </w:tc>
        <w:tc>
          <w:tcPr>
            <w:tcW w:w="1412" w:type="dxa"/>
            <w:noWrap/>
            <w:hideMark/>
          </w:tcPr>
          <w:p w:rsidR="00D952F2" w:rsidRPr="00E9158F" w:rsidRDefault="00D952F2" w:rsidP="00D952F2">
            <w:pPr>
              <w:rPr>
                <w:sz w:val="20"/>
                <w:szCs w:val="20"/>
                <w:lang w:val="en-US"/>
              </w:rPr>
            </w:pPr>
            <w:r w:rsidRPr="00E9158F">
              <w:rPr>
                <w:sz w:val="20"/>
                <w:szCs w:val="20"/>
                <w:lang w:val="en-US"/>
              </w:rPr>
              <w:t>14</w:t>
            </w:r>
            <w:r w:rsidR="00E9158F">
              <w:rPr>
                <w:sz w:val="20"/>
                <w:szCs w:val="20"/>
                <w:lang w:val="en-US"/>
              </w:rPr>
              <w:t>,</w:t>
            </w:r>
            <w:r w:rsidRPr="00E9158F">
              <w:rPr>
                <w:sz w:val="20"/>
                <w:szCs w:val="20"/>
                <w:lang w:val="en-US"/>
              </w:rPr>
              <w:t>562</w:t>
            </w:r>
            <w:r w:rsidR="00E9158F">
              <w:rPr>
                <w:sz w:val="20"/>
                <w:szCs w:val="20"/>
                <w:lang w:val="en-US"/>
              </w:rPr>
              <w:t>,</w:t>
            </w:r>
            <w:r w:rsidRPr="00E9158F">
              <w:rPr>
                <w:sz w:val="20"/>
                <w:szCs w:val="20"/>
                <w:lang w:val="en-US"/>
              </w:rPr>
              <w:t>967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11/06/2016</w:t>
            </w:r>
          </w:p>
        </w:tc>
        <w:tc>
          <w:tcPr>
            <w:tcW w:w="1209" w:type="dxa"/>
            <w:noWrap/>
            <w:hideMark/>
          </w:tcPr>
          <w:p w:rsidR="00D952F2" w:rsidRPr="00E9158F" w:rsidRDefault="00D952F2" w:rsidP="00D952F2">
            <w:pPr>
              <w:rPr>
                <w:sz w:val="20"/>
                <w:szCs w:val="20"/>
                <w:lang w:val="en-US"/>
              </w:rPr>
            </w:pPr>
            <w:r w:rsidRPr="00E9158F">
              <w:rPr>
                <w:sz w:val="20"/>
                <w:szCs w:val="20"/>
                <w:lang w:val="en-US"/>
              </w:rPr>
              <w:t>14/06/2016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536</w:t>
            </w:r>
            <w:r w:rsidR="00E9158F">
              <w:rPr>
                <w:sz w:val="20"/>
                <w:szCs w:val="20"/>
                <w:lang w:val="en-US"/>
              </w:rPr>
              <w:t>,</w:t>
            </w:r>
            <w:r w:rsidRPr="00E9158F">
              <w:rPr>
                <w:sz w:val="20"/>
                <w:szCs w:val="20"/>
                <w:lang w:val="en-US"/>
              </w:rPr>
              <w:t>136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27/02/2016</w:t>
            </w:r>
          </w:p>
        </w:tc>
        <w:tc>
          <w:tcPr>
            <w:tcW w:w="1209" w:type="dxa"/>
            <w:noWrap/>
            <w:hideMark/>
          </w:tcPr>
          <w:p w:rsidR="00D952F2" w:rsidRPr="00E9158F" w:rsidRDefault="00D952F2" w:rsidP="00D952F2">
            <w:pPr>
              <w:rPr>
                <w:sz w:val="20"/>
                <w:szCs w:val="20"/>
                <w:lang w:val="en-US"/>
              </w:rPr>
            </w:pPr>
            <w:r w:rsidRPr="00E9158F">
              <w:rPr>
                <w:sz w:val="20"/>
                <w:szCs w:val="20"/>
                <w:lang w:val="en-US"/>
              </w:rPr>
              <w:t>01/03/2016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62</w:t>
            </w:r>
            <w:r w:rsidR="00E9158F">
              <w:rPr>
                <w:sz w:val="20"/>
                <w:szCs w:val="20"/>
                <w:lang w:val="en-US"/>
              </w:rPr>
              <w:t>,</w:t>
            </w:r>
            <w:r w:rsidRPr="00E9158F">
              <w:rPr>
                <w:sz w:val="20"/>
                <w:szCs w:val="20"/>
                <w:lang w:val="en-US"/>
              </w:rPr>
              <w:t>037</w:t>
            </w:r>
            <w:r w:rsidR="00E9158F">
              <w:rPr>
                <w:sz w:val="20"/>
                <w:szCs w:val="20"/>
                <w:lang w:val="en-US"/>
              </w:rPr>
              <w:t>,</w:t>
            </w:r>
            <w:r w:rsidRPr="00E9158F">
              <w:rPr>
                <w:sz w:val="20"/>
                <w:szCs w:val="20"/>
                <w:lang w:val="en-US"/>
              </w:rPr>
              <w:t>657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bOPV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15/10/2016</w:t>
            </w:r>
          </w:p>
        </w:tc>
        <w:tc>
          <w:tcPr>
            <w:tcW w:w="1209" w:type="dxa"/>
            <w:noWrap/>
            <w:hideMark/>
          </w:tcPr>
          <w:p w:rsidR="00D952F2" w:rsidRPr="00E9158F" w:rsidRDefault="00D952F2" w:rsidP="00D952F2">
            <w:pPr>
              <w:rPr>
                <w:sz w:val="20"/>
                <w:szCs w:val="20"/>
                <w:lang w:val="en-US"/>
              </w:rPr>
            </w:pPr>
            <w:r w:rsidRPr="00E9158F">
              <w:rPr>
                <w:sz w:val="20"/>
                <w:szCs w:val="20"/>
                <w:lang w:val="en-US"/>
              </w:rPr>
              <w:t>18/10/2016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27</w:t>
            </w:r>
            <w:r w:rsidR="00E9158F">
              <w:rPr>
                <w:sz w:val="20"/>
                <w:szCs w:val="20"/>
                <w:lang w:val="en-US"/>
              </w:rPr>
              <w:t>,</w:t>
            </w:r>
            <w:r w:rsidRPr="00E9158F">
              <w:rPr>
                <w:sz w:val="20"/>
                <w:szCs w:val="20"/>
                <w:lang w:val="en-US"/>
              </w:rPr>
              <w:t>916</w:t>
            </w:r>
            <w:r w:rsidR="00E9158F">
              <w:rPr>
                <w:sz w:val="20"/>
                <w:szCs w:val="20"/>
                <w:lang w:val="en-US"/>
              </w:rPr>
              <w:t>,</w:t>
            </w:r>
            <w:r w:rsidRPr="00E9158F">
              <w:rPr>
                <w:sz w:val="20"/>
                <w:szCs w:val="20"/>
                <w:lang w:val="en-US"/>
              </w:rPr>
              <w:t>946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16/01/2016</w:t>
            </w:r>
          </w:p>
        </w:tc>
        <w:tc>
          <w:tcPr>
            <w:tcW w:w="1209" w:type="dxa"/>
            <w:noWrap/>
            <w:hideMark/>
          </w:tcPr>
          <w:p w:rsidR="00D952F2" w:rsidRPr="00E9158F" w:rsidRDefault="00D952F2" w:rsidP="00D952F2">
            <w:pPr>
              <w:rPr>
                <w:sz w:val="20"/>
                <w:szCs w:val="20"/>
                <w:lang w:val="en-US"/>
              </w:rPr>
            </w:pPr>
            <w:r w:rsidRPr="00E9158F">
              <w:rPr>
                <w:sz w:val="20"/>
                <w:szCs w:val="20"/>
                <w:lang w:val="en-US"/>
              </w:rPr>
              <w:t>19/01/2016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528</w:t>
            </w:r>
            <w:r w:rsidR="00E9158F">
              <w:rPr>
                <w:sz w:val="20"/>
                <w:szCs w:val="20"/>
                <w:lang w:val="en-US"/>
              </w:rPr>
              <w:t>,</w:t>
            </w:r>
            <w:r w:rsidRPr="00E9158F">
              <w:rPr>
                <w:sz w:val="20"/>
                <w:szCs w:val="20"/>
                <w:lang w:val="en-US"/>
              </w:rPr>
              <w:t>986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09/05/2016</w:t>
            </w:r>
          </w:p>
        </w:tc>
        <w:tc>
          <w:tcPr>
            <w:tcW w:w="1209" w:type="dxa"/>
            <w:noWrap/>
            <w:hideMark/>
          </w:tcPr>
          <w:p w:rsidR="00D952F2" w:rsidRPr="00E9158F" w:rsidRDefault="00D952F2" w:rsidP="00D952F2">
            <w:pPr>
              <w:rPr>
                <w:sz w:val="20"/>
                <w:szCs w:val="20"/>
                <w:lang w:val="en-US"/>
              </w:rPr>
            </w:pPr>
            <w:r w:rsidRPr="00E9158F">
              <w:rPr>
                <w:sz w:val="20"/>
                <w:szCs w:val="20"/>
                <w:lang w:val="en-US"/>
              </w:rPr>
              <w:t>12/05/2016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670</w:t>
            </w:r>
            <w:r w:rsidR="00E9158F">
              <w:rPr>
                <w:sz w:val="20"/>
                <w:szCs w:val="20"/>
                <w:lang w:val="en-US"/>
              </w:rPr>
              <w:t>,</w:t>
            </w:r>
            <w:r w:rsidRPr="00E9158F">
              <w:rPr>
                <w:sz w:val="20"/>
                <w:szCs w:val="20"/>
                <w:lang w:val="en-US"/>
              </w:rPr>
              <w:t>459</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18/06/2016</w:t>
            </w:r>
          </w:p>
        </w:tc>
        <w:tc>
          <w:tcPr>
            <w:tcW w:w="1209" w:type="dxa"/>
            <w:noWrap/>
            <w:hideMark/>
          </w:tcPr>
          <w:p w:rsidR="00D952F2" w:rsidRPr="00E9158F" w:rsidRDefault="00D952F2" w:rsidP="00D952F2">
            <w:pPr>
              <w:rPr>
                <w:sz w:val="20"/>
                <w:szCs w:val="20"/>
                <w:lang w:val="en-US"/>
              </w:rPr>
            </w:pPr>
            <w:r w:rsidRPr="00E9158F">
              <w:rPr>
                <w:sz w:val="20"/>
                <w:szCs w:val="20"/>
                <w:lang w:val="en-US"/>
              </w:rPr>
              <w:t>19/06/2016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3</w:t>
            </w:r>
            <w:r w:rsidR="00E9158F">
              <w:rPr>
                <w:sz w:val="20"/>
                <w:szCs w:val="20"/>
                <w:lang w:val="en-US"/>
              </w:rPr>
              <w:t>,</w:t>
            </w:r>
            <w:r w:rsidRPr="00E9158F">
              <w:rPr>
                <w:sz w:val="20"/>
                <w:szCs w:val="20"/>
                <w:lang w:val="en-US"/>
              </w:rPr>
              <w:t>440</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19/03/2016</w:t>
            </w:r>
          </w:p>
        </w:tc>
        <w:tc>
          <w:tcPr>
            <w:tcW w:w="1209" w:type="dxa"/>
            <w:noWrap/>
            <w:hideMark/>
          </w:tcPr>
          <w:p w:rsidR="00D952F2" w:rsidRPr="00E9158F" w:rsidRDefault="00D952F2" w:rsidP="00D952F2">
            <w:pPr>
              <w:rPr>
                <w:sz w:val="20"/>
                <w:szCs w:val="20"/>
                <w:lang w:val="en-US"/>
              </w:rPr>
            </w:pPr>
            <w:r w:rsidRPr="00E9158F">
              <w:rPr>
                <w:sz w:val="20"/>
                <w:szCs w:val="20"/>
                <w:lang w:val="en-US"/>
              </w:rPr>
              <w:t>22/03/2016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62</w:t>
            </w:r>
            <w:r w:rsidR="00E9158F">
              <w:rPr>
                <w:sz w:val="20"/>
                <w:szCs w:val="20"/>
                <w:lang w:val="en-US"/>
              </w:rPr>
              <w:t>,</w:t>
            </w:r>
            <w:r w:rsidRPr="00E9158F">
              <w:rPr>
                <w:sz w:val="20"/>
                <w:szCs w:val="20"/>
                <w:lang w:val="en-US"/>
              </w:rPr>
              <w:t>037</w:t>
            </w:r>
            <w:r w:rsidR="00E9158F">
              <w:rPr>
                <w:sz w:val="20"/>
                <w:szCs w:val="20"/>
                <w:lang w:val="en-US"/>
              </w:rPr>
              <w:t>,</w:t>
            </w:r>
            <w:r w:rsidRPr="00E9158F">
              <w:rPr>
                <w:sz w:val="20"/>
                <w:szCs w:val="20"/>
                <w:lang w:val="en-US"/>
              </w:rPr>
              <w:t>657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bOPV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14/05/2016</w:t>
            </w:r>
          </w:p>
        </w:tc>
        <w:tc>
          <w:tcPr>
            <w:tcW w:w="1209" w:type="dxa"/>
            <w:noWrap/>
            <w:hideMark/>
          </w:tcPr>
          <w:p w:rsidR="00D952F2" w:rsidRPr="00E9158F" w:rsidRDefault="00D952F2" w:rsidP="00D952F2">
            <w:pPr>
              <w:rPr>
                <w:sz w:val="20"/>
                <w:szCs w:val="20"/>
                <w:lang w:val="en-US"/>
              </w:rPr>
            </w:pPr>
            <w:r w:rsidRPr="00E9158F">
              <w:rPr>
                <w:sz w:val="20"/>
                <w:szCs w:val="20"/>
                <w:lang w:val="en-US"/>
              </w:rPr>
              <w:t>18/05/2016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30</w:t>
            </w:r>
            <w:r w:rsidR="00E9158F">
              <w:rPr>
                <w:sz w:val="20"/>
                <w:szCs w:val="20"/>
                <w:lang w:val="en-US"/>
              </w:rPr>
              <w:t>,</w:t>
            </w:r>
            <w:r w:rsidRPr="00E9158F">
              <w:rPr>
                <w:sz w:val="20"/>
                <w:szCs w:val="20"/>
                <w:lang w:val="en-US"/>
              </w:rPr>
              <w:t>000</w:t>
            </w:r>
            <w:r w:rsidR="00E9158F">
              <w:rPr>
                <w:sz w:val="20"/>
                <w:szCs w:val="20"/>
                <w:lang w:val="en-US"/>
              </w:rPr>
              <w:t>,</w:t>
            </w:r>
            <w:r w:rsidRPr="00E9158F">
              <w:rPr>
                <w:sz w:val="20"/>
                <w:szCs w:val="20"/>
                <w:lang w:val="en-US"/>
              </w:rPr>
              <w:t>000</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16/01/2016</w:t>
            </w:r>
          </w:p>
        </w:tc>
        <w:tc>
          <w:tcPr>
            <w:tcW w:w="1209" w:type="dxa"/>
            <w:noWrap/>
            <w:hideMark/>
          </w:tcPr>
          <w:p w:rsidR="00D952F2" w:rsidRPr="00E9158F" w:rsidRDefault="00D952F2" w:rsidP="00D952F2">
            <w:pPr>
              <w:rPr>
                <w:sz w:val="20"/>
                <w:szCs w:val="20"/>
                <w:lang w:val="en-US"/>
              </w:rPr>
            </w:pPr>
            <w:r w:rsidRPr="00E9158F">
              <w:rPr>
                <w:sz w:val="20"/>
                <w:szCs w:val="20"/>
                <w:lang w:val="en-US"/>
              </w:rPr>
              <w:t>19/01/2016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27</w:t>
            </w:r>
            <w:r w:rsidR="00E9158F">
              <w:rPr>
                <w:sz w:val="20"/>
                <w:szCs w:val="20"/>
                <w:lang w:val="en-US"/>
              </w:rPr>
              <w:t>,</w:t>
            </w:r>
            <w:r w:rsidRPr="00E9158F">
              <w:rPr>
                <w:sz w:val="20"/>
                <w:szCs w:val="20"/>
                <w:lang w:val="en-US"/>
              </w:rPr>
              <w:t>500</w:t>
            </w:r>
            <w:r w:rsidR="00E9158F">
              <w:rPr>
                <w:sz w:val="20"/>
                <w:szCs w:val="20"/>
                <w:lang w:val="en-US"/>
              </w:rPr>
              <w:t>,</w:t>
            </w:r>
            <w:r w:rsidRPr="00E9158F">
              <w:rPr>
                <w:sz w:val="20"/>
                <w:szCs w:val="20"/>
                <w:lang w:val="en-US"/>
              </w:rPr>
              <w:t>275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IPV + 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09/07/2016</w:t>
            </w:r>
          </w:p>
        </w:tc>
        <w:tc>
          <w:tcPr>
            <w:tcW w:w="1209" w:type="dxa"/>
            <w:noWrap/>
            <w:hideMark/>
          </w:tcPr>
          <w:p w:rsidR="00D952F2" w:rsidRPr="00E9158F" w:rsidRDefault="00D952F2" w:rsidP="00D952F2">
            <w:pPr>
              <w:rPr>
                <w:sz w:val="20"/>
                <w:szCs w:val="20"/>
                <w:lang w:val="en-US"/>
              </w:rPr>
            </w:pPr>
            <w:r w:rsidRPr="00E9158F">
              <w:rPr>
                <w:sz w:val="20"/>
                <w:szCs w:val="20"/>
                <w:lang w:val="en-US"/>
              </w:rPr>
              <w:t>16/07/2016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years,0-23M</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534</w:t>
            </w:r>
            <w:r w:rsidR="00E9158F">
              <w:rPr>
                <w:sz w:val="20"/>
                <w:szCs w:val="20"/>
                <w:lang w:val="en-US"/>
              </w:rPr>
              <w:t>,</w:t>
            </w:r>
            <w:r w:rsidRPr="00E9158F">
              <w:rPr>
                <w:sz w:val="20"/>
                <w:szCs w:val="20"/>
                <w:lang w:val="en-US"/>
              </w:rPr>
              <w:t>469</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25/06/2016</w:t>
            </w:r>
          </w:p>
        </w:tc>
        <w:tc>
          <w:tcPr>
            <w:tcW w:w="1209" w:type="dxa"/>
            <w:noWrap/>
            <w:hideMark/>
          </w:tcPr>
          <w:p w:rsidR="00D952F2" w:rsidRPr="00E9158F" w:rsidRDefault="00D952F2" w:rsidP="00D952F2">
            <w:pPr>
              <w:rPr>
                <w:sz w:val="20"/>
                <w:szCs w:val="20"/>
                <w:lang w:val="en-US"/>
              </w:rPr>
            </w:pPr>
            <w:r w:rsidRPr="00E9158F">
              <w:rPr>
                <w:sz w:val="20"/>
                <w:szCs w:val="20"/>
                <w:lang w:val="en-US"/>
              </w:rPr>
              <w:t>28/06/2016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957</w:t>
            </w:r>
            <w:r w:rsidR="00E9158F">
              <w:rPr>
                <w:sz w:val="20"/>
                <w:szCs w:val="20"/>
                <w:lang w:val="en-US"/>
              </w:rPr>
              <w:t>,</w:t>
            </w:r>
            <w:r w:rsidRPr="00E9158F">
              <w:rPr>
                <w:sz w:val="20"/>
                <w:szCs w:val="20"/>
                <w:lang w:val="en-US"/>
              </w:rPr>
              <w:t>604</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23/07/2016</w:t>
            </w:r>
          </w:p>
        </w:tc>
        <w:tc>
          <w:tcPr>
            <w:tcW w:w="1209" w:type="dxa"/>
            <w:noWrap/>
            <w:hideMark/>
          </w:tcPr>
          <w:p w:rsidR="00D952F2" w:rsidRPr="00E9158F" w:rsidRDefault="00D952F2" w:rsidP="00D952F2">
            <w:pPr>
              <w:rPr>
                <w:sz w:val="20"/>
                <w:szCs w:val="20"/>
                <w:lang w:val="en-US"/>
              </w:rPr>
            </w:pPr>
            <w:r w:rsidRPr="00E9158F">
              <w:rPr>
                <w:sz w:val="20"/>
                <w:szCs w:val="20"/>
                <w:lang w:val="en-US"/>
              </w:rPr>
              <w:t>26/07/2016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955</w:t>
            </w:r>
            <w:r w:rsidR="00E9158F">
              <w:rPr>
                <w:sz w:val="20"/>
                <w:szCs w:val="20"/>
                <w:lang w:val="en-US"/>
              </w:rPr>
              <w:t>,</w:t>
            </w:r>
            <w:r w:rsidRPr="00E9158F">
              <w:rPr>
                <w:sz w:val="20"/>
                <w:szCs w:val="20"/>
                <w:lang w:val="en-US"/>
              </w:rPr>
              <w:t>575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27/08/2016</w:t>
            </w:r>
          </w:p>
        </w:tc>
        <w:tc>
          <w:tcPr>
            <w:tcW w:w="1209" w:type="dxa"/>
            <w:noWrap/>
            <w:hideMark/>
          </w:tcPr>
          <w:p w:rsidR="00D952F2" w:rsidRPr="00E9158F" w:rsidRDefault="00D952F2" w:rsidP="00D952F2">
            <w:pPr>
              <w:rPr>
                <w:sz w:val="20"/>
                <w:szCs w:val="20"/>
                <w:lang w:val="en-US"/>
              </w:rPr>
            </w:pPr>
            <w:r w:rsidRPr="00E9158F">
              <w:rPr>
                <w:sz w:val="20"/>
                <w:szCs w:val="20"/>
                <w:lang w:val="en-US"/>
              </w:rPr>
              <w:t>30/08/2016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955</w:t>
            </w:r>
            <w:r w:rsidR="00E9158F">
              <w:rPr>
                <w:sz w:val="20"/>
                <w:szCs w:val="20"/>
                <w:lang w:val="en-US"/>
              </w:rPr>
              <w:t>,</w:t>
            </w:r>
            <w:r w:rsidRPr="00E9158F">
              <w:rPr>
                <w:sz w:val="20"/>
                <w:szCs w:val="20"/>
                <w:lang w:val="en-US"/>
              </w:rPr>
              <w:t>575</w:t>
            </w:r>
          </w:p>
        </w:tc>
      </w:tr>
    </w:tbl>
    <w:p w:rsidR="00E86411" w:rsidRPr="00C235C2" w:rsidRDefault="00EB5F5D" w:rsidP="00C235C2">
      <w:pPr>
        <w:rPr>
          <w:lang w:val="en-US"/>
        </w:rPr>
      </w:pPr>
      <w:r w:rsidRPr="00EA6F8C">
        <w:rPr>
          <w:lang w:val="en-US"/>
        </w:rPr>
        <w:t>Source: WHO/IVB Database as at 12/4/2016</w:t>
      </w:r>
      <w:bookmarkStart w:id="0" w:name="_GoBack"/>
      <w:bookmarkEnd w:id="0"/>
    </w:p>
    <w:sectPr w:rsidR="00E86411" w:rsidRPr="00C235C2" w:rsidSect="00CA663B">
      <w:footerReference w:type="default" r:id="rId10"/>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56E" w:rsidRDefault="00E4056E">
      <w:pPr>
        <w:spacing w:after="0" w:line="240" w:lineRule="auto"/>
      </w:pPr>
      <w:r>
        <w:separator/>
      </w:r>
    </w:p>
  </w:endnote>
  <w:endnote w:type="continuationSeparator" w:id="0">
    <w:p w:rsidR="00E4056E" w:rsidRDefault="00E4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C235C2">
          <w:rPr>
            <w:noProof/>
          </w:rPr>
          <w:t>4</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56E" w:rsidRDefault="00E4056E">
      <w:pPr>
        <w:spacing w:after="0" w:line="240" w:lineRule="auto"/>
      </w:pPr>
      <w:r>
        <w:separator/>
      </w:r>
    </w:p>
  </w:footnote>
  <w:footnote w:type="continuationSeparator" w:id="0">
    <w:p w:rsidR="00E4056E" w:rsidRDefault="00E4056E">
      <w:pPr>
        <w:spacing w:after="0" w:line="240" w:lineRule="auto"/>
      </w:pPr>
      <w:r>
        <w:continuationSeparator/>
      </w:r>
    </w:p>
  </w:footnote>
  <w:footnote w:id="1">
    <w:p w:rsidR="00EE6083" w:rsidRPr="009D7CB0" w:rsidRDefault="00EE6083">
      <w:pPr>
        <w:pStyle w:val="FootnoteText"/>
        <w:rPr>
          <w:lang w:val="en-US"/>
        </w:rPr>
      </w:pPr>
      <w:r>
        <w:rPr>
          <w:rStyle w:val="FootnoteReference"/>
        </w:rPr>
        <w:footnoteRef/>
      </w:r>
      <w:r>
        <w:t xml:space="preserve"> </w:t>
      </w:r>
      <w:r>
        <w:rPr>
          <w:lang w:val="en-US"/>
        </w:rPr>
        <w:t xml:space="preserve">WHO, Highlights of new wild poliovirus and </w:t>
      </w:r>
      <w:proofErr w:type="spellStart"/>
      <w:r>
        <w:rPr>
          <w:lang w:val="en-US"/>
        </w:rPr>
        <w:t>cVDPV</w:t>
      </w:r>
      <w:proofErr w:type="spellEnd"/>
      <w:r>
        <w:rPr>
          <w:lang w:val="en-US"/>
        </w:rPr>
        <w:t xml:space="preserve"> cases reported globally, week of August 9, 2016 (presentation).</w:t>
      </w:r>
    </w:p>
  </w:footnote>
  <w:footnote w:id="2">
    <w:p w:rsidR="00EE6083" w:rsidRPr="00B50567" w:rsidRDefault="00EE6083">
      <w:pPr>
        <w:pStyle w:val="FootnoteText"/>
        <w:rPr>
          <w:lang w:val="en-US"/>
        </w:rPr>
      </w:pPr>
      <w:r>
        <w:rPr>
          <w:rStyle w:val="FootnoteReference"/>
        </w:rPr>
        <w:footnoteRef/>
      </w:r>
      <w:r>
        <w:t xml:space="preserve"> </w:t>
      </w:r>
      <w:r>
        <w:rPr>
          <w:lang w:val="en-US"/>
        </w:rPr>
        <w:t xml:space="preserve">These are recently revised estimates that were lowered following a recent survey.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50FD0"/>
    <w:rsid w:val="00361F07"/>
    <w:rsid w:val="00364589"/>
    <w:rsid w:val="00370616"/>
    <w:rsid w:val="00371B50"/>
    <w:rsid w:val="00373BA5"/>
    <w:rsid w:val="003A7680"/>
    <w:rsid w:val="003B290A"/>
    <w:rsid w:val="003B59D3"/>
    <w:rsid w:val="003B6F84"/>
    <w:rsid w:val="003D24BB"/>
    <w:rsid w:val="003D6679"/>
    <w:rsid w:val="003D6F13"/>
    <w:rsid w:val="003E30EC"/>
    <w:rsid w:val="003E68D8"/>
    <w:rsid w:val="003F4825"/>
    <w:rsid w:val="00432B70"/>
    <w:rsid w:val="00436537"/>
    <w:rsid w:val="00437FD4"/>
    <w:rsid w:val="00441EDC"/>
    <w:rsid w:val="00457E0A"/>
    <w:rsid w:val="00460FC0"/>
    <w:rsid w:val="004826EF"/>
    <w:rsid w:val="00492F98"/>
    <w:rsid w:val="004A394A"/>
    <w:rsid w:val="004B5B75"/>
    <w:rsid w:val="004C322B"/>
    <w:rsid w:val="004C4AD6"/>
    <w:rsid w:val="004D307D"/>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11B99"/>
    <w:rsid w:val="00E1686A"/>
    <w:rsid w:val="00E37109"/>
    <w:rsid w:val="00E4056E"/>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22"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c:f>
              <c:strCache>
                <c:ptCount val="1"/>
                <c:pt idx="0">
                  <c:v>WPV</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numRef>
              <c:f>Sheet1!$A$4:$A$10</c:f>
              <c:numCache>
                <c:formatCode>General</c:formatCode>
                <c:ptCount val="7"/>
                <c:pt idx="0">
                  <c:v>2009</c:v>
                </c:pt>
                <c:pt idx="1">
                  <c:v>2010</c:v>
                </c:pt>
                <c:pt idx="2">
                  <c:v>2011</c:v>
                </c:pt>
                <c:pt idx="3">
                  <c:v>2012</c:v>
                </c:pt>
                <c:pt idx="4">
                  <c:v>2013</c:v>
                </c:pt>
                <c:pt idx="5">
                  <c:v>2014</c:v>
                </c:pt>
                <c:pt idx="6">
                  <c:v>2015</c:v>
                </c:pt>
              </c:numCache>
            </c:numRef>
          </c:cat>
          <c:val>
            <c:numRef>
              <c:f>Sheet1!$B$4:$B$10</c:f>
              <c:numCache>
                <c:formatCode>General</c:formatCode>
                <c:ptCount val="7"/>
                <c:pt idx="1">
                  <c:v>21</c:v>
                </c:pt>
                <c:pt idx="2">
                  <c:v>62</c:v>
                </c:pt>
                <c:pt idx="3">
                  <c:v>122</c:v>
                </c:pt>
                <c:pt idx="4">
                  <c:v>53</c:v>
                </c:pt>
                <c:pt idx="5">
                  <c:v>6</c:v>
                </c:pt>
                <c:pt idx="6">
                  <c:v>0</c:v>
                </c:pt>
              </c:numCache>
            </c:numRef>
          </c:val>
          <c:smooth val="0"/>
        </c:ser>
        <c:ser>
          <c:idx val="1"/>
          <c:order val="1"/>
          <c:tx>
            <c:strRef>
              <c:f>Sheet1!$C$3</c:f>
              <c:strCache>
                <c:ptCount val="1"/>
                <c:pt idx="0">
                  <c:v>VDPV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Sheet1!$A$4:$A$10</c:f>
              <c:numCache>
                <c:formatCode>General</c:formatCode>
                <c:ptCount val="7"/>
                <c:pt idx="0">
                  <c:v>2009</c:v>
                </c:pt>
                <c:pt idx="1">
                  <c:v>2010</c:v>
                </c:pt>
                <c:pt idx="2">
                  <c:v>2011</c:v>
                </c:pt>
                <c:pt idx="3">
                  <c:v>2012</c:v>
                </c:pt>
                <c:pt idx="4">
                  <c:v>2013</c:v>
                </c:pt>
                <c:pt idx="5">
                  <c:v>2014</c:v>
                </c:pt>
                <c:pt idx="6">
                  <c:v>2015</c:v>
                </c:pt>
              </c:numCache>
            </c:numRef>
          </c:cat>
          <c:val>
            <c:numRef>
              <c:f>Sheet1!$C$4:$C$10</c:f>
              <c:numCache>
                <c:formatCode>General</c:formatCode>
                <c:ptCount val="7"/>
                <c:pt idx="0">
                  <c:v>155</c:v>
                </c:pt>
                <c:pt idx="1">
                  <c:v>27</c:v>
                </c:pt>
                <c:pt idx="2">
                  <c:v>34</c:v>
                </c:pt>
                <c:pt idx="3">
                  <c:v>8</c:v>
                </c:pt>
                <c:pt idx="4">
                  <c:v>4</c:v>
                </c:pt>
                <c:pt idx="5">
                  <c:v>30</c:v>
                </c:pt>
                <c:pt idx="6">
                  <c:v>1</c:v>
                </c:pt>
              </c:numCache>
            </c:numRef>
          </c:val>
          <c:smooth val="0"/>
        </c:ser>
        <c:dLbls>
          <c:showLegendKey val="0"/>
          <c:showVal val="0"/>
          <c:showCatName val="0"/>
          <c:showSerName val="0"/>
          <c:showPercent val="0"/>
          <c:showBubbleSize val="0"/>
        </c:dLbls>
        <c:marker val="1"/>
        <c:smooth val="0"/>
        <c:axId val="161362304"/>
        <c:axId val="161364992"/>
      </c:lineChart>
      <c:catAx>
        <c:axId val="16136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64992"/>
        <c:crosses val="autoZero"/>
        <c:auto val="1"/>
        <c:lblAlgn val="ctr"/>
        <c:lblOffset val="100"/>
        <c:noMultiLvlLbl val="0"/>
      </c:catAx>
      <c:valAx>
        <c:axId val="161364992"/>
        <c:scaling>
          <c:orientation val="minMax"/>
          <c:max val="1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6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98C7B00-445F-4EA4-B8A2-57C5F467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2016-08-25T14:08:00Z</dcterms:created>
  <dcterms:modified xsi:type="dcterms:W3CDTF">2016-08-25T14:08:00Z</dcterms:modified>
</cp:coreProperties>
</file>