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4C44D" w14:textId="77777777" w:rsidR="00B93354" w:rsidRPr="00C27BB5" w:rsidRDefault="00B93354" w:rsidP="00B93354">
      <w:pPr>
        <w:jc w:val="center"/>
        <w:rPr>
          <w:b/>
          <w:sz w:val="40"/>
          <w:szCs w:val="40"/>
        </w:rPr>
      </w:pPr>
      <w:r w:rsidRPr="00C27BB5">
        <w:rPr>
          <w:b/>
          <w:sz w:val="40"/>
          <w:szCs w:val="40"/>
        </w:rPr>
        <w:t>Global Vaccine Action Plan</w:t>
      </w:r>
    </w:p>
    <w:p w14:paraId="3AFBAA78" w14:textId="77777777" w:rsidR="00B93354" w:rsidRDefault="00B93354" w:rsidP="00B93354">
      <w:pPr>
        <w:jc w:val="center"/>
        <w:rPr>
          <w:i/>
          <w:sz w:val="40"/>
          <w:szCs w:val="40"/>
        </w:rPr>
      </w:pPr>
      <w:r w:rsidRPr="00C27BB5">
        <w:rPr>
          <w:i/>
          <w:sz w:val="40"/>
          <w:szCs w:val="40"/>
        </w:rPr>
        <w:t>Secretariat Annual Report 2016</w:t>
      </w:r>
    </w:p>
    <w:p w14:paraId="63C79808" w14:textId="77777777" w:rsidR="00B93354" w:rsidRDefault="00B93354" w:rsidP="00B93354">
      <w:pPr>
        <w:jc w:val="center"/>
        <w:rPr>
          <w:i/>
          <w:sz w:val="40"/>
          <w:szCs w:val="40"/>
        </w:rPr>
      </w:pPr>
      <w:r>
        <w:rPr>
          <w:i/>
          <w:sz w:val="40"/>
          <w:szCs w:val="40"/>
        </w:rPr>
        <w:t>Priority C</w:t>
      </w:r>
      <w:r w:rsidRPr="00C27BB5">
        <w:rPr>
          <w:i/>
          <w:sz w:val="40"/>
          <w:szCs w:val="40"/>
        </w:rPr>
        <w:t xml:space="preserve">ountry report on progress towards </w:t>
      </w:r>
    </w:p>
    <w:p w14:paraId="7B204DF5" w14:textId="77777777" w:rsidR="00B93354" w:rsidRPr="00C27BB5" w:rsidRDefault="00B93354" w:rsidP="00B93354">
      <w:pPr>
        <w:jc w:val="center"/>
        <w:rPr>
          <w:i/>
          <w:sz w:val="40"/>
          <w:szCs w:val="40"/>
        </w:rPr>
      </w:pPr>
      <w:r>
        <w:rPr>
          <w:i/>
          <w:sz w:val="40"/>
          <w:szCs w:val="40"/>
        </w:rPr>
        <w:t>GVAP-RVAP</w:t>
      </w:r>
      <w:r w:rsidRPr="00C27BB5">
        <w:rPr>
          <w:i/>
          <w:sz w:val="40"/>
          <w:szCs w:val="40"/>
        </w:rPr>
        <w:t xml:space="preserve"> goals </w:t>
      </w:r>
    </w:p>
    <w:p w14:paraId="215BB527" w14:textId="77777777" w:rsidR="00B93354" w:rsidRDefault="00B93354" w:rsidP="00B93354">
      <w:pPr>
        <w:jc w:val="center"/>
        <w:rPr>
          <w:rFonts w:ascii="Arial" w:hAnsi="Arial"/>
          <w:b/>
          <w:sz w:val="32"/>
        </w:rPr>
      </w:pPr>
    </w:p>
    <w:p w14:paraId="1EDFED1D" w14:textId="383B1A86" w:rsidR="00B93354" w:rsidRDefault="00B93354" w:rsidP="003A6CF9">
      <w:pPr>
        <w:jc w:val="center"/>
        <w:rPr>
          <w:rFonts w:ascii="Arial" w:hAnsi="Arial" w:cs="Arial"/>
          <w:b/>
          <w:sz w:val="32"/>
          <w:lang w:val="en-US"/>
        </w:rPr>
      </w:pPr>
      <w:r>
        <w:rPr>
          <w:rFonts w:ascii="Arial" w:hAnsi="Arial"/>
          <w:b/>
          <w:sz w:val="36"/>
        </w:rPr>
        <w:t>INDONESIA</w:t>
      </w:r>
    </w:p>
    <w:p w14:paraId="0F982F21" w14:textId="77777777" w:rsidR="00B93354" w:rsidRDefault="00B93354" w:rsidP="003A6CF9">
      <w:pPr>
        <w:jc w:val="center"/>
        <w:rPr>
          <w:rFonts w:ascii="Arial" w:hAnsi="Arial" w:cs="Arial"/>
          <w:b/>
          <w:sz w:val="32"/>
          <w:lang w:val="en-US"/>
        </w:rPr>
      </w:pPr>
    </w:p>
    <w:p w14:paraId="1D623B59" w14:textId="77777777" w:rsidR="00457E0A" w:rsidRPr="003A6CF9" w:rsidRDefault="00457E0A" w:rsidP="00457E0A">
      <w:pPr>
        <w:pStyle w:val="ListParagraph"/>
        <w:numPr>
          <w:ilvl w:val="0"/>
          <w:numId w:val="3"/>
        </w:numPr>
        <w:rPr>
          <w:rFonts w:ascii="Arial" w:hAnsi="Arial" w:cs="Arial"/>
          <w:b/>
          <w:sz w:val="26"/>
          <w:szCs w:val="26"/>
        </w:rPr>
      </w:pPr>
      <w:r w:rsidRPr="003A6CF9">
        <w:rPr>
          <w:rFonts w:ascii="Arial" w:hAnsi="Arial" w:cs="Arial"/>
          <w:b/>
          <w:sz w:val="26"/>
          <w:szCs w:val="26"/>
        </w:rPr>
        <w:t xml:space="preserve">Progress towards achievement of GVAP goals </w:t>
      </w:r>
    </w:p>
    <w:p w14:paraId="5C8B88FE" w14:textId="77777777" w:rsidR="00457E0A" w:rsidRPr="00457E0A" w:rsidRDefault="00457E0A" w:rsidP="00457E0A">
      <w:pPr>
        <w:pStyle w:val="ListParagraph"/>
        <w:rPr>
          <w:rFonts w:ascii="Arial" w:hAnsi="Arial" w:cs="Arial"/>
          <w:b/>
        </w:rPr>
      </w:pPr>
    </w:p>
    <w:p w14:paraId="701352EF" w14:textId="77777777" w:rsidR="00163179" w:rsidRDefault="00C67C9D" w:rsidP="00163179">
      <w:pPr>
        <w:pStyle w:val="ListParagraph"/>
        <w:numPr>
          <w:ilvl w:val="0"/>
          <w:numId w:val="1"/>
        </w:numPr>
        <w:rPr>
          <w:rFonts w:ascii="Arial" w:hAnsi="Arial" w:cs="Arial"/>
          <w:b/>
        </w:rPr>
      </w:pPr>
      <w:r>
        <w:rPr>
          <w:rFonts w:ascii="Arial" w:hAnsi="Arial" w:cs="Arial"/>
          <w:b/>
        </w:rPr>
        <w:t xml:space="preserve">Summary </w:t>
      </w:r>
    </w:p>
    <w:p w14:paraId="2A48FB84" w14:textId="0C137287" w:rsidR="00BA2589" w:rsidRDefault="00BA2589" w:rsidP="003D5A80">
      <w:pPr>
        <w:rPr>
          <w:rFonts w:ascii="Arial" w:hAnsi="Arial" w:cs="Arial"/>
        </w:rPr>
      </w:pPr>
      <w:r w:rsidRPr="0000352E">
        <w:rPr>
          <w:rFonts w:ascii="Arial" w:hAnsi="Arial" w:cs="Arial"/>
        </w:rPr>
        <w:t xml:space="preserve">This </w:t>
      </w:r>
      <w:r w:rsidR="006C334B">
        <w:rPr>
          <w:rFonts w:ascii="Arial" w:hAnsi="Arial" w:cs="Arial"/>
        </w:rPr>
        <w:t xml:space="preserve">summary table describes </w:t>
      </w:r>
      <w:r w:rsidRPr="0000352E">
        <w:rPr>
          <w:rFonts w:ascii="Arial" w:hAnsi="Arial" w:cs="Arial"/>
        </w:rPr>
        <w:t xml:space="preserve">the current situation in </w:t>
      </w:r>
      <w:r w:rsidR="003D5A80">
        <w:rPr>
          <w:rFonts w:ascii="Arial" w:hAnsi="Arial" w:cs="Arial"/>
        </w:rPr>
        <w:t xml:space="preserve">Indonesia </w:t>
      </w:r>
      <w:r w:rsidRPr="0000352E">
        <w:rPr>
          <w:rFonts w:ascii="Arial" w:hAnsi="Arial" w:cs="Arial"/>
        </w:rPr>
        <w:t>regarding achieving the GVAP goals.</w:t>
      </w:r>
      <w:r w:rsidR="00492F98">
        <w:rPr>
          <w:rFonts w:ascii="Arial" w:hAnsi="Arial" w:cs="Arial"/>
        </w:rPr>
        <w:t xml:space="preserve"> </w:t>
      </w:r>
      <w:r w:rsidR="00500171">
        <w:rPr>
          <w:rFonts w:ascii="Arial" w:hAnsi="Arial" w:cs="Arial"/>
        </w:rPr>
        <w:t>D</w:t>
      </w:r>
      <w:r w:rsidR="00696E6A">
        <w:rPr>
          <w:rFonts w:ascii="Arial" w:hAnsi="Arial" w:cs="Arial"/>
        </w:rPr>
        <w:t xml:space="preserve">ata </w:t>
      </w:r>
      <w:r w:rsidR="00E11B99">
        <w:rPr>
          <w:rFonts w:ascii="Arial" w:hAnsi="Arial" w:cs="Arial"/>
        </w:rPr>
        <w:t xml:space="preserve">used to assess progress towards achievement of </w:t>
      </w:r>
      <w:r w:rsidR="00696E6A">
        <w:rPr>
          <w:rFonts w:ascii="Arial" w:hAnsi="Arial" w:cs="Arial"/>
        </w:rPr>
        <w:t xml:space="preserve">GVAP goals </w:t>
      </w:r>
      <w:r w:rsidR="003A6CF9">
        <w:rPr>
          <w:rFonts w:ascii="Arial" w:hAnsi="Arial" w:cs="Arial"/>
        </w:rPr>
        <w:t>can be found</w:t>
      </w:r>
      <w:r w:rsidR="00696E6A">
        <w:rPr>
          <w:rFonts w:ascii="Arial" w:hAnsi="Arial" w:cs="Arial"/>
        </w:rPr>
        <w:t xml:space="preserve"> in the annex.</w:t>
      </w:r>
    </w:p>
    <w:tbl>
      <w:tblPr>
        <w:tblW w:w="9291" w:type="dxa"/>
        <w:jc w:val="center"/>
        <w:tblLook w:val="04A0" w:firstRow="1" w:lastRow="0" w:firstColumn="1" w:lastColumn="0" w:noHBand="0" w:noVBand="1"/>
      </w:tblPr>
      <w:tblGrid>
        <w:gridCol w:w="3201"/>
        <w:gridCol w:w="3880"/>
        <w:gridCol w:w="2210"/>
      </w:tblGrid>
      <w:tr w:rsidR="00A44EBD" w:rsidRPr="00A44EBD" w14:paraId="5DA54860" w14:textId="77777777" w:rsidTr="00F246CA">
        <w:trPr>
          <w:trHeight w:val="675"/>
          <w:tblHeader/>
          <w:jc w:val="center"/>
        </w:trPr>
        <w:tc>
          <w:tcPr>
            <w:tcW w:w="32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41D87C" w14:textId="77777777" w:rsidR="00A44EBD" w:rsidRPr="00A44EBD" w:rsidRDefault="00A44EBD" w:rsidP="00A44EBD">
            <w:pPr>
              <w:spacing w:after="0" w:line="240" w:lineRule="auto"/>
              <w:rPr>
                <w:rFonts w:ascii="Calibri" w:eastAsia="Times New Roman" w:hAnsi="Calibri" w:cs="Calibri"/>
                <w:b/>
                <w:bCs/>
                <w:color w:val="000000"/>
                <w:sz w:val="28"/>
                <w:szCs w:val="28"/>
                <w:lang w:eastAsia="en-GB"/>
              </w:rPr>
            </w:pPr>
            <w:r w:rsidRPr="00A44EBD">
              <w:rPr>
                <w:rFonts w:ascii="Calibri" w:eastAsia="Times New Roman" w:hAnsi="Calibri" w:cs="Calibri"/>
                <w:b/>
                <w:bCs/>
                <w:color w:val="000000"/>
                <w:sz w:val="28"/>
                <w:szCs w:val="28"/>
                <w:lang w:eastAsia="en-GB"/>
              </w:rPr>
              <w:t>Area</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701B07DA" w14:textId="77777777" w:rsidR="00A44EBD" w:rsidRPr="00A44EBD" w:rsidRDefault="00A44EBD" w:rsidP="00A44EBD">
            <w:pPr>
              <w:spacing w:after="0" w:line="240" w:lineRule="auto"/>
              <w:rPr>
                <w:rFonts w:ascii="Calibri" w:eastAsia="Times New Roman" w:hAnsi="Calibri" w:cs="Calibri"/>
                <w:b/>
                <w:bCs/>
                <w:color w:val="000000"/>
                <w:sz w:val="28"/>
                <w:szCs w:val="28"/>
                <w:lang w:eastAsia="en-GB"/>
              </w:rPr>
            </w:pPr>
            <w:r w:rsidRPr="00A44EBD">
              <w:rPr>
                <w:rFonts w:ascii="Calibri" w:eastAsia="Times New Roman" w:hAnsi="Calibri" w:cs="Calibri"/>
                <w:b/>
                <w:bCs/>
                <w:color w:val="000000"/>
                <w:sz w:val="28"/>
                <w:szCs w:val="28"/>
                <w:lang w:eastAsia="en-GB"/>
              </w:rPr>
              <w:t>Indicator</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14:paraId="68DF67FD" w14:textId="77777777" w:rsidR="00A44EBD" w:rsidRPr="00A44EBD" w:rsidRDefault="00A44EBD" w:rsidP="00A44EBD">
            <w:pPr>
              <w:spacing w:after="0" w:line="240" w:lineRule="auto"/>
              <w:jc w:val="center"/>
              <w:rPr>
                <w:rFonts w:ascii="Calibri" w:eastAsia="Times New Roman" w:hAnsi="Calibri" w:cs="Calibri"/>
                <w:b/>
                <w:bCs/>
                <w:color w:val="000000"/>
                <w:sz w:val="28"/>
                <w:szCs w:val="28"/>
                <w:lang w:eastAsia="en-GB"/>
              </w:rPr>
            </w:pPr>
            <w:r w:rsidRPr="00A44EBD">
              <w:rPr>
                <w:rFonts w:ascii="Calibri" w:eastAsia="Times New Roman" w:hAnsi="Calibri" w:cs="Calibri"/>
                <w:b/>
                <w:bCs/>
                <w:color w:val="000000"/>
                <w:sz w:val="28"/>
                <w:szCs w:val="28"/>
                <w:lang w:eastAsia="en-GB"/>
              </w:rPr>
              <w:t>Indonesia</w:t>
            </w:r>
          </w:p>
        </w:tc>
      </w:tr>
      <w:tr w:rsidR="00A44EBD" w:rsidRPr="00A44EBD" w14:paraId="45089B26" w14:textId="77777777" w:rsidTr="00FF0E7F">
        <w:trPr>
          <w:trHeight w:val="800"/>
          <w:jc w:val="center"/>
        </w:trPr>
        <w:tc>
          <w:tcPr>
            <w:tcW w:w="3201" w:type="dxa"/>
            <w:tcBorders>
              <w:top w:val="nil"/>
              <w:left w:val="single" w:sz="4" w:space="0" w:color="auto"/>
              <w:bottom w:val="single" w:sz="4" w:space="0" w:color="auto"/>
              <w:right w:val="single" w:sz="4" w:space="0" w:color="auto"/>
            </w:tcBorders>
            <w:shd w:val="clear" w:color="000000" w:fill="FDE9D9"/>
            <w:hideMark/>
          </w:tcPr>
          <w:p w14:paraId="04C0D2F3" w14:textId="37109BB6" w:rsidR="00A44EBD" w:rsidRPr="00A44EBD" w:rsidRDefault="00A44EBD" w:rsidP="00FF0E7F">
            <w:pPr>
              <w:spacing w:after="0" w:line="240" w:lineRule="auto"/>
              <w:rPr>
                <w:rFonts w:ascii="Calibri" w:eastAsia="Times New Roman" w:hAnsi="Calibri" w:cs="Calibri"/>
                <w:b/>
                <w:bCs/>
                <w:color w:val="000000"/>
                <w:lang w:eastAsia="en-GB"/>
              </w:rPr>
            </w:pPr>
            <w:r w:rsidRPr="00A44EBD">
              <w:rPr>
                <w:rFonts w:ascii="Calibri" w:eastAsia="Times New Roman" w:hAnsi="Calibri" w:cs="Calibri"/>
                <w:b/>
                <w:bCs/>
                <w:color w:val="000000"/>
                <w:lang w:eastAsia="en-GB"/>
              </w:rPr>
              <w:t xml:space="preserve">10. Government expenditure on routine immunization per live birth </w:t>
            </w:r>
            <w:r w:rsidR="00FF0E7F">
              <w:rPr>
                <w:rFonts w:ascii="Calibri" w:eastAsia="Times New Roman" w:hAnsi="Calibri" w:cs="Calibri"/>
                <w:b/>
                <w:bCs/>
                <w:color w:val="000000"/>
                <w:lang w:eastAsia="en-GB"/>
              </w:rPr>
              <w:t>(</w:t>
            </w:r>
            <w:r w:rsidRPr="00A44EBD">
              <w:rPr>
                <w:rFonts w:ascii="Calibri" w:eastAsia="Times New Roman" w:hAnsi="Calibri" w:cs="Calibri"/>
                <w:b/>
                <w:bCs/>
                <w:color w:val="000000"/>
                <w:lang w:eastAsia="en-GB"/>
              </w:rPr>
              <w:t>USD</w:t>
            </w:r>
            <w:r w:rsidR="00FF0E7F">
              <w:rPr>
                <w:rFonts w:ascii="Calibri" w:eastAsia="Times New Roman" w:hAnsi="Calibri" w:cs="Calibri"/>
                <w:b/>
                <w:bCs/>
                <w:color w:val="000000"/>
                <w:lang w:eastAsia="en-GB"/>
              </w:rPr>
              <w:t>)</w:t>
            </w:r>
          </w:p>
        </w:tc>
        <w:tc>
          <w:tcPr>
            <w:tcW w:w="3880" w:type="dxa"/>
            <w:tcBorders>
              <w:top w:val="nil"/>
              <w:left w:val="nil"/>
              <w:bottom w:val="single" w:sz="4" w:space="0" w:color="auto"/>
              <w:right w:val="single" w:sz="4" w:space="0" w:color="auto"/>
            </w:tcBorders>
            <w:shd w:val="clear" w:color="000000" w:fill="FDE9D9"/>
            <w:hideMark/>
          </w:tcPr>
          <w:p w14:paraId="746977C9" w14:textId="77777777" w:rsidR="00A44EBD" w:rsidRPr="00A44EBD" w:rsidRDefault="00A44EBD" w:rsidP="00FF0E7F">
            <w:pPr>
              <w:spacing w:after="0" w:line="240" w:lineRule="auto"/>
              <w:rPr>
                <w:rFonts w:ascii="Calibri" w:eastAsia="Times New Roman" w:hAnsi="Calibri" w:cs="Calibri"/>
                <w:b/>
                <w:bCs/>
                <w:color w:val="000000"/>
                <w:lang w:eastAsia="en-GB"/>
              </w:rPr>
            </w:pPr>
            <w:r w:rsidRPr="00A44EBD">
              <w:rPr>
                <w:rFonts w:ascii="Calibri" w:eastAsia="Times New Roman" w:hAnsi="Calibri" w:cs="Calibri"/>
                <w:b/>
                <w:bCs/>
                <w:color w:val="000000"/>
                <w:lang w:eastAsia="en-GB"/>
              </w:rPr>
              <w:t>Baseline 2010-2011 and average for 2013-2015 (% change)</w:t>
            </w:r>
          </w:p>
        </w:tc>
        <w:tc>
          <w:tcPr>
            <w:tcW w:w="2210" w:type="dxa"/>
            <w:tcBorders>
              <w:top w:val="nil"/>
              <w:left w:val="nil"/>
              <w:bottom w:val="single" w:sz="4" w:space="0" w:color="auto"/>
              <w:right w:val="single" w:sz="4" w:space="0" w:color="auto"/>
            </w:tcBorders>
            <w:shd w:val="clear" w:color="000000" w:fill="FF0000"/>
            <w:vAlign w:val="center"/>
            <w:hideMark/>
          </w:tcPr>
          <w:p w14:paraId="16CCACA9" w14:textId="77777777" w:rsidR="00A44EBD" w:rsidRPr="00A44EBD" w:rsidRDefault="00A44EBD" w:rsidP="00A44EBD">
            <w:pPr>
              <w:spacing w:after="0" w:line="240" w:lineRule="auto"/>
              <w:jc w:val="center"/>
              <w:rPr>
                <w:rFonts w:ascii="Calibri" w:eastAsia="Times New Roman" w:hAnsi="Calibri" w:cs="Calibri"/>
                <w:b/>
                <w:bCs/>
                <w:color w:val="000000"/>
                <w:lang w:eastAsia="en-GB"/>
              </w:rPr>
            </w:pPr>
            <w:r w:rsidRPr="00A44EBD">
              <w:rPr>
                <w:rFonts w:ascii="Calibri" w:eastAsia="Times New Roman" w:hAnsi="Calibri" w:cs="Calibri"/>
                <w:b/>
                <w:bCs/>
                <w:color w:val="000000"/>
                <w:lang w:eastAsia="en-GB"/>
              </w:rPr>
              <w:t>13.2 to 10.7 (-19%)</w:t>
            </w:r>
          </w:p>
        </w:tc>
      </w:tr>
    </w:tbl>
    <w:p w14:paraId="553D7ACA" w14:textId="22CA591A" w:rsidR="003269B4" w:rsidRPr="00FF0E7F" w:rsidRDefault="003269B4" w:rsidP="00116F50">
      <w:pPr>
        <w:pStyle w:val="ListParagraph"/>
        <w:numPr>
          <w:ilvl w:val="1"/>
          <w:numId w:val="27"/>
        </w:numPr>
        <w:contextualSpacing w:val="0"/>
        <w:rPr>
          <w:rFonts w:ascii="Arial" w:hAnsi="Arial" w:cs="Arial"/>
          <w:b/>
        </w:rPr>
      </w:pPr>
      <w:r w:rsidRPr="00FF0E7F">
        <w:rPr>
          <w:rFonts w:ascii="Arial" w:hAnsi="Arial" w:cs="Arial"/>
          <w:b/>
        </w:rPr>
        <w:t>Govern</w:t>
      </w:r>
      <w:r w:rsidR="00FF0E7F">
        <w:rPr>
          <w:rFonts w:ascii="Arial" w:hAnsi="Arial" w:cs="Arial"/>
          <w:b/>
        </w:rPr>
        <w:t>ment financing of i</w:t>
      </w:r>
      <w:r w:rsidRPr="00FF0E7F">
        <w:rPr>
          <w:rFonts w:ascii="Arial" w:hAnsi="Arial" w:cs="Arial"/>
          <w:b/>
        </w:rPr>
        <w:t>mmunization</w:t>
      </w:r>
    </w:p>
    <w:p w14:paraId="78BC3D38" w14:textId="09434BC9" w:rsidR="003269B4" w:rsidRDefault="00116F50" w:rsidP="00116F50">
      <w:pPr>
        <w:pStyle w:val="ListParagraph"/>
        <w:ind w:left="0"/>
        <w:contextualSpacing w:val="0"/>
        <w:rPr>
          <w:rFonts w:ascii="Arial" w:hAnsi="Arial" w:cs="Arial"/>
        </w:rPr>
      </w:pPr>
      <w:r>
        <w:rPr>
          <w:rFonts w:ascii="Arial" w:hAnsi="Arial" w:cs="Arial"/>
        </w:rPr>
        <w:t>The Government</w:t>
      </w:r>
      <w:r w:rsidR="000968AE">
        <w:rPr>
          <w:rFonts w:ascii="Arial" w:hAnsi="Arial" w:cs="Arial"/>
        </w:rPr>
        <w:t xml:space="preserve"> of Indonesia cover</w:t>
      </w:r>
      <w:r w:rsidR="00C43E27">
        <w:rPr>
          <w:rFonts w:ascii="Arial" w:hAnsi="Arial" w:cs="Arial"/>
        </w:rPr>
        <w:t>s</w:t>
      </w:r>
      <w:r w:rsidR="000968AE">
        <w:rPr>
          <w:rFonts w:ascii="Arial" w:hAnsi="Arial" w:cs="Arial"/>
        </w:rPr>
        <w:t xml:space="preserve"> the vast majority of expenditures for the immunization program, including the cost of all traditional vaccines, co-financing for new vaccine</w:t>
      </w:r>
      <w:r w:rsidR="00BB0026">
        <w:rPr>
          <w:rFonts w:ascii="Arial" w:hAnsi="Arial" w:cs="Arial"/>
        </w:rPr>
        <w:t>s</w:t>
      </w:r>
      <w:r w:rsidR="000968AE">
        <w:rPr>
          <w:rFonts w:ascii="Arial" w:hAnsi="Arial" w:cs="Arial"/>
        </w:rPr>
        <w:t>, all cold chain and logistics costs, and most EPI personnel costs. In 2014, central government expenditures accounted for 90.6% of total estimated expenditures for the program ($140 million out of $154.7 million).</w:t>
      </w:r>
      <w:r w:rsidR="000968AE">
        <w:rPr>
          <w:rStyle w:val="FootnoteReference"/>
          <w:rFonts w:ascii="Arial" w:hAnsi="Arial" w:cs="Arial"/>
        </w:rPr>
        <w:footnoteReference w:id="1"/>
      </w:r>
      <w:r w:rsidR="000968AE">
        <w:rPr>
          <w:rFonts w:ascii="Arial" w:hAnsi="Arial" w:cs="Arial"/>
        </w:rPr>
        <w:t xml:space="preserve"> </w:t>
      </w:r>
      <w:r w:rsidR="002C3246">
        <w:rPr>
          <w:rFonts w:ascii="Arial" w:hAnsi="Arial" w:cs="Arial"/>
        </w:rPr>
        <w:t>Most of the remaining 9% was financed by GAVI ($14.3 million), mainly to cover 50% of the cost of pentavalent vaccine, 16% of the cost of AD syringes, and activities implemented through the HSS grant.</w:t>
      </w:r>
      <w:r w:rsidR="002C3246">
        <w:rPr>
          <w:rStyle w:val="FootnoteReference"/>
          <w:rFonts w:ascii="Arial" w:hAnsi="Arial" w:cs="Arial"/>
        </w:rPr>
        <w:footnoteReference w:id="2"/>
      </w:r>
      <w:r w:rsidR="002C3246">
        <w:rPr>
          <w:rFonts w:ascii="Arial" w:hAnsi="Arial" w:cs="Arial"/>
        </w:rPr>
        <w:t xml:space="preserve"> As the country is graduating from GAVI support in December 2016, it will </w:t>
      </w:r>
      <w:r w:rsidR="00BB0026">
        <w:rPr>
          <w:rFonts w:ascii="Arial" w:hAnsi="Arial" w:cs="Arial"/>
        </w:rPr>
        <w:t xml:space="preserve">pick up </w:t>
      </w:r>
      <w:r w:rsidR="002C3246">
        <w:rPr>
          <w:rFonts w:ascii="Arial" w:hAnsi="Arial" w:cs="Arial"/>
        </w:rPr>
        <w:t xml:space="preserve">100% of the costs of pentavalent vaccine and injection supplies starting in 2017 and the HSS grant will end. However, GAVI will provide “exceptional catalytic support” to the country for the introduction of new vaccines by co-financing the vaccine costs for the targeted JE campaigns and the measles-rubella SIAs in 2017, as well as a two-year demonstration of HPV vaccination planned for 2017 and 2018. GAVI will also continue to co-finance the recently-introduced IPV vaccine up to 2018. </w:t>
      </w:r>
      <w:r w:rsidR="002C3246">
        <w:rPr>
          <w:rFonts w:ascii="Arial" w:hAnsi="Arial" w:cs="Arial"/>
        </w:rPr>
        <w:lastRenderedPageBreak/>
        <w:t>The Government has a history of making its co-financing payments in full and on time and for fully paying for traditional vaccines and other essential supplies and equipment for the immunization program.</w:t>
      </w:r>
    </w:p>
    <w:p w14:paraId="58896A8E" w14:textId="1827EE4E" w:rsidR="002C3246" w:rsidRDefault="002C3246" w:rsidP="00116F50">
      <w:pPr>
        <w:pStyle w:val="ListParagraph"/>
        <w:ind w:left="0"/>
        <w:contextualSpacing w:val="0"/>
        <w:rPr>
          <w:rFonts w:ascii="Arial" w:hAnsi="Arial" w:cs="Arial"/>
          <w:lang w:val="en-US"/>
        </w:rPr>
      </w:pPr>
      <w:r w:rsidRPr="00491CC6">
        <w:rPr>
          <w:rFonts w:ascii="Arial" w:hAnsi="Arial" w:cs="Arial"/>
          <w:lang w:val="en-US"/>
        </w:rPr>
        <w:t xml:space="preserve">The main issues regarding immunization financing in Indonesia are insufficient government funding for health, the great variation in health spending at the local level since the government was decentralized, and the lack of guaranteed funding </w:t>
      </w:r>
      <w:r w:rsidR="00BB0026" w:rsidRPr="00491CC6">
        <w:rPr>
          <w:rFonts w:ascii="Arial" w:hAnsi="Arial" w:cs="Arial"/>
          <w:lang w:val="en-US"/>
        </w:rPr>
        <w:t xml:space="preserve">at the local level </w:t>
      </w:r>
      <w:r w:rsidRPr="00491CC6">
        <w:rPr>
          <w:rFonts w:ascii="Arial" w:hAnsi="Arial" w:cs="Arial"/>
          <w:lang w:val="en-US"/>
        </w:rPr>
        <w:t>for the delivery of immunization services.</w:t>
      </w:r>
      <w:r w:rsidR="00BB0026" w:rsidRPr="00491CC6">
        <w:rPr>
          <w:rFonts w:ascii="Arial" w:hAnsi="Arial" w:cs="Arial"/>
          <w:lang w:val="en-US"/>
        </w:rPr>
        <w:t xml:space="preserve"> Although the central government is required by law to allocate at least 5% of its budget to health, health expenditures each year make up only around 2% of total government spending.</w:t>
      </w:r>
      <w:r w:rsidR="00BB0026" w:rsidRPr="00491CC6">
        <w:rPr>
          <w:rStyle w:val="FootnoteReference"/>
          <w:rFonts w:ascii="Arial" w:hAnsi="Arial" w:cs="Arial"/>
          <w:lang w:val="en-US"/>
        </w:rPr>
        <w:footnoteReference w:id="3"/>
      </w:r>
      <w:r w:rsidR="00BB0026" w:rsidRPr="00491CC6">
        <w:rPr>
          <w:rFonts w:ascii="Arial" w:hAnsi="Arial" w:cs="Arial"/>
          <w:lang w:val="en-US"/>
        </w:rPr>
        <w:t xml:space="preserve"> In addition, since decentralization in 2001, half of national government expenditures on health occur at the district level, using block grants that districts receive from the central government to pay for health and other public services. The district governments are responsible for managing and covering the costs of health services in their area, including the costs of operating health centers and village health posts, and all the operational costs associated with service delivery, including transportation, cold chain maintenance, and so forth. It is up to the district government officials to decide how to allocate the block grant funds and, while they are mandated to spend at least 10% on health (excluding salaries), there is no means of enforcing or monitoring this rule. In fact, less than half (48%) of districts included in a World Bank health financing assessment</w:t>
      </w:r>
      <w:r w:rsidR="00491CC6" w:rsidRPr="00491CC6">
        <w:rPr>
          <w:rFonts w:ascii="Arial" w:hAnsi="Arial" w:cs="Arial"/>
          <w:lang w:val="en-US"/>
        </w:rPr>
        <w:t xml:space="preserve"> spent 10% or more of their funds on health in 2013, and it ranged from 3% to over 18% (</w:t>
      </w:r>
      <w:r w:rsidR="007E3602">
        <w:rPr>
          <w:rFonts w:ascii="Arial" w:hAnsi="Arial" w:cs="Arial"/>
          <w:lang w:val="en-US"/>
        </w:rPr>
        <w:t xml:space="preserve">see orange bars in </w:t>
      </w:r>
      <w:r w:rsidR="00491CC6" w:rsidRPr="00491CC6">
        <w:rPr>
          <w:rFonts w:ascii="Arial" w:hAnsi="Arial" w:cs="Arial"/>
          <w:lang w:val="en-US"/>
        </w:rPr>
        <w:t>Figure 1).</w:t>
      </w:r>
      <w:r w:rsidR="00491CC6" w:rsidRPr="00491CC6">
        <w:rPr>
          <w:rStyle w:val="FootnoteReference"/>
          <w:rFonts w:ascii="Arial" w:hAnsi="Arial" w:cs="Arial"/>
          <w:lang w:val="en-US"/>
        </w:rPr>
        <w:footnoteReference w:id="4"/>
      </w:r>
      <w:r w:rsidR="00491CC6" w:rsidRPr="00491CC6">
        <w:rPr>
          <w:rFonts w:ascii="Arial" w:hAnsi="Arial" w:cs="Arial"/>
          <w:lang w:val="en-US"/>
        </w:rPr>
        <w:t xml:space="preserve"> There is also no</w:t>
      </w:r>
      <w:r w:rsidR="00491CC6">
        <w:rPr>
          <w:rFonts w:ascii="Arial" w:hAnsi="Arial" w:cs="Arial"/>
          <w:lang w:val="en-US"/>
        </w:rPr>
        <w:t xml:space="preserve"> guaranteed amount or earmarking of funds for immunization services. The consequence of these factors – insufficient government health spending and a lack of guaranteed funding for health or immunization at the local level – is that available funding for many key immunization activities, such as default tracking, </w:t>
      </w:r>
      <w:r w:rsidR="00460B3E">
        <w:rPr>
          <w:rFonts w:ascii="Arial" w:hAnsi="Arial" w:cs="Arial"/>
          <w:lang w:val="en-US"/>
        </w:rPr>
        <w:t xml:space="preserve">supervision, VPD </w:t>
      </w:r>
      <w:r w:rsidR="002B495D">
        <w:rPr>
          <w:rFonts w:ascii="Arial" w:hAnsi="Arial" w:cs="Arial"/>
          <w:lang w:val="en-US"/>
        </w:rPr>
        <w:t>s</w:t>
      </w:r>
      <w:r w:rsidR="00460B3E">
        <w:rPr>
          <w:rFonts w:ascii="Arial" w:hAnsi="Arial" w:cs="Arial"/>
          <w:lang w:val="en-US"/>
        </w:rPr>
        <w:t>urveillance,</w:t>
      </w:r>
      <w:r w:rsidR="00491CC6">
        <w:rPr>
          <w:rFonts w:ascii="Arial" w:hAnsi="Arial" w:cs="Arial"/>
          <w:lang w:val="en-US"/>
        </w:rPr>
        <w:t xml:space="preserve"> </w:t>
      </w:r>
      <w:r w:rsidR="002B495D">
        <w:rPr>
          <w:rFonts w:ascii="Arial" w:hAnsi="Arial" w:cs="Arial"/>
          <w:lang w:val="en-US"/>
        </w:rPr>
        <w:t>monitoring and evaluation,</w:t>
      </w:r>
      <w:r w:rsidR="00491CC6">
        <w:rPr>
          <w:rFonts w:ascii="Arial" w:hAnsi="Arial" w:cs="Arial"/>
          <w:lang w:val="en-US"/>
        </w:rPr>
        <w:t xml:space="preserve"> and transport is inadequate </w:t>
      </w:r>
      <w:r w:rsidR="000A459F">
        <w:rPr>
          <w:rFonts w:ascii="Arial" w:hAnsi="Arial" w:cs="Arial"/>
          <w:lang w:val="en-US"/>
        </w:rPr>
        <w:t>in many</w:t>
      </w:r>
      <w:r w:rsidR="00491CC6">
        <w:rPr>
          <w:rFonts w:ascii="Arial" w:hAnsi="Arial" w:cs="Arial"/>
          <w:lang w:val="en-US"/>
        </w:rPr>
        <w:t xml:space="preserve"> district</w:t>
      </w:r>
      <w:r w:rsidR="000A459F">
        <w:rPr>
          <w:rFonts w:ascii="Arial" w:hAnsi="Arial" w:cs="Arial"/>
          <w:lang w:val="en-US"/>
        </w:rPr>
        <w:t>s</w:t>
      </w:r>
      <w:r w:rsidR="00491CC6">
        <w:rPr>
          <w:rFonts w:ascii="Arial" w:hAnsi="Arial" w:cs="Arial"/>
          <w:lang w:val="en-US"/>
        </w:rPr>
        <w:t>.</w:t>
      </w:r>
      <w:r w:rsidR="00491CC6">
        <w:rPr>
          <w:rStyle w:val="FootnoteReference"/>
          <w:rFonts w:ascii="Arial" w:hAnsi="Arial" w:cs="Arial"/>
          <w:lang w:val="en-US"/>
        </w:rPr>
        <w:footnoteReference w:id="5"/>
      </w:r>
    </w:p>
    <w:p w14:paraId="13029799" w14:textId="157BB79F" w:rsidR="00C43E27" w:rsidRDefault="00C43E27" w:rsidP="00116F50">
      <w:pPr>
        <w:pStyle w:val="ListParagraph"/>
        <w:ind w:left="0"/>
        <w:contextualSpacing w:val="0"/>
        <w:rPr>
          <w:rFonts w:ascii="Arial" w:hAnsi="Arial" w:cs="Arial"/>
          <w:lang w:val="en-US"/>
        </w:rPr>
      </w:pPr>
      <w:r>
        <w:rPr>
          <w:rFonts w:ascii="Arial" w:hAnsi="Arial" w:cs="Arial"/>
          <w:lang w:val="en-US"/>
        </w:rPr>
        <w:t>The Government is in the process of expanding its national health insurance program (JKN) in the aim of providing universal health coverage to all of its citizens (with premiums for the poor and non-poor heavily subsidized) under a single payer insurance scheme. The Government contracts with both public and private health facilities to provide health services, including routine immunization, to beneficiaries and pays the facilities on a capitation basis (</w:t>
      </w:r>
      <w:r w:rsidR="000A459F">
        <w:rPr>
          <w:rFonts w:ascii="Arial" w:hAnsi="Arial" w:cs="Arial"/>
          <w:lang w:val="en-US"/>
        </w:rPr>
        <w:t>i.e.</w:t>
      </w:r>
      <w:r>
        <w:rPr>
          <w:rFonts w:ascii="Arial" w:hAnsi="Arial" w:cs="Arial"/>
          <w:lang w:val="en-US"/>
        </w:rPr>
        <w:t xml:space="preserve">, per beneficiary). This should increase not only the Government’s overall health spending, but also the funds that health facilities have to deliver </w:t>
      </w:r>
      <w:r w:rsidR="000A459F">
        <w:rPr>
          <w:rFonts w:ascii="Arial" w:hAnsi="Arial" w:cs="Arial"/>
          <w:lang w:val="en-US"/>
        </w:rPr>
        <w:t xml:space="preserve">preventive </w:t>
      </w:r>
      <w:r>
        <w:rPr>
          <w:rFonts w:ascii="Arial" w:hAnsi="Arial" w:cs="Arial"/>
          <w:lang w:val="en-US"/>
        </w:rPr>
        <w:t>health services, such as immunization. However, the JKN benefits package is not at present clearly defined, causing confusion among health providers about whether preventive health services are covered. This has reportedly led to some public sector health facilities to no</w:t>
      </w:r>
      <w:r w:rsidR="000A459F">
        <w:rPr>
          <w:rFonts w:ascii="Arial" w:hAnsi="Arial" w:cs="Arial"/>
          <w:lang w:val="en-US"/>
        </w:rPr>
        <w:t xml:space="preserve"> longer</w:t>
      </w:r>
      <w:r>
        <w:rPr>
          <w:rFonts w:ascii="Arial" w:hAnsi="Arial" w:cs="Arial"/>
          <w:lang w:val="en-US"/>
        </w:rPr>
        <w:t xml:space="preserve"> offer immunization</w:t>
      </w:r>
      <w:r w:rsidR="000A459F">
        <w:rPr>
          <w:rFonts w:ascii="Arial" w:hAnsi="Arial" w:cs="Arial"/>
          <w:lang w:val="en-US"/>
        </w:rPr>
        <w:t xml:space="preserve"> services or to charge a user f</w:t>
      </w:r>
      <w:r>
        <w:rPr>
          <w:rFonts w:ascii="Arial" w:hAnsi="Arial" w:cs="Arial"/>
          <w:lang w:val="en-US"/>
        </w:rPr>
        <w:t>ee</w:t>
      </w:r>
      <w:r w:rsidR="000A459F">
        <w:rPr>
          <w:rFonts w:ascii="Arial" w:hAnsi="Arial" w:cs="Arial"/>
          <w:lang w:val="en-US"/>
        </w:rPr>
        <w:t xml:space="preserve"> for vaccinations</w:t>
      </w:r>
      <w:r>
        <w:rPr>
          <w:rFonts w:ascii="Arial" w:hAnsi="Arial" w:cs="Arial"/>
          <w:lang w:val="en-US"/>
        </w:rPr>
        <w:t>.</w:t>
      </w:r>
      <w:r>
        <w:rPr>
          <w:rStyle w:val="FootnoteReference"/>
          <w:rFonts w:ascii="Arial" w:hAnsi="Arial" w:cs="Arial"/>
          <w:lang w:val="en-US"/>
        </w:rPr>
        <w:footnoteReference w:id="6"/>
      </w:r>
      <w:r>
        <w:rPr>
          <w:rFonts w:ascii="Arial" w:hAnsi="Arial" w:cs="Arial"/>
          <w:lang w:val="en-US"/>
        </w:rPr>
        <w:t xml:space="preserve"> The World Bank is working with the JKN to improve the design of the program and to ensure the inclusion of immunization and other preventive health services by developing a well-defined benefits package and exploring performance-based payments to providers (e.g., based on immunization coverage results).</w:t>
      </w:r>
    </w:p>
    <w:p w14:paraId="639A74C3" w14:textId="60645E69" w:rsidR="00491CC6" w:rsidRPr="00F91610" w:rsidRDefault="00F91610" w:rsidP="00F91610">
      <w:pPr>
        <w:pStyle w:val="Caption"/>
        <w:rPr>
          <w:rFonts w:ascii="Arial" w:hAnsi="Arial" w:cs="Arial"/>
          <w:b w:val="0"/>
          <w:color w:val="auto"/>
          <w:sz w:val="22"/>
          <w:szCs w:val="22"/>
          <w:lang w:val="en-US"/>
        </w:rPr>
      </w:pPr>
      <w:r w:rsidRPr="00F91610">
        <w:rPr>
          <w:rFonts w:ascii="Arial" w:hAnsi="Arial" w:cs="Arial"/>
          <w:color w:val="auto"/>
          <w:sz w:val="22"/>
          <w:szCs w:val="22"/>
        </w:rPr>
        <w:lastRenderedPageBreak/>
        <w:t xml:space="preserve">Figure </w:t>
      </w:r>
      <w:r w:rsidRPr="00F91610">
        <w:rPr>
          <w:rFonts w:ascii="Arial" w:hAnsi="Arial" w:cs="Arial"/>
          <w:color w:val="auto"/>
          <w:sz w:val="22"/>
          <w:szCs w:val="22"/>
        </w:rPr>
        <w:fldChar w:fldCharType="begin"/>
      </w:r>
      <w:r w:rsidRPr="00F91610">
        <w:rPr>
          <w:rFonts w:ascii="Arial" w:hAnsi="Arial" w:cs="Arial"/>
          <w:color w:val="auto"/>
          <w:sz w:val="22"/>
          <w:szCs w:val="22"/>
        </w:rPr>
        <w:instrText xml:space="preserve"> SEQ Figure \* ARABIC </w:instrText>
      </w:r>
      <w:r w:rsidRPr="00F91610">
        <w:rPr>
          <w:rFonts w:ascii="Arial" w:hAnsi="Arial" w:cs="Arial"/>
          <w:color w:val="auto"/>
          <w:sz w:val="22"/>
          <w:szCs w:val="22"/>
        </w:rPr>
        <w:fldChar w:fldCharType="separate"/>
      </w:r>
      <w:r w:rsidR="00841F8B">
        <w:rPr>
          <w:rFonts w:ascii="Arial" w:hAnsi="Arial" w:cs="Arial"/>
          <w:noProof/>
          <w:color w:val="auto"/>
          <w:sz w:val="22"/>
          <w:szCs w:val="22"/>
        </w:rPr>
        <w:t>1</w:t>
      </w:r>
      <w:r w:rsidRPr="00F91610">
        <w:rPr>
          <w:rFonts w:ascii="Arial" w:hAnsi="Arial" w:cs="Arial"/>
          <w:color w:val="auto"/>
          <w:sz w:val="22"/>
          <w:szCs w:val="22"/>
        </w:rPr>
        <w:fldChar w:fldCharType="end"/>
      </w:r>
      <w:r w:rsidRPr="00F91610">
        <w:rPr>
          <w:rFonts w:ascii="Arial" w:hAnsi="Arial" w:cs="Arial"/>
          <w:color w:val="auto"/>
          <w:sz w:val="22"/>
          <w:szCs w:val="22"/>
        </w:rPr>
        <w:t xml:space="preserve">: </w:t>
      </w:r>
      <w:r w:rsidR="00491CC6" w:rsidRPr="00F91610">
        <w:rPr>
          <w:rFonts w:ascii="Arial" w:hAnsi="Arial" w:cs="Arial"/>
          <w:color w:val="auto"/>
          <w:sz w:val="22"/>
          <w:szCs w:val="22"/>
          <w:lang w:val="en-US"/>
        </w:rPr>
        <w:t>Share of government budget for health and per capita spending across 44 districts, 2013</w:t>
      </w:r>
    </w:p>
    <w:p w14:paraId="1C5ACB35" w14:textId="67483BBE" w:rsidR="003269B4" w:rsidRPr="007543BE" w:rsidRDefault="00491CC6" w:rsidP="007543BE">
      <w:pPr>
        <w:pStyle w:val="ListParagraph"/>
        <w:ind w:left="0"/>
        <w:contextualSpacing w:val="0"/>
        <w:jc w:val="center"/>
        <w:rPr>
          <w:rFonts w:ascii="Arial" w:hAnsi="Arial" w:cs="Arial"/>
          <w:lang w:val="en-US"/>
        </w:rPr>
      </w:pPr>
      <w:r w:rsidRPr="00491CC6">
        <w:rPr>
          <w:rFonts w:ascii="Arial" w:hAnsi="Arial" w:cs="Arial"/>
          <w:noProof/>
          <w:lang w:eastAsia="zh-CN"/>
        </w:rPr>
        <w:drawing>
          <wp:inline distT="0" distB="0" distL="0" distR="0" wp14:anchorId="5FD62130" wp14:editId="14B51BD4">
            <wp:extent cx="5071519" cy="3552825"/>
            <wp:effectExtent l="19050" t="19050" r="152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2498" cy="3567522"/>
                    </a:xfrm>
                    <a:prstGeom prst="rect">
                      <a:avLst/>
                    </a:prstGeom>
                    <a:noFill/>
                    <a:ln>
                      <a:solidFill>
                        <a:schemeClr val="tx1"/>
                      </a:solidFill>
                    </a:ln>
                  </pic:spPr>
                </pic:pic>
              </a:graphicData>
            </a:graphic>
          </wp:inline>
        </w:drawing>
      </w:r>
    </w:p>
    <w:p w14:paraId="11256D76" w14:textId="77777777" w:rsidR="007543BE" w:rsidRDefault="007543BE">
      <w:pPr>
        <w:rPr>
          <w:rFonts w:ascii="Arial" w:hAnsi="Arial" w:cs="Arial"/>
          <w:b/>
          <w:sz w:val="24"/>
        </w:rPr>
      </w:pPr>
      <w:r>
        <w:rPr>
          <w:rFonts w:ascii="Arial" w:hAnsi="Arial" w:cs="Arial"/>
          <w:b/>
          <w:sz w:val="24"/>
        </w:rPr>
        <w:br w:type="page"/>
      </w:r>
    </w:p>
    <w:p w14:paraId="2DF56EBA" w14:textId="5928E6A7" w:rsidR="006E0769" w:rsidRDefault="006E0769" w:rsidP="006E0769">
      <w:pPr>
        <w:rPr>
          <w:rFonts w:ascii="Arial" w:hAnsi="Arial" w:cs="Arial"/>
          <w:b/>
          <w:sz w:val="24"/>
        </w:rPr>
      </w:pPr>
      <w:r>
        <w:rPr>
          <w:rFonts w:ascii="Arial" w:hAnsi="Arial" w:cs="Arial"/>
          <w:b/>
          <w:sz w:val="24"/>
        </w:rPr>
        <w:lastRenderedPageBreak/>
        <w:t>ANNEXES</w:t>
      </w:r>
    </w:p>
    <w:p w14:paraId="4B587F4D" w14:textId="103EA9F3" w:rsidR="00E86411" w:rsidRPr="00565C1E" w:rsidRDefault="006E0769" w:rsidP="00492F98">
      <w:pPr>
        <w:pStyle w:val="ListParagraph"/>
        <w:numPr>
          <w:ilvl w:val="0"/>
          <w:numId w:val="26"/>
        </w:numPr>
        <w:rPr>
          <w:rFonts w:ascii="Arial" w:hAnsi="Arial" w:cs="Arial"/>
        </w:rPr>
      </w:pPr>
      <w:bookmarkStart w:id="0" w:name="_GoBack"/>
      <w:bookmarkEnd w:id="0"/>
      <w:r>
        <w:t xml:space="preserve">% of total expenditures on vaccines financed by government funds: </w:t>
      </w:r>
      <w:r w:rsidR="006E4E48">
        <w:t>78</w:t>
      </w:r>
    </w:p>
    <w:sectPr w:rsidR="00E86411" w:rsidRPr="00565C1E" w:rsidSect="003269B4">
      <w:footerReference w:type="default" r:id="rId10"/>
      <w:pgSz w:w="11906" w:h="16838"/>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1CE818" w15:done="0"/>
  <w15:commentEx w15:paraId="3BF84435" w15:done="0"/>
  <w15:commentEx w15:paraId="67E88E1B" w15:done="0"/>
  <w15:commentEx w15:paraId="1198E4C0" w15:done="0"/>
  <w15:commentEx w15:paraId="5D7C06AB" w15:done="0"/>
  <w15:commentEx w15:paraId="0896BD56" w15:done="0"/>
  <w15:commentEx w15:paraId="7B2C63C2" w15:done="0"/>
  <w15:commentEx w15:paraId="27F723FA" w15:done="0"/>
  <w15:commentEx w15:paraId="13413A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55FB2" w14:textId="77777777" w:rsidR="00EE08AB" w:rsidRDefault="00EE08AB">
      <w:pPr>
        <w:spacing w:after="0" w:line="240" w:lineRule="auto"/>
      </w:pPr>
      <w:r>
        <w:separator/>
      </w:r>
    </w:p>
  </w:endnote>
  <w:endnote w:type="continuationSeparator" w:id="0">
    <w:p w14:paraId="76987E58" w14:textId="77777777" w:rsidR="00EE08AB" w:rsidRDefault="00EE0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8827129"/>
      <w:docPartObj>
        <w:docPartGallery w:val="Page Numbers (Bottom of Page)"/>
        <w:docPartUnique/>
      </w:docPartObj>
    </w:sdtPr>
    <w:sdtEndPr>
      <w:rPr>
        <w:noProof/>
      </w:rPr>
    </w:sdtEndPr>
    <w:sdtContent>
      <w:p w14:paraId="34C7D1CA" w14:textId="44676571" w:rsidR="008D3873" w:rsidRDefault="008D3873">
        <w:pPr>
          <w:pStyle w:val="Footer"/>
          <w:jc w:val="center"/>
        </w:pPr>
        <w:r>
          <w:fldChar w:fldCharType="begin"/>
        </w:r>
        <w:r>
          <w:instrText xml:space="preserve"> PAGE   \* MERGEFORMAT </w:instrText>
        </w:r>
        <w:r>
          <w:fldChar w:fldCharType="separate"/>
        </w:r>
        <w:r w:rsidR="007543BE">
          <w:rPr>
            <w:noProof/>
          </w:rPr>
          <w:t>4</w:t>
        </w:r>
        <w:r>
          <w:rPr>
            <w:noProof/>
          </w:rPr>
          <w:fldChar w:fldCharType="end"/>
        </w:r>
      </w:p>
    </w:sdtContent>
  </w:sdt>
  <w:p w14:paraId="780E7B36" w14:textId="56DE9A07" w:rsidR="008D3873" w:rsidRDefault="008D3873" w:rsidP="004824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40E725" w14:textId="77777777" w:rsidR="00EE08AB" w:rsidRDefault="00EE08AB">
      <w:pPr>
        <w:spacing w:after="0" w:line="240" w:lineRule="auto"/>
      </w:pPr>
      <w:r>
        <w:separator/>
      </w:r>
    </w:p>
  </w:footnote>
  <w:footnote w:type="continuationSeparator" w:id="0">
    <w:p w14:paraId="64134B7F" w14:textId="77777777" w:rsidR="00EE08AB" w:rsidRDefault="00EE08AB">
      <w:pPr>
        <w:spacing w:after="0" w:line="240" w:lineRule="auto"/>
      </w:pPr>
      <w:r>
        <w:continuationSeparator/>
      </w:r>
    </w:p>
  </w:footnote>
  <w:footnote w:id="1">
    <w:p w14:paraId="5F896BFC" w14:textId="32B147D2" w:rsidR="008D3873" w:rsidRPr="000968AE" w:rsidRDefault="008D3873">
      <w:pPr>
        <w:pStyle w:val="FootnoteText"/>
        <w:rPr>
          <w:lang w:val="en-US"/>
        </w:rPr>
      </w:pPr>
      <w:r>
        <w:rPr>
          <w:rStyle w:val="FootnoteReference"/>
        </w:rPr>
        <w:footnoteRef/>
      </w:r>
      <w:r>
        <w:t xml:space="preserve"> GAVI </w:t>
      </w:r>
      <w:r>
        <w:rPr>
          <w:lang w:val="en-US"/>
        </w:rPr>
        <w:t>Annual Progress Report 2014</w:t>
      </w:r>
    </w:p>
  </w:footnote>
  <w:footnote w:id="2">
    <w:p w14:paraId="27E675DE" w14:textId="23DE448D" w:rsidR="008D3873" w:rsidRPr="002C3246" w:rsidRDefault="008D3873">
      <w:pPr>
        <w:pStyle w:val="FootnoteText"/>
        <w:rPr>
          <w:lang w:val="en-US"/>
        </w:rPr>
      </w:pPr>
      <w:r>
        <w:rPr>
          <w:rStyle w:val="FootnoteReference"/>
        </w:rPr>
        <w:footnoteRef/>
      </w:r>
      <w:r>
        <w:t xml:space="preserve"> </w:t>
      </w:r>
      <w:r>
        <w:rPr>
          <w:lang w:val="en-US"/>
        </w:rPr>
        <w:t>Joint Appraisal Report 2015</w:t>
      </w:r>
    </w:p>
  </w:footnote>
  <w:footnote w:id="3">
    <w:p w14:paraId="651382E4" w14:textId="123DF4A6" w:rsidR="008D3873" w:rsidRPr="00BB0026" w:rsidRDefault="008D3873">
      <w:pPr>
        <w:pStyle w:val="FootnoteText"/>
        <w:rPr>
          <w:lang w:val="en-US"/>
        </w:rPr>
      </w:pPr>
      <w:r>
        <w:rPr>
          <w:rStyle w:val="FootnoteReference"/>
        </w:rPr>
        <w:footnoteRef/>
      </w:r>
      <w:r>
        <w:t xml:space="preserve"> </w:t>
      </w:r>
      <w:r>
        <w:rPr>
          <w:lang w:val="en-US"/>
        </w:rPr>
        <w:t>World Bank Group. Issues affecting sustainability of the immunization program in Indonesia. Presentation February 18, 2016.</w:t>
      </w:r>
    </w:p>
  </w:footnote>
  <w:footnote w:id="4">
    <w:p w14:paraId="3541880F" w14:textId="3203F455" w:rsidR="008D3873" w:rsidRPr="00491CC6" w:rsidRDefault="008D3873">
      <w:pPr>
        <w:pStyle w:val="FootnoteText"/>
        <w:rPr>
          <w:lang w:val="en-US"/>
        </w:rPr>
      </w:pPr>
      <w:r>
        <w:rPr>
          <w:rStyle w:val="FootnoteReference"/>
        </w:rPr>
        <w:footnoteRef/>
      </w:r>
      <w:r>
        <w:t xml:space="preserve"> </w:t>
      </w:r>
      <w:r>
        <w:rPr>
          <w:lang w:val="en-US"/>
        </w:rPr>
        <w:t>World Bank. Health Financing System Assessment: Indonesia, 2016.</w:t>
      </w:r>
    </w:p>
  </w:footnote>
  <w:footnote w:id="5">
    <w:p w14:paraId="7AC9EEF7" w14:textId="22E91A16" w:rsidR="008D3873" w:rsidRPr="00491CC6" w:rsidRDefault="008D3873">
      <w:pPr>
        <w:pStyle w:val="FootnoteText"/>
        <w:rPr>
          <w:lang w:val="en-US"/>
        </w:rPr>
      </w:pPr>
      <w:r>
        <w:rPr>
          <w:rStyle w:val="FootnoteReference"/>
        </w:rPr>
        <w:footnoteRef/>
      </w:r>
      <w:r>
        <w:t xml:space="preserve"> </w:t>
      </w:r>
      <w:r>
        <w:rPr>
          <w:lang w:val="en-US"/>
        </w:rPr>
        <w:t>World Health Organization. Joint national and international EPI and VPD surveillance review, Indonesia, 2014.</w:t>
      </w:r>
    </w:p>
  </w:footnote>
  <w:footnote w:id="6">
    <w:p w14:paraId="53673A73" w14:textId="1071FF36" w:rsidR="008D3873" w:rsidRPr="00C43E27" w:rsidRDefault="008D3873">
      <w:pPr>
        <w:pStyle w:val="FootnoteText"/>
        <w:rPr>
          <w:lang w:val="en-US"/>
        </w:rPr>
      </w:pPr>
      <w:r>
        <w:rPr>
          <w:rStyle w:val="FootnoteReference"/>
        </w:rPr>
        <w:footnoteRef/>
      </w:r>
      <w:r>
        <w:t xml:space="preserve"> </w:t>
      </w:r>
      <w:r>
        <w:rPr>
          <w:lang w:val="en-US"/>
        </w:rPr>
        <w:t>World Bank Group. Issues affecting sustainability of the immunization program in Indonesia. Presentation February 18,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FB3064E"/>
    <w:multiLevelType w:val="hybridMultilevel"/>
    <w:tmpl w:val="3FF627A6"/>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4C74659"/>
    <w:multiLevelType w:val="hybridMultilevel"/>
    <w:tmpl w:val="16E0DEB4"/>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FEA52BA"/>
    <w:multiLevelType w:val="hybridMultilevel"/>
    <w:tmpl w:val="E8FCBA4A"/>
    <w:lvl w:ilvl="0" w:tplc="27F8AA00">
      <w:start w:val="1"/>
      <w:numFmt w:val="bullet"/>
      <w:lvlText w:val="–"/>
      <w:lvlJc w:val="left"/>
      <w:pPr>
        <w:tabs>
          <w:tab w:val="num" w:pos="720"/>
        </w:tabs>
        <w:ind w:left="720" w:hanging="360"/>
      </w:pPr>
      <w:rPr>
        <w:rFonts w:ascii="Arial" w:hAnsi="Arial" w:hint="default"/>
      </w:rPr>
    </w:lvl>
    <w:lvl w:ilvl="1" w:tplc="65282D5E">
      <w:start w:val="1"/>
      <w:numFmt w:val="bullet"/>
      <w:lvlText w:val="–"/>
      <w:lvlJc w:val="left"/>
      <w:pPr>
        <w:tabs>
          <w:tab w:val="num" w:pos="1440"/>
        </w:tabs>
        <w:ind w:left="1440" w:hanging="360"/>
      </w:pPr>
      <w:rPr>
        <w:rFonts w:ascii="Arial" w:hAnsi="Arial" w:hint="default"/>
      </w:rPr>
    </w:lvl>
    <w:lvl w:ilvl="2" w:tplc="BE9AA2C8" w:tentative="1">
      <w:start w:val="1"/>
      <w:numFmt w:val="bullet"/>
      <w:lvlText w:val="–"/>
      <w:lvlJc w:val="left"/>
      <w:pPr>
        <w:tabs>
          <w:tab w:val="num" w:pos="2160"/>
        </w:tabs>
        <w:ind w:left="2160" w:hanging="360"/>
      </w:pPr>
      <w:rPr>
        <w:rFonts w:ascii="Arial" w:hAnsi="Arial" w:hint="default"/>
      </w:rPr>
    </w:lvl>
    <w:lvl w:ilvl="3" w:tplc="60BC9FDC" w:tentative="1">
      <w:start w:val="1"/>
      <w:numFmt w:val="bullet"/>
      <w:lvlText w:val="–"/>
      <w:lvlJc w:val="left"/>
      <w:pPr>
        <w:tabs>
          <w:tab w:val="num" w:pos="2880"/>
        </w:tabs>
        <w:ind w:left="2880" w:hanging="360"/>
      </w:pPr>
      <w:rPr>
        <w:rFonts w:ascii="Arial" w:hAnsi="Arial" w:hint="default"/>
      </w:rPr>
    </w:lvl>
    <w:lvl w:ilvl="4" w:tplc="43A8D0EA" w:tentative="1">
      <w:start w:val="1"/>
      <w:numFmt w:val="bullet"/>
      <w:lvlText w:val="–"/>
      <w:lvlJc w:val="left"/>
      <w:pPr>
        <w:tabs>
          <w:tab w:val="num" w:pos="3600"/>
        </w:tabs>
        <w:ind w:left="3600" w:hanging="360"/>
      </w:pPr>
      <w:rPr>
        <w:rFonts w:ascii="Arial" w:hAnsi="Arial" w:hint="default"/>
      </w:rPr>
    </w:lvl>
    <w:lvl w:ilvl="5" w:tplc="23AA7B10" w:tentative="1">
      <w:start w:val="1"/>
      <w:numFmt w:val="bullet"/>
      <w:lvlText w:val="–"/>
      <w:lvlJc w:val="left"/>
      <w:pPr>
        <w:tabs>
          <w:tab w:val="num" w:pos="4320"/>
        </w:tabs>
        <w:ind w:left="4320" w:hanging="360"/>
      </w:pPr>
      <w:rPr>
        <w:rFonts w:ascii="Arial" w:hAnsi="Arial" w:hint="default"/>
      </w:rPr>
    </w:lvl>
    <w:lvl w:ilvl="6" w:tplc="7B42272A" w:tentative="1">
      <w:start w:val="1"/>
      <w:numFmt w:val="bullet"/>
      <w:lvlText w:val="–"/>
      <w:lvlJc w:val="left"/>
      <w:pPr>
        <w:tabs>
          <w:tab w:val="num" w:pos="5040"/>
        </w:tabs>
        <w:ind w:left="5040" w:hanging="360"/>
      </w:pPr>
      <w:rPr>
        <w:rFonts w:ascii="Arial" w:hAnsi="Arial" w:hint="default"/>
      </w:rPr>
    </w:lvl>
    <w:lvl w:ilvl="7" w:tplc="C26638DC" w:tentative="1">
      <w:start w:val="1"/>
      <w:numFmt w:val="bullet"/>
      <w:lvlText w:val="–"/>
      <w:lvlJc w:val="left"/>
      <w:pPr>
        <w:tabs>
          <w:tab w:val="num" w:pos="5760"/>
        </w:tabs>
        <w:ind w:left="5760" w:hanging="360"/>
      </w:pPr>
      <w:rPr>
        <w:rFonts w:ascii="Arial" w:hAnsi="Arial" w:hint="default"/>
      </w:rPr>
    </w:lvl>
    <w:lvl w:ilvl="8" w:tplc="DE029B58" w:tentative="1">
      <w:start w:val="1"/>
      <w:numFmt w:val="bullet"/>
      <w:lvlText w:val="–"/>
      <w:lvlJc w:val="left"/>
      <w:pPr>
        <w:tabs>
          <w:tab w:val="num" w:pos="6480"/>
        </w:tabs>
        <w:ind w:left="6480" w:hanging="360"/>
      </w:pPr>
      <w:rPr>
        <w:rFonts w:ascii="Arial" w:hAnsi="Arial" w:hint="default"/>
      </w:rPr>
    </w:lvl>
  </w:abstractNum>
  <w:abstractNum w:abstractNumId="9">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5">
    <w:nsid w:val="46F74300"/>
    <w:multiLevelType w:val="hybridMultilevel"/>
    <w:tmpl w:val="40EE57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FB2011"/>
    <w:multiLevelType w:val="hybridMultilevel"/>
    <w:tmpl w:val="AFF867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18">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82970CC"/>
    <w:multiLevelType w:val="hybridMultilevel"/>
    <w:tmpl w:val="334C477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1512250"/>
    <w:multiLevelType w:val="hybridMultilevel"/>
    <w:tmpl w:val="18EEBB9A"/>
    <w:lvl w:ilvl="0" w:tplc="04090005">
      <w:start w:val="1"/>
      <w:numFmt w:val="bullet"/>
      <w:lvlText w:val=""/>
      <w:lvlJc w:val="left"/>
      <w:pPr>
        <w:ind w:left="3660" w:hanging="360"/>
      </w:pPr>
      <w:rPr>
        <w:rFonts w:ascii="Wingdings" w:hAnsi="Wingdings"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22">
    <w:nsid w:val="617B05B4"/>
    <w:multiLevelType w:val="hybridMultilevel"/>
    <w:tmpl w:val="428084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3E1A37"/>
    <w:multiLevelType w:val="multilevel"/>
    <w:tmpl w:val="A7A4D5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45314DA"/>
    <w:multiLevelType w:val="hybridMultilevel"/>
    <w:tmpl w:val="4814B4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6">
    <w:nsid w:val="68FE2563"/>
    <w:multiLevelType w:val="hybridMultilevel"/>
    <w:tmpl w:val="979837CA"/>
    <w:lvl w:ilvl="0" w:tplc="DD3618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8">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0">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651FD5"/>
    <w:multiLevelType w:val="hybridMultilevel"/>
    <w:tmpl w:val="C3981E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
  </w:num>
  <w:num w:numId="4">
    <w:abstractNumId w:val="10"/>
  </w:num>
  <w:num w:numId="5">
    <w:abstractNumId w:val="20"/>
  </w:num>
  <w:num w:numId="6">
    <w:abstractNumId w:val="1"/>
  </w:num>
  <w:num w:numId="7">
    <w:abstractNumId w:val="7"/>
  </w:num>
  <w:num w:numId="8">
    <w:abstractNumId w:val="18"/>
  </w:num>
  <w:num w:numId="9">
    <w:abstractNumId w:val="6"/>
  </w:num>
  <w:num w:numId="10">
    <w:abstractNumId w:val="28"/>
  </w:num>
  <w:num w:numId="11">
    <w:abstractNumId w:val="27"/>
  </w:num>
  <w:num w:numId="12">
    <w:abstractNumId w:val="14"/>
  </w:num>
  <w:num w:numId="13">
    <w:abstractNumId w:val="25"/>
  </w:num>
  <w:num w:numId="14">
    <w:abstractNumId w:val="17"/>
  </w:num>
  <w:num w:numId="15">
    <w:abstractNumId w:val="29"/>
  </w:num>
  <w:num w:numId="16">
    <w:abstractNumId w:val="9"/>
  </w:num>
  <w:num w:numId="17">
    <w:abstractNumId w:val="19"/>
  </w:num>
  <w:num w:numId="18">
    <w:abstractNumId w:val="12"/>
  </w:num>
  <w:num w:numId="19">
    <w:abstractNumId w:val="30"/>
  </w:num>
  <w:num w:numId="20">
    <w:abstractNumId w:val="0"/>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7"/>
  </w:num>
  <w:num w:numId="25">
    <w:abstractNumId w:val="18"/>
  </w:num>
  <w:num w:numId="26">
    <w:abstractNumId w:val="10"/>
  </w:num>
  <w:num w:numId="27">
    <w:abstractNumId w:val="23"/>
  </w:num>
  <w:num w:numId="28">
    <w:abstractNumId w:val="31"/>
  </w:num>
  <w:num w:numId="29">
    <w:abstractNumId w:val="15"/>
  </w:num>
  <w:num w:numId="30">
    <w:abstractNumId w:val="24"/>
  </w:num>
  <w:num w:numId="31">
    <w:abstractNumId w:val="4"/>
  </w:num>
  <w:num w:numId="32">
    <w:abstractNumId w:val="22"/>
  </w:num>
  <w:num w:numId="33">
    <w:abstractNumId w:val="3"/>
  </w:num>
  <w:num w:numId="34">
    <w:abstractNumId w:val="21"/>
  </w:num>
  <w:num w:numId="35">
    <w:abstractNumId w:val="16"/>
  </w:num>
  <w:num w:numId="36">
    <w:abstractNumId w:val="8"/>
  </w:num>
  <w:num w:numId="37">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01A1"/>
    <w:rsid w:val="0000352E"/>
    <w:rsid w:val="00045668"/>
    <w:rsid w:val="00052693"/>
    <w:rsid w:val="00053455"/>
    <w:rsid w:val="0005693C"/>
    <w:rsid w:val="00067FFA"/>
    <w:rsid w:val="0007442D"/>
    <w:rsid w:val="00083152"/>
    <w:rsid w:val="000832D0"/>
    <w:rsid w:val="0009631A"/>
    <w:rsid w:val="000968AE"/>
    <w:rsid w:val="00096E70"/>
    <w:rsid w:val="000A459F"/>
    <w:rsid w:val="000C2C44"/>
    <w:rsid w:val="000E3D3E"/>
    <w:rsid w:val="000F5223"/>
    <w:rsid w:val="0011406E"/>
    <w:rsid w:val="00116F50"/>
    <w:rsid w:val="001174B4"/>
    <w:rsid w:val="00163179"/>
    <w:rsid w:val="00164F3D"/>
    <w:rsid w:val="00176857"/>
    <w:rsid w:val="0019182B"/>
    <w:rsid w:val="001B0097"/>
    <w:rsid w:val="001C1193"/>
    <w:rsid w:val="001C1E4D"/>
    <w:rsid w:val="001C5026"/>
    <w:rsid w:val="001F2D8D"/>
    <w:rsid w:val="001F6A05"/>
    <w:rsid w:val="002258E3"/>
    <w:rsid w:val="002327A5"/>
    <w:rsid w:val="00232D9A"/>
    <w:rsid w:val="00232E53"/>
    <w:rsid w:val="00255998"/>
    <w:rsid w:val="00256665"/>
    <w:rsid w:val="002818D0"/>
    <w:rsid w:val="00281CEF"/>
    <w:rsid w:val="00292589"/>
    <w:rsid w:val="00293D5E"/>
    <w:rsid w:val="002B495D"/>
    <w:rsid w:val="002B73D6"/>
    <w:rsid w:val="002C0BCF"/>
    <w:rsid w:val="002C3246"/>
    <w:rsid w:val="002D61F5"/>
    <w:rsid w:val="002D762A"/>
    <w:rsid w:val="002F1749"/>
    <w:rsid w:val="002F188F"/>
    <w:rsid w:val="002F20C9"/>
    <w:rsid w:val="003269B4"/>
    <w:rsid w:val="00345466"/>
    <w:rsid w:val="003576C4"/>
    <w:rsid w:val="00370616"/>
    <w:rsid w:val="00371B50"/>
    <w:rsid w:val="00373BA5"/>
    <w:rsid w:val="00374400"/>
    <w:rsid w:val="00397382"/>
    <w:rsid w:val="003A6CF9"/>
    <w:rsid w:val="003B02D3"/>
    <w:rsid w:val="003B282A"/>
    <w:rsid w:val="003B6F84"/>
    <w:rsid w:val="003D24BB"/>
    <w:rsid w:val="003D2D68"/>
    <w:rsid w:val="003D57A8"/>
    <w:rsid w:val="003D5A80"/>
    <w:rsid w:val="003D6679"/>
    <w:rsid w:val="003D6DEA"/>
    <w:rsid w:val="003E30EC"/>
    <w:rsid w:val="003E4E4C"/>
    <w:rsid w:val="003F42B9"/>
    <w:rsid w:val="003F4825"/>
    <w:rsid w:val="00432B70"/>
    <w:rsid w:val="00436537"/>
    <w:rsid w:val="00437FDF"/>
    <w:rsid w:val="00441EDC"/>
    <w:rsid w:val="00457E0A"/>
    <w:rsid w:val="00460B3E"/>
    <w:rsid w:val="00460FC0"/>
    <w:rsid w:val="00482432"/>
    <w:rsid w:val="004826EF"/>
    <w:rsid w:val="00484219"/>
    <w:rsid w:val="0048489B"/>
    <w:rsid w:val="00490107"/>
    <w:rsid w:val="00491CC6"/>
    <w:rsid w:val="00492F98"/>
    <w:rsid w:val="004A394A"/>
    <w:rsid w:val="004B5B75"/>
    <w:rsid w:val="004D307D"/>
    <w:rsid w:val="004D4194"/>
    <w:rsid w:val="004F6777"/>
    <w:rsid w:val="00500171"/>
    <w:rsid w:val="0050564C"/>
    <w:rsid w:val="00511B8A"/>
    <w:rsid w:val="005133F8"/>
    <w:rsid w:val="00513BF2"/>
    <w:rsid w:val="00530FEA"/>
    <w:rsid w:val="00532476"/>
    <w:rsid w:val="00534013"/>
    <w:rsid w:val="0053501D"/>
    <w:rsid w:val="00540367"/>
    <w:rsid w:val="00557E08"/>
    <w:rsid w:val="005651E6"/>
    <w:rsid w:val="00565C1E"/>
    <w:rsid w:val="00566382"/>
    <w:rsid w:val="0058000D"/>
    <w:rsid w:val="005A0269"/>
    <w:rsid w:val="005B25D5"/>
    <w:rsid w:val="005B6B29"/>
    <w:rsid w:val="005C6F1C"/>
    <w:rsid w:val="005E62AF"/>
    <w:rsid w:val="005F0283"/>
    <w:rsid w:val="005F1D5B"/>
    <w:rsid w:val="00602A5E"/>
    <w:rsid w:val="0063770B"/>
    <w:rsid w:val="006410AE"/>
    <w:rsid w:val="00641572"/>
    <w:rsid w:val="006842AB"/>
    <w:rsid w:val="00696E6A"/>
    <w:rsid w:val="00697CFB"/>
    <w:rsid w:val="006A36F3"/>
    <w:rsid w:val="006A4380"/>
    <w:rsid w:val="006C334B"/>
    <w:rsid w:val="006E0769"/>
    <w:rsid w:val="006E4E48"/>
    <w:rsid w:val="007033F7"/>
    <w:rsid w:val="0074468E"/>
    <w:rsid w:val="007543BE"/>
    <w:rsid w:val="0076408F"/>
    <w:rsid w:val="00767749"/>
    <w:rsid w:val="00767C0F"/>
    <w:rsid w:val="00770EEA"/>
    <w:rsid w:val="00784019"/>
    <w:rsid w:val="0079008F"/>
    <w:rsid w:val="00797196"/>
    <w:rsid w:val="007A0353"/>
    <w:rsid w:val="007A35F6"/>
    <w:rsid w:val="007B053A"/>
    <w:rsid w:val="007B1CBA"/>
    <w:rsid w:val="007C5031"/>
    <w:rsid w:val="007C5F79"/>
    <w:rsid w:val="007D16A4"/>
    <w:rsid w:val="007D2AA9"/>
    <w:rsid w:val="007E0DEE"/>
    <w:rsid w:val="007E3602"/>
    <w:rsid w:val="007F0729"/>
    <w:rsid w:val="008053B7"/>
    <w:rsid w:val="008105B2"/>
    <w:rsid w:val="00824C6B"/>
    <w:rsid w:val="00825812"/>
    <w:rsid w:val="0083568C"/>
    <w:rsid w:val="00841F8B"/>
    <w:rsid w:val="00856B69"/>
    <w:rsid w:val="00863F77"/>
    <w:rsid w:val="00865907"/>
    <w:rsid w:val="008707E1"/>
    <w:rsid w:val="00872BC2"/>
    <w:rsid w:val="00883C0A"/>
    <w:rsid w:val="008A1C67"/>
    <w:rsid w:val="008B61E2"/>
    <w:rsid w:val="008C1347"/>
    <w:rsid w:val="008D3873"/>
    <w:rsid w:val="008E40AB"/>
    <w:rsid w:val="008E4926"/>
    <w:rsid w:val="008E7AA0"/>
    <w:rsid w:val="008F4F49"/>
    <w:rsid w:val="0090535F"/>
    <w:rsid w:val="00926824"/>
    <w:rsid w:val="009318B8"/>
    <w:rsid w:val="009563E8"/>
    <w:rsid w:val="00963C78"/>
    <w:rsid w:val="009649B4"/>
    <w:rsid w:val="00985561"/>
    <w:rsid w:val="009A5026"/>
    <w:rsid w:val="009A564C"/>
    <w:rsid w:val="009B091D"/>
    <w:rsid w:val="009C0565"/>
    <w:rsid w:val="009C09D8"/>
    <w:rsid w:val="009E1E59"/>
    <w:rsid w:val="00A11AC1"/>
    <w:rsid w:val="00A44D74"/>
    <w:rsid w:val="00A44EBD"/>
    <w:rsid w:val="00A6740F"/>
    <w:rsid w:val="00A96DBE"/>
    <w:rsid w:val="00AA3176"/>
    <w:rsid w:val="00AA6DBA"/>
    <w:rsid w:val="00AB6A12"/>
    <w:rsid w:val="00AE7557"/>
    <w:rsid w:val="00B13423"/>
    <w:rsid w:val="00B218CC"/>
    <w:rsid w:val="00B54A99"/>
    <w:rsid w:val="00B56836"/>
    <w:rsid w:val="00B758F5"/>
    <w:rsid w:val="00B8676D"/>
    <w:rsid w:val="00B93354"/>
    <w:rsid w:val="00BA2589"/>
    <w:rsid w:val="00BA45D4"/>
    <w:rsid w:val="00BB0026"/>
    <w:rsid w:val="00BC4D8E"/>
    <w:rsid w:val="00BD73CD"/>
    <w:rsid w:val="00BE624F"/>
    <w:rsid w:val="00BF14CF"/>
    <w:rsid w:val="00BF27E4"/>
    <w:rsid w:val="00BF4CFA"/>
    <w:rsid w:val="00C00233"/>
    <w:rsid w:val="00C43E27"/>
    <w:rsid w:val="00C611F3"/>
    <w:rsid w:val="00C67C9D"/>
    <w:rsid w:val="00CD3FD9"/>
    <w:rsid w:val="00CF0E45"/>
    <w:rsid w:val="00D00DC6"/>
    <w:rsid w:val="00D07C9C"/>
    <w:rsid w:val="00D17551"/>
    <w:rsid w:val="00D27E92"/>
    <w:rsid w:val="00D30DD8"/>
    <w:rsid w:val="00D732C7"/>
    <w:rsid w:val="00D92C16"/>
    <w:rsid w:val="00D9435D"/>
    <w:rsid w:val="00D9563B"/>
    <w:rsid w:val="00DB72E3"/>
    <w:rsid w:val="00DC5960"/>
    <w:rsid w:val="00DF3277"/>
    <w:rsid w:val="00E00963"/>
    <w:rsid w:val="00E11B99"/>
    <w:rsid w:val="00E14857"/>
    <w:rsid w:val="00E1686A"/>
    <w:rsid w:val="00E27973"/>
    <w:rsid w:val="00E37109"/>
    <w:rsid w:val="00E52441"/>
    <w:rsid w:val="00E86411"/>
    <w:rsid w:val="00E903E0"/>
    <w:rsid w:val="00EA4E6A"/>
    <w:rsid w:val="00EB059A"/>
    <w:rsid w:val="00EC5704"/>
    <w:rsid w:val="00EE08AB"/>
    <w:rsid w:val="00F246CA"/>
    <w:rsid w:val="00F32759"/>
    <w:rsid w:val="00F50BE1"/>
    <w:rsid w:val="00F577A7"/>
    <w:rsid w:val="00F577EC"/>
    <w:rsid w:val="00F63AFC"/>
    <w:rsid w:val="00F63D60"/>
    <w:rsid w:val="00F81B65"/>
    <w:rsid w:val="00F82402"/>
    <w:rsid w:val="00F85BA5"/>
    <w:rsid w:val="00F871C3"/>
    <w:rsid w:val="00F91610"/>
    <w:rsid w:val="00F9290B"/>
    <w:rsid w:val="00F96307"/>
    <w:rsid w:val="00FA16B4"/>
    <w:rsid w:val="00FD1020"/>
    <w:rsid w:val="00FD688B"/>
    <w:rsid w:val="00FF0E7F"/>
    <w:rsid w:val="00FF4AD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0968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68AE"/>
    <w:rPr>
      <w:sz w:val="20"/>
      <w:szCs w:val="20"/>
    </w:rPr>
  </w:style>
  <w:style w:type="character" w:styleId="FootnoteReference">
    <w:name w:val="footnote reference"/>
    <w:basedOn w:val="DefaultParagraphFont"/>
    <w:uiPriority w:val="99"/>
    <w:semiHidden/>
    <w:unhideWhenUsed/>
    <w:rsid w:val="000968AE"/>
    <w:rPr>
      <w:vertAlign w:val="superscript"/>
    </w:rPr>
  </w:style>
  <w:style w:type="paragraph" w:styleId="Caption">
    <w:name w:val="caption"/>
    <w:basedOn w:val="Normal"/>
    <w:next w:val="Normal"/>
    <w:uiPriority w:val="35"/>
    <w:unhideWhenUsed/>
    <w:qFormat/>
    <w:rsid w:val="00E1485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0968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68AE"/>
    <w:rPr>
      <w:sz w:val="20"/>
      <w:szCs w:val="20"/>
    </w:rPr>
  </w:style>
  <w:style w:type="character" w:styleId="FootnoteReference">
    <w:name w:val="footnote reference"/>
    <w:basedOn w:val="DefaultParagraphFont"/>
    <w:uiPriority w:val="99"/>
    <w:semiHidden/>
    <w:unhideWhenUsed/>
    <w:rsid w:val="000968AE"/>
    <w:rPr>
      <w:vertAlign w:val="superscript"/>
    </w:rPr>
  </w:style>
  <w:style w:type="paragraph" w:styleId="Caption">
    <w:name w:val="caption"/>
    <w:basedOn w:val="Normal"/>
    <w:next w:val="Normal"/>
    <w:uiPriority w:val="35"/>
    <w:unhideWhenUsed/>
    <w:qFormat/>
    <w:rsid w:val="00E1485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891617913">
      <w:bodyDiv w:val="1"/>
      <w:marLeft w:val="0"/>
      <w:marRight w:val="0"/>
      <w:marTop w:val="0"/>
      <w:marBottom w:val="0"/>
      <w:divBdr>
        <w:top w:val="none" w:sz="0" w:space="0" w:color="auto"/>
        <w:left w:val="none" w:sz="0" w:space="0" w:color="auto"/>
        <w:bottom w:val="none" w:sz="0" w:space="0" w:color="auto"/>
        <w:right w:val="none" w:sz="0" w:space="0" w:color="auto"/>
      </w:divBdr>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284461735">
      <w:bodyDiv w:val="1"/>
      <w:marLeft w:val="0"/>
      <w:marRight w:val="0"/>
      <w:marTop w:val="0"/>
      <w:marBottom w:val="0"/>
      <w:divBdr>
        <w:top w:val="none" w:sz="0" w:space="0" w:color="auto"/>
        <w:left w:val="none" w:sz="0" w:space="0" w:color="auto"/>
        <w:bottom w:val="none" w:sz="0" w:space="0" w:color="auto"/>
        <w:right w:val="none" w:sz="0" w:space="0" w:color="auto"/>
      </w:divBdr>
    </w:div>
    <w:div w:id="1544707668">
      <w:bodyDiv w:val="1"/>
      <w:marLeft w:val="0"/>
      <w:marRight w:val="0"/>
      <w:marTop w:val="0"/>
      <w:marBottom w:val="0"/>
      <w:divBdr>
        <w:top w:val="none" w:sz="0" w:space="0" w:color="auto"/>
        <w:left w:val="none" w:sz="0" w:space="0" w:color="auto"/>
        <w:bottom w:val="none" w:sz="0" w:space="0" w:color="auto"/>
        <w:right w:val="none" w:sz="0" w:space="0" w:color="auto"/>
      </w:divBdr>
      <w:divsChild>
        <w:div w:id="214314733">
          <w:marLeft w:val="1166"/>
          <w:marRight w:val="0"/>
          <w:marTop w:val="125"/>
          <w:marBottom w:val="0"/>
          <w:divBdr>
            <w:top w:val="none" w:sz="0" w:space="0" w:color="auto"/>
            <w:left w:val="none" w:sz="0" w:space="0" w:color="auto"/>
            <w:bottom w:val="none" w:sz="0" w:space="0" w:color="auto"/>
            <w:right w:val="none" w:sz="0" w:space="0" w:color="auto"/>
          </w:divBdr>
        </w:div>
      </w:divsChild>
    </w:div>
    <w:div w:id="1585871422">
      <w:bodyDiv w:val="1"/>
      <w:marLeft w:val="0"/>
      <w:marRight w:val="0"/>
      <w:marTop w:val="0"/>
      <w:marBottom w:val="0"/>
      <w:divBdr>
        <w:top w:val="none" w:sz="0" w:space="0" w:color="auto"/>
        <w:left w:val="none" w:sz="0" w:space="0" w:color="auto"/>
        <w:bottom w:val="none" w:sz="0" w:space="0" w:color="auto"/>
        <w:right w:val="none" w:sz="0" w:space="0" w:color="auto"/>
      </w:divBdr>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721708213">
      <w:bodyDiv w:val="1"/>
      <w:marLeft w:val="0"/>
      <w:marRight w:val="0"/>
      <w:marTop w:val="0"/>
      <w:marBottom w:val="0"/>
      <w:divBdr>
        <w:top w:val="none" w:sz="0" w:space="0" w:color="auto"/>
        <w:left w:val="none" w:sz="0" w:space="0" w:color="auto"/>
        <w:bottom w:val="none" w:sz="0" w:space="0" w:color="auto"/>
        <w:right w:val="none" w:sz="0" w:space="0" w:color="auto"/>
      </w:divBdr>
    </w:div>
    <w:div w:id="1726299893">
      <w:bodyDiv w:val="1"/>
      <w:marLeft w:val="0"/>
      <w:marRight w:val="0"/>
      <w:marTop w:val="0"/>
      <w:marBottom w:val="0"/>
      <w:divBdr>
        <w:top w:val="none" w:sz="0" w:space="0" w:color="auto"/>
        <w:left w:val="none" w:sz="0" w:space="0" w:color="auto"/>
        <w:bottom w:val="none" w:sz="0" w:space="0" w:color="auto"/>
        <w:right w:val="none" w:sz="0" w:space="0" w:color="auto"/>
      </w:divBdr>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200220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5"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24" Type="http://schemas.microsoft.com/office/2011/relationships/people" Target="peop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F553581E-7916-49B8-BFA2-41B3402BC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5357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2016-06-28T06:36:00Z</cp:lastPrinted>
  <dcterms:created xsi:type="dcterms:W3CDTF">2016-08-25T13:45:00Z</dcterms:created>
  <dcterms:modified xsi:type="dcterms:W3CDTF">2016-08-25T13:45:00Z</dcterms:modified>
</cp:coreProperties>
</file>