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4C44D" w14:textId="77777777" w:rsidR="00B93354" w:rsidRPr="00C27BB5" w:rsidRDefault="00B93354" w:rsidP="00B93354">
      <w:pPr>
        <w:jc w:val="center"/>
        <w:rPr>
          <w:b/>
          <w:sz w:val="40"/>
          <w:szCs w:val="40"/>
        </w:rPr>
      </w:pPr>
      <w:r w:rsidRPr="00C27BB5">
        <w:rPr>
          <w:b/>
          <w:sz w:val="40"/>
          <w:szCs w:val="40"/>
        </w:rPr>
        <w:t>Global Vaccine Action Plan</w:t>
      </w:r>
    </w:p>
    <w:p w14:paraId="3AFBAA78" w14:textId="77777777" w:rsidR="00B93354" w:rsidRDefault="00B93354" w:rsidP="00B93354">
      <w:pPr>
        <w:jc w:val="center"/>
        <w:rPr>
          <w:i/>
          <w:sz w:val="40"/>
          <w:szCs w:val="40"/>
        </w:rPr>
      </w:pPr>
      <w:r w:rsidRPr="00C27BB5">
        <w:rPr>
          <w:i/>
          <w:sz w:val="40"/>
          <w:szCs w:val="40"/>
        </w:rPr>
        <w:t>Secretariat Annual Report 2016</w:t>
      </w:r>
    </w:p>
    <w:p w14:paraId="63C79808" w14:textId="77777777" w:rsidR="00B93354" w:rsidRDefault="00B93354" w:rsidP="00B93354">
      <w:pPr>
        <w:jc w:val="center"/>
        <w:rPr>
          <w:i/>
          <w:sz w:val="40"/>
          <w:szCs w:val="40"/>
        </w:rPr>
      </w:pPr>
      <w:r>
        <w:rPr>
          <w:i/>
          <w:sz w:val="40"/>
          <w:szCs w:val="40"/>
        </w:rPr>
        <w:t>Priority C</w:t>
      </w:r>
      <w:r w:rsidRPr="00C27BB5">
        <w:rPr>
          <w:i/>
          <w:sz w:val="40"/>
          <w:szCs w:val="40"/>
        </w:rPr>
        <w:t xml:space="preserve">ountry report on progress towards </w:t>
      </w:r>
    </w:p>
    <w:p w14:paraId="7B204DF5" w14:textId="77777777" w:rsidR="00B93354" w:rsidRPr="00C27BB5" w:rsidRDefault="00B93354" w:rsidP="00B93354">
      <w:pPr>
        <w:jc w:val="center"/>
        <w:rPr>
          <w:i/>
          <w:sz w:val="40"/>
          <w:szCs w:val="40"/>
        </w:rPr>
      </w:pPr>
      <w:r>
        <w:rPr>
          <w:i/>
          <w:sz w:val="40"/>
          <w:szCs w:val="40"/>
        </w:rPr>
        <w:t>GVAP-RVAP</w:t>
      </w:r>
      <w:r w:rsidRPr="00C27BB5">
        <w:rPr>
          <w:i/>
          <w:sz w:val="40"/>
          <w:szCs w:val="40"/>
        </w:rPr>
        <w:t xml:space="preserve"> goals </w:t>
      </w:r>
    </w:p>
    <w:p w14:paraId="215BB527" w14:textId="77777777" w:rsidR="00B93354" w:rsidRDefault="00B93354" w:rsidP="00B93354">
      <w:pPr>
        <w:jc w:val="center"/>
        <w:rPr>
          <w:rFonts w:ascii="Arial" w:hAnsi="Arial"/>
          <w:b/>
          <w:sz w:val="32"/>
        </w:rPr>
      </w:pPr>
    </w:p>
    <w:p w14:paraId="1EDFED1D" w14:textId="383B1A86" w:rsidR="00B93354" w:rsidRDefault="00B93354" w:rsidP="003A6CF9">
      <w:pPr>
        <w:jc w:val="center"/>
        <w:rPr>
          <w:rFonts w:ascii="Arial" w:hAnsi="Arial" w:cs="Arial"/>
          <w:b/>
          <w:sz w:val="32"/>
          <w:lang w:val="en-US"/>
        </w:rPr>
      </w:pPr>
      <w:r>
        <w:rPr>
          <w:rFonts w:ascii="Arial" w:hAnsi="Arial"/>
          <w:b/>
          <w:sz w:val="36"/>
        </w:rPr>
        <w:t>INDONESIA</w:t>
      </w:r>
    </w:p>
    <w:p w14:paraId="0F982F21" w14:textId="77777777" w:rsidR="00B93354" w:rsidRDefault="00B93354" w:rsidP="003A6CF9">
      <w:pPr>
        <w:jc w:val="center"/>
        <w:rPr>
          <w:rFonts w:ascii="Arial" w:hAnsi="Arial" w:cs="Arial"/>
          <w:b/>
          <w:sz w:val="32"/>
          <w:lang w:val="en-US"/>
        </w:rPr>
      </w:pPr>
    </w:p>
    <w:p w14:paraId="1D623B59" w14:textId="77777777" w:rsidR="00457E0A" w:rsidRPr="003A6CF9" w:rsidRDefault="00457E0A" w:rsidP="00457E0A">
      <w:pPr>
        <w:pStyle w:val="ListParagraph"/>
        <w:numPr>
          <w:ilvl w:val="0"/>
          <w:numId w:val="3"/>
        </w:numPr>
        <w:rPr>
          <w:rFonts w:ascii="Arial" w:hAnsi="Arial" w:cs="Arial"/>
          <w:b/>
          <w:sz w:val="26"/>
          <w:szCs w:val="26"/>
        </w:rPr>
      </w:pPr>
      <w:r w:rsidRPr="003A6CF9">
        <w:rPr>
          <w:rFonts w:ascii="Arial" w:hAnsi="Arial" w:cs="Arial"/>
          <w:b/>
          <w:sz w:val="26"/>
          <w:szCs w:val="26"/>
        </w:rPr>
        <w:t xml:space="preserve">Progress towards achievement of GVAP goals </w:t>
      </w:r>
    </w:p>
    <w:p w14:paraId="5C8B88FE" w14:textId="77777777" w:rsidR="00457E0A" w:rsidRPr="00457E0A" w:rsidRDefault="00457E0A" w:rsidP="00457E0A">
      <w:pPr>
        <w:pStyle w:val="ListParagraph"/>
        <w:rPr>
          <w:rFonts w:ascii="Arial" w:hAnsi="Arial" w:cs="Arial"/>
          <w:b/>
        </w:rPr>
      </w:pPr>
    </w:p>
    <w:p w14:paraId="701352EF" w14:textId="77777777" w:rsidR="00163179" w:rsidRDefault="00C67C9D" w:rsidP="00163179">
      <w:pPr>
        <w:pStyle w:val="ListParagraph"/>
        <w:numPr>
          <w:ilvl w:val="0"/>
          <w:numId w:val="1"/>
        </w:numPr>
        <w:rPr>
          <w:rFonts w:ascii="Arial" w:hAnsi="Arial" w:cs="Arial"/>
          <w:b/>
        </w:rPr>
      </w:pPr>
      <w:r>
        <w:rPr>
          <w:rFonts w:ascii="Arial" w:hAnsi="Arial" w:cs="Arial"/>
          <w:b/>
        </w:rPr>
        <w:t xml:space="preserve">Summary </w:t>
      </w:r>
    </w:p>
    <w:p w14:paraId="2A48FB84" w14:textId="0C137287" w:rsidR="00BA2589" w:rsidRDefault="00BA2589" w:rsidP="003D5A80">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3D5A80">
        <w:rPr>
          <w:rFonts w:ascii="Arial" w:hAnsi="Arial" w:cs="Arial"/>
        </w:rPr>
        <w:t xml:space="preserve">Indonesia </w:t>
      </w:r>
      <w:r w:rsidRPr="0000352E">
        <w:rPr>
          <w:rFonts w:ascii="Arial" w:hAnsi="Arial" w:cs="Arial"/>
        </w:rPr>
        <w:t xml:space="preserve">regarding achieving the </w:t>
      </w:r>
      <w:proofErr w:type="gramStart"/>
      <w:r w:rsidRPr="0000352E">
        <w:rPr>
          <w:rFonts w:ascii="Arial" w:hAnsi="Arial" w:cs="Arial"/>
        </w:rPr>
        <w:t>GVAP goals.</w:t>
      </w:r>
      <w:proofErr w:type="gramEnd"/>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w:t>
      </w:r>
      <w:r w:rsidR="003A6CF9">
        <w:rPr>
          <w:rFonts w:ascii="Arial" w:hAnsi="Arial" w:cs="Arial"/>
        </w:rPr>
        <w:t>can be found</w:t>
      </w:r>
      <w:r w:rsidR="00696E6A">
        <w:rPr>
          <w:rFonts w:ascii="Arial" w:hAnsi="Arial" w:cs="Arial"/>
        </w:rPr>
        <w:t xml:space="preserve"> in the annex.</w:t>
      </w:r>
    </w:p>
    <w:tbl>
      <w:tblPr>
        <w:tblW w:w="9291" w:type="dxa"/>
        <w:jc w:val="center"/>
        <w:tblLook w:val="04A0" w:firstRow="1" w:lastRow="0" w:firstColumn="1" w:lastColumn="0" w:noHBand="0" w:noVBand="1"/>
      </w:tblPr>
      <w:tblGrid>
        <w:gridCol w:w="3201"/>
        <w:gridCol w:w="3880"/>
        <w:gridCol w:w="2210"/>
      </w:tblGrid>
      <w:tr w:rsidR="00A44EBD" w:rsidRPr="00A44EBD" w14:paraId="5DA54860" w14:textId="77777777" w:rsidTr="00F246CA">
        <w:trPr>
          <w:trHeight w:val="675"/>
          <w:tblHeader/>
          <w:jc w:val="center"/>
        </w:trPr>
        <w:tc>
          <w:tcPr>
            <w:tcW w:w="32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1D87C"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Area</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01B07DA"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Indicator</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14:paraId="68DF67FD" w14:textId="77777777" w:rsidR="00A44EBD" w:rsidRPr="00A44EBD" w:rsidRDefault="00A44EBD" w:rsidP="00A44EBD">
            <w:pPr>
              <w:spacing w:after="0" w:line="240" w:lineRule="auto"/>
              <w:jc w:val="center"/>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Indonesia</w:t>
            </w:r>
          </w:p>
        </w:tc>
      </w:tr>
      <w:tr w:rsidR="003A6CF9" w:rsidRPr="00A44EBD" w14:paraId="5425B796" w14:textId="77777777" w:rsidTr="00F50BE1">
        <w:trPr>
          <w:trHeight w:val="332"/>
          <w:jc w:val="center"/>
        </w:trPr>
        <w:tc>
          <w:tcPr>
            <w:tcW w:w="3201" w:type="dxa"/>
            <w:vMerge w:val="restart"/>
            <w:tcBorders>
              <w:top w:val="nil"/>
              <w:left w:val="single" w:sz="4" w:space="0" w:color="auto"/>
              <w:right w:val="single" w:sz="4" w:space="0" w:color="auto"/>
            </w:tcBorders>
            <w:shd w:val="clear" w:color="000000" w:fill="DDD9C4"/>
            <w:hideMark/>
          </w:tcPr>
          <w:p w14:paraId="6DCE00E0" w14:textId="77777777" w:rsidR="003A6CF9" w:rsidRPr="00A44EBD" w:rsidRDefault="003A6CF9" w:rsidP="00F246CA">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1. Interrupt wild poliovirus transmission</w:t>
            </w:r>
          </w:p>
        </w:tc>
        <w:tc>
          <w:tcPr>
            <w:tcW w:w="3880" w:type="dxa"/>
            <w:tcBorders>
              <w:top w:val="nil"/>
              <w:left w:val="nil"/>
              <w:bottom w:val="single" w:sz="4" w:space="0" w:color="auto"/>
              <w:right w:val="single" w:sz="4" w:space="0" w:color="auto"/>
            </w:tcBorders>
            <w:shd w:val="clear" w:color="000000" w:fill="DDD9C4"/>
            <w:vAlign w:val="center"/>
            <w:hideMark/>
          </w:tcPr>
          <w:p w14:paraId="13048D9C" w14:textId="77777777" w:rsidR="003A6CF9" w:rsidRPr="00A44EBD" w:rsidRDefault="003A6CF9" w:rsidP="00A44EBD">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Transmission Interrupted</w:t>
            </w:r>
          </w:p>
        </w:tc>
        <w:tc>
          <w:tcPr>
            <w:tcW w:w="2210" w:type="dxa"/>
            <w:tcBorders>
              <w:top w:val="nil"/>
              <w:left w:val="nil"/>
              <w:bottom w:val="single" w:sz="4" w:space="0" w:color="auto"/>
              <w:right w:val="single" w:sz="4" w:space="0" w:color="auto"/>
            </w:tcBorders>
            <w:shd w:val="clear" w:color="000000" w:fill="00B050"/>
            <w:vAlign w:val="center"/>
            <w:hideMark/>
          </w:tcPr>
          <w:p w14:paraId="5CEB90FA" w14:textId="42D8019C" w:rsidR="003A6CF9" w:rsidRPr="00A44EBD" w:rsidRDefault="003A6CF9" w:rsidP="00A44EBD">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Yes</w:t>
            </w:r>
            <w:r>
              <w:rPr>
                <w:rFonts w:ascii="Calibri" w:eastAsia="Times New Roman" w:hAnsi="Calibri" w:cs="Calibri"/>
                <w:b/>
                <w:bCs/>
                <w:color w:val="000000"/>
                <w:lang w:eastAsia="en-GB"/>
              </w:rPr>
              <w:t xml:space="preserve"> (since 2006)</w:t>
            </w:r>
          </w:p>
        </w:tc>
      </w:tr>
      <w:tr w:rsidR="003A6CF9" w:rsidRPr="00A44EBD" w14:paraId="0A0F14D9" w14:textId="77777777" w:rsidTr="00985561">
        <w:trPr>
          <w:trHeight w:val="900"/>
          <w:jc w:val="center"/>
        </w:trPr>
        <w:tc>
          <w:tcPr>
            <w:tcW w:w="3201" w:type="dxa"/>
            <w:vMerge/>
            <w:tcBorders>
              <w:left w:val="single" w:sz="4" w:space="0" w:color="auto"/>
              <w:right w:val="single" w:sz="4" w:space="0" w:color="auto"/>
            </w:tcBorders>
            <w:shd w:val="clear" w:color="000000" w:fill="DDD9C4"/>
            <w:vAlign w:val="center"/>
          </w:tcPr>
          <w:p w14:paraId="4600DD7E" w14:textId="73C29795" w:rsidR="003A6CF9" w:rsidRPr="00A44EBD" w:rsidRDefault="003A6CF9"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DDD9C4"/>
            <w:vAlign w:val="center"/>
            <w:hideMark/>
          </w:tcPr>
          <w:p w14:paraId="2A3E091C" w14:textId="119DBEF9" w:rsidR="003A6CF9" w:rsidRPr="00A44EBD" w:rsidRDefault="003A6CF9" w:rsidP="00A44EBD">
            <w:pPr>
              <w:spacing w:after="0" w:line="240" w:lineRule="auto"/>
              <w:rPr>
                <w:rFonts w:ascii="Calibri" w:eastAsia="Times New Roman" w:hAnsi="Calibri" w:cs="Calibri"/>
                <w:b/>
                <w:bCs/>
                <w:lang w:eastAsia="en-GB"/>
              </w:rPr>
            </w:pPr>
            <w:r w:rsidRPr="00A44EBD">
              <w:rPr>
                <w:rFonts w:ascii="Calibri" w:eastAsia="Times New Roman" w:hAnsi="Calibri" w:cs="Calibri"/>
                <w:b/>
                <w:bCs/>
                <w:lang w:eastAsia="en-GB"/>
              </w:rPr>
              <w:t>Risk of late detection</w:t>
            </w:r>
            <w:proofErr w:type="gramStart"/>
            <w:r>
              <w:rPr>
                <w:rFonts w:ascii="Calibri" w:eastAsia="Times New Roman" w:hAnsi="Calibri" w:cs="Calibri"/>
                <w:b/>
                <w:bCs/>
                <w:lang w:eastAsia="en-GB"/>
              </w:rPr>
              <w:t>:</w:t>
            </w:r>
            <w:proofErr w:type="gramEnd"/>
            <w:r w:rsidRPr="00A44EBD">
              <w:rPr>
                <w:rFonts w:ascii="Calibri" w:eastAsia="Times New Roman" w:hAnsi="Calibri" w:cs="Calibri"/>
                <w:b/>
                <w:bCs/>
                <w:lang w:eastAsia="en-GB"/>
              </w:rPr>
              <w:br/>
              <w:t>Percent of adequate stool specimens (Rolling 12</w:t>
            </w:r>
            <w:r>
              <w:rPr>
                <w:rFonts w:ascii="Calibri" w:eastAsia="Times New Roman" w:hAnsi="Calibri" w:cs="Calibri"/>
                <w:b/>
                <w:bCs/>
                <w:lang w:eastAsia="en-GB"/>
              </w:rPr>
              <w:t xml:space="preserve"> </w:t>
            </w:r>
            <w:r w:rsidRPr="00A44EBD">
              <w:rPr>
                <w:rFonts w:ascii="Calibri" w:eastAsia="Times New Roman" w:hAnsi="Calibri" w:cs="Calibri"/>
                <w:b/>
                <w:bCs/>
                <w:lang w:eastAsia="en-GB"/>
              </w:rPr>
              <w:t>m</w:t>
            </w:r>
            <w:r>
              <w:rPr>
                <w:rFonts w:ascii="Calibri" w:eastAsia="Times New Roman" w:hAnsi="Calibri" w:cs="Calibri"/>
                <w:b/>
                <w:bCs/>
                <w:lang w:eastAsia="en-GB"/>
              </w:rPr>
              <w:t>o.</w:t>
            </w:r>
            <w:r w:rsidRPr="00A44EBD">
              <w:rPr>
                <w:rFonts w:ascii="Calibri" w:eastAsia="Times New Roman" w:hAnsi="Calibri" w:cs="Calibri"/>
                <w:b/>
                <w:bCs/>
                <w:lang w:eastAsia="en-GB"/>
              </w:rPr>
              <w:t>)</w:t>
            </w:r>
            <w:r>
              <w:rPr>
                <w:rFonts w:ascii="Calibri" w:eastAsia="Times New Roman" w:hAnsi="Calibri" w:cs="Calibri"/>
                <w:b/>
                <w:bCs/>
                <w:lang w:eastAsia="en-GB"/>
              </w:rPr>
              <w:t>(</w:t>
            </w:r>
            <w:r w:rsidRPr="00A44EBD">
              <w:rPr>
                <w:rFonts w:ascii="Calibri" w:eastAsia="Times New Roman" w:hAnsi="Calibri" w:cs="Calibri"/>
                <w:b/>
                <w:bCs/>
                <w:lang w:eastAsia="en-GB"/>
              </w:rPr>
              <w:t>Target &gt; 80%</w:t>
            </w:r>
            <w:r>
              <w:rPr>
                <w:rFonts w:ascii="Calibri" w:eastAsia="Times New Roman" w:hAnsi="Calibri" w:cs="Calibri"/>
                <w:b/>
                <w:bCs/>
                <w:lang w:eastAsia="en-GB"/>
              </w:rPr>
              <w:t>)</w:t>
            </w:r>
          </w:p>
        </w:tc>
        <w:tc>
          <w:tcPr>
            <w:tcW w:w="2210" w:type="dxa"/>
            <w:tcBorders>
              <w:top w:val="nil"/>
              <w:left w:val="nil"/>
              <w:bottom w:val="single" w:sz="4" w:space="0" w:color="auto"/>
              <w:right w:val="single" w:sz="4" w:space="0" w:color="auto"/>
            </w:tcBorders>
            <w:shd w:val="clear" w:color="000000" w:fill="00B050"/>
            <w:vAlign w:val="center"/>
            <w:hideMark/>
          </w:tcPr>
          <w:p w14:paraId="7BD734BC" w14:textId="77777777" w:rsidR="003A6CF9" w:rsidRPr="00A44EBD" w:rsidRDefault="003A6CF9" w:rsidP="00985561">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95.4</w:t>
            </w:r>
          </w:p>
        </w:tc>
      </w:tr>
      <w:tr w:rsidR="003A6CF9" w:rsidRPr="00A44EBD" w14:paraId="040BE220" w14:textId="77777777" w:rsidTr="00482432">
        <w:trPr>
          <w:trHeight w:val="900"/>
          <w:jc w:val="center"/>
        </w:trPr>
        <w:tc>
          <w:tcPr>
            <w:tcW w:w="3201" w:type="dxa"/>
            <w:vMerge/>
            <w:tcBorders>
              <w:left w:val="single" w:sz="4" w:space="0" w:color="auto"/>
              <w:right w:val="single" w:sz="4" w:space="0" w:color="auto"/>
            </w:tcBorders>
            <w:shd w:val="clear" w:color="000000" w:fill="DDD9C4"/>
            <w:vAlign w:val="center"/>
          </w:tcPr>
          <w:p w14:paraId="7F9F88BE" w14:textId="0B3E2E23" w:rsidR="003A6CF9" w:rsidRPr="00A44EBD" w:rsidRDefault="003A6CF9"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DDD9C4"/>
            <w:vAlign w:val="center"/>
            <w:hideMark/>
          </w:tcPr>
          <w:p w14:paraId="264DDEE8" w14:textId="596D02CC" w:rsidR="003A6CF9" w:rsidRPr="00A44EBD" w:rsidRDefault="003A6CF9" w:rsidP="00A44EBD">
            <w:pPr>
              <w:spacing w:after="0" w:line="240" w:lineRule="auto"/>
              <w:rPr>
                <w:rFonts w:ascii="Calibri" w:eastAsia="Times New Roman" w:hAnsi="Calibri" w:cs="Calibri"/>
                <w:b/>
                <w:bCs/>
                <w:lang w:eastAsia="en-GB"/>
              </w:rPr>
            </w:pPr>
            <w:r w:rsidRPr="00A44EBD">
              <w:rPr>
                <w:rFonts w:ascii="Calibri" w:eastAsia="Times New Roman" w:hAnsi="Calibri" w:cs="Calibri"/>
                <w:b/>
                <w:bCs/>
                <w:lang w:eastAsia="en-GB"/>
              </w:rPr>
              <w:t>Risk of late detection</w:t>
            </w:r>
            <w:proofErr w:type="gramStart"/>
            <w:r>
              <w:rPr>
                <w:rFonts w:ascii="Calibri" w:eastAsia="Times New Roman" w:hAnsi="Calibri" w:cs="Calibri"/>
                <w:b/>
                <w:bCs/>
                <w:lang w:eastAsia="en-GB"/>
              </w:rPr>
              <w:t>:</w:t>
            </w:r>
            <w:proofErr w:type="gramEnd"/>
            <w:r w:rsidRPr="00A44EBD">
              <w:rPr>
                <w:rFonts w:ascii="Calibri" w:eastAsia="Times New Roman" w:hAnsi="Calibri" w:cs="Calibri"/>
                <w:b/>
                <w:bCs/>
                <w:lang w:eastAsia="en-GB"/>
              </w:rPr>
              <w:br/>
              <w:t>Non polio AFP rate (Rolling 12</w:t>
            </w:r>
            <w:r>
              <w:rPr>
                <w:rFonts w:ascii="Calibri" w:eastAsia="Times New Roman" w:hAnsi="Calibri" w:cs="Calibri"/>
                <w:b/>
                <w:bCs/>
                <w:lang w:eastAsia="en-GB"/>
              </w:rPr>
              <w:t xml:space="preserve"> </w:t>
            </w:r>
            <w:r w:rsidRPr="00A44EBD">
              <w:rPr>
                <w:rFonts w:ascii="Calibri" w:eastAsia="Times New Roman" w:hAnsi="Calibri" w:cs="Calibri"/>
                <w:b/>
                <w:bCs/>
                <w:lang w:eastAsia="en-GB"/>
              </w:rPr>
              <w:t>m</w:t>
            </w:r>
            <w:r>
              <w:rPr>
                <w:rFonts w:ascii="Calibri" w:eastAsia="Times New Roman" w:hAnsi="Calibri" w:cs="Calibri"/>
                <w:b/>
                <w:bCs/>
                <w:lang w:eastAsia="en-GB"/>
              </w:rPr>
              <w:t>o.</w:t>
            </w:r>
            <w:r w:rsidRPr="00A44EBD">
              <w:rPr>
                <w:rFonts w:ascii="Calibri" w:eastAsia="Times New Roman" w:hAnsi="Calibri" w:cs="Calibri"/>
                <w:b/>
                <w:bCs/>
                <w:lang w:eastAsia="en-GB"/>
              </w:rPr>
              <w:t xml:space="preserve"> ) </w:t>
            </w:r>
            <w:r w:rsidRPr="00A44EBD">
              <w:rPr>
                <w:rFonts w:ascii="Calibri" w:eastAsia="Times New Roman" w:hAnsi="Calibri" w:cs="Calibri"/>
                <w:b/>
                <w:bCs/>
                <w:lang w:eastAsia="en-GB"/>
              </w:rPr>
              <w:br/>
            </w:r>
            <w:r>
              <w:rPr>
                <w:rFonts w:ascii="Calibri" w:eastAsia="Times New Roman" w:hAnsi="Calibri" w:cs="Calibri"/>
                <w:b/>
                <w:bCs/>
                <w:lang w:eastAsia="en-GB"/>
              </w:rPr>
              <w:t>(</w:t>
            </w:r>
            <w:r w:rsidRPr="00A44EBD">
              <w:rPr>
                <w:rFonts w:ascii="Calibri" w:eastAsia="Times New Roman" w:hAnsi="Calibri" w:cs="Calibri"/>
                <w:b/>
                <w:bCs/>
                <w:lang w:eastAsia="en-GB"/>
              </w:rPr>
              <w:t>Target &gt; 2</w:t>
            </w:r>
            <w:r>
              <w:rPr>
                <w:rFonts w:ascii="Calibri" w:eastAsia="Times New Roman" w:hAnsi="Calibri" w:cs="Calibri"/>
                <w:b/>
                <w:bCs/>
                <w:lang w:eastAsia="en-GB"/>
              </w:rPr>
              <w:t>/100,000 children</w:t>
            </w:r>
          </w:p>
        </w:tc>
        <w:tc>
          <w:tcPr>
            <w:tcW w:w="2210" w:type="dxa"/>
            <w:tcBorders>
              <w:top w:val="nil"/>
              <w:left w:val="nil"/>
              <w:bottom w:val="single" w:sz="4" w:space="0" w:color="auto"/>
              <w:right w:val="single" w:sz="4" w:space="0" w:color="auto"/>
            </w:tcBorders>
            <w:shd w:val="clear" w:color="000000" w:fill="FF0000"/>
            <w:vAlign w:val="center"/>
            <w:hideMark/>
          </w:tcPr>
          <w:p w14:paraId="0FE5F59B" w14:textId="7E6F4F1F" w:rsidR="003A6CF9" w:rsidRPr="00A44EBD" w:rsidRDefault="003A6CF9" w:rsidP="00985561">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1.6</w:t>
            </w:r>
          </w:p>
        </w:tc>
      </w:tr>
      <w:tr w:rsidR="003A6CF9" w:rsidRPr="00A44EBD" w14:paraId="3ED93EE4" w14:textId="77777777" w:rsidTr="00F246CA">
        <w:trPr>
          <w:trHeight w:val="1412"/>
          <w:jc w:val="center"/>
        </w:trPr>
        <w:tc>
          <w:tcPr>
            <w:tcW w:w="3201" w:type="dxa"/>
            <w:vMerge/>
            <w:tcBorders>
              <w:left w:val="single" w:sz="4" w:space="0" w:color="auto"/>
              <w:bottom w:val="single" w:sz="4" w:space="0" w:color="auto"/>
              <w:right w:val="single" w:sz="4" w:space="0" w:color="auto"/>
            </w:tcBorders>
            <w:shd w:val="clear" w:color="000000" w:fill="DDD9C4"/>
            <w:vAlign w:val="center"/>
          </w:tcPr>
          <w:p w14:paraId="56EE9C8C" w14:textId="6B7CA3B1" w:rsidR="003A6CF9" w:rsidRPr="00A44EBD" w:rsidRDefault="003A6CF9"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DDD9C4"/>
            <w:vAlign w:val="center"/>
            <w:hideMark/>
          </w:tcPr>
          <w:p w14:paraId="1AF8862C" w14:textId="362DC1D2" w:rsidR="003A6CF9" w:rsidRPr="00A44EBD" w:rsidRDefault="003A6CF9" w:rsidP="00F246CA">
            <w:pPr>
              <w:spacing w:after="0" w:line="240" w:lineRule="auto"/>
              <w:rPr>
                <w:rFonts w:ascii="Calibri" w:eastAsia="Times New Roman" w:hAnsi="Calibri" w:cs="Calibri"/>
                <w:b/>
                <w:bCs/>
                <w:lang w:eastAsia="en-GB"/>
              </w:rPr>
            </w:pPr>
            <w:r w:rsidRPr="00A44EBD">
              <w:rPr>
                <w:rFonts w:ascii="Calibri" w:eastAsia="Times New Roman" w:hAnsi="Calibri" w:cs="Calibri"/>
                <w:b/>
                <w:bCs/>
                <w:lang w:eastAsia="en-GB"/>
              </w:rPr>
              <w:t>Risk of spread after importation</w:t>
            </w:r>
            <w:r w:rsidR="00F246CA">
              <w:rPr>
                <w:rFonts w:ascii="Calibri" w:eastAsia="Times New Roman" w:hAnsi="Calibri" w:cs="Calibri"/>
                <w:b/>
                <w:bCs/>
                <w:lang w:eastAsia="en-GB"/>
              </w:rPr>
              <w:t>:</w:t>
            </w:r>
            <w:r w:rsidRPr="00A44EBD">
              <w:rPr>
                <w:rFonts w:ascii="Calibri" w:eastAsia="Times New Roman" w:hAnsi="Calibri" w:cs="Calibri"/>
                <w:b/>
                <w:bCs/>
                <w:lang w:eastAsia="en-GB"/>
              </w:rPr>
              <w:t xml:space="preserve"> </w:t>
            </w:r>
            <w:r w:rsidRPr="00A44EBD">
              <w:rPr>
                <w:rFonts w:ascii="Calibri" w:eastAsia="Times New Roman" w:hAnsi="Calibri" w:cs="Calibri"/>
                <w:b/>
                <w:bCs/>
                <w:lang w:eastAsia="en-GB"/>
              </w:rPr>
              <w:br/>
              <w:t>% of 6-59</w:t>
            </w:r>
            <w:r w:rsidR="00F246CA">
              <w:rPr>
                <w:rFonts w:ascii="Calibri" w:eastAsia="Times New Roman" w:hAnsi="Calibri" w:cs="Calibri"/>
                <w:b/>
                <w:bCs/>
                <w:lang w:eastAsia="en-GB"/>
              </w:rPr>
              <w:t xml:space="preserve"> month olds</w:t>
            </w:r>
            <w:r w:rsidRPr="00A44EBD">
              <w:rPr>
                <w:rFonts w:ascii="Calibri" w:eastAsia="Times New Roman" w:hAnsi="Calibri" w:cs="Calibri"/>
                <w:b/>
                <w:bCs/>
                <w:lang w:eastAsia="en-GB"/>
              </w:rPr>
              <w:t xml:space="preserve"> having received less than 3 doses in the last year before occurrence case/environmental positive)</w:t>
            </w:r>
          </w:p>
        </w:tc>
        <w:tc>
          <w:tcPr>
            <w:tcW w:w="2210" w:type="dxa"/>
            <w:tcBorders>
              <w:top w:val="nil"/>
              <w:left w:val="nil"/>
              <w:bottom w:val="single" w:sz="4" w:space="0" w:color="auto"/>
              <w:right w:val="single" w:sz="4" w:space="0" w:color="auto"/>
            </w:tcBorders>
            <w:shd w:val="clear" w:color="000000" w:fill="FF0000"/>
            <w:vAlign w:val="center"/>
            <w:hideMark/>
          </w:tcPr>
          <w:p w14:paraId="65C482C2" w14:textId="54C9646E" w:rsidR="003A6CF9" w:rsidRPr="00A44EBD" w:rsidRDefault="003A6CF9" w:rsidP="00A44EBD">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23</w:t>
            </w:r>
            <w:r w:rsidR="00F246CA">
              <w:rPr>
                <w:rFonts w:ascii="Calibri" w:eastAsia="Times New Roman" w:hAnsi="Calibri" w:cs="Calibri"/>
                <w:b/>
                <w:bCs/>
                <w:color w:val="000000"/>
                <w:lang w:eastAsia="en-GB"/>
              </w:rPr>
              <w:t>%</w:t>
            </w:r>
          </w:p>
        </w:tc>
      </w:tr>
    </w:tbl>
    <w:p w14:paraId="03106ED9" w14:textId="1EA14EAE" w:rsidR="003269B4" w:rsidRPr="006A36F3" w:rsidRDefault="003269B4" w:rsidP="006A36F3">
      <w:pPr>
        <w:pStyle w:val="ListParagraph"/>
        <w:numPr>
          <w:ilvl w:val="0"/>
          <w:numId w:val="1"/>
        </w:numPr>
        <w:rPr>
          <w:rFonts w:ascii="Arial" w:hAnsi="Arial" w:cs="Arial"/>
          <w:b/>
          <w:sz w:val="24"/>
          <w:szCs w:val="24"/>
        </w:rPr>
      </w:pPr>
      <w:r w:rsidRPr="00293D5E">
        <w:rPr>
          <w:rFonts w:ascii="Arial" w:hAnsi="Arial" w:cs="Arial"/>
          <w:b/>
          <w:sz w:val="24"/>
          <w:szCs w:val="24"/>
        </w:rPr>
        <w:t>Progress towards specific GVAP goals (issues/challenges/successes)</w:t>
      </w:r>
    </w:p>
    <w:p w14:paraId="7686DCE1" w14:textId="35B2AFB1" w:rsidR="006A36F3" w:rsidRDefault="003269B4" w:rsidP="003269B4">
      <w:pPr>
        <w:rPr>
          <w:rFonts w:ascii="Arial" w:hAnsi="Arial" w:cs="Arial"/>
          <w:b/>
        </w:rPr>
      </w:pPr>
      <w:r>
        <w:rPr>
          <w:rFonts w:ascii="Arial" w:hAnsi="Arial" w:cs="Arial"/>
          <w:b/>
        </w:rPr>
        <w:t xml:space="preserve">3.1 Goal </w:t>
      </w:r>
      <w:r w:rsidR="006A36F3">
        <w:rPr>
          <w:rFonts w:ascii="Arial" w:hAnsi="Arial" w:cs="Arial"/>
          <w:b/>
        </w:rPr>
        <w:t>1:</w:t>
      </w:r>
      <w:r w:rsidR="006A36F3" w:rsidRPr="006A36F3">
        <w:rPr>
          <w:rFonts w:ascii="Arial" w:hAnsi="Arial" w:cs="Arial"/>
          <w:b/>
        </w:rPr>
        <w:t xml:space="preserve"> </w:t>
      </w:r>
      <w:r w:rsidR="006A36F3">
        <w:rPr>
          <w:rFonts w:ascii="Arial" w:hAnsi="Arial" w:cs="Arial"/>
          <w:b/>
        </w:rPr>
        <w:t>Achieve a world free of p</w:t>
      </w:r>
      <w:r w:rsidR="006A36F3" w:rsidRPr="009318B8">
        <w:rPr>
          <w:rFonts w:ascii="Arial" w:hAnsi="Arial" w:cs="Arial"/>
          <w:b/>
        </w:rPr>
        <w:t>oliomyelitis</w:t>
      </w:r>
      <w:r w:rsidR="006A36F3">
        <w:rPr>
          <w:rFonts w:ascii="Arial" w:hAnsi="Arial" w:cs="Arial"/>
          <w:b/>
        </w:rPr>
        <w:t xml:space="preserve"> </w:t>
      </w:r>
    </w:p>
    <w:p w14:paraId="2C12C3C9" w14:textId="72D72383" w:rsidR="006A36F3" w:rsidRPr="006A36F3" w:rsidRDefault="006A36F3" w:rsidP="003269B4">
      <w:pPr>
        <w:rPr>
          <w:rFonts w:ascii="Arial" w:hAnsi="Arial" w:cs="Arial"/>
          <w:u w:val="single"/>
        </w:rPr>
      </w:pPr>
      <w:r w:rsidRPr="006A36F3">
        <w:rPr>
          <w:rFonts w:ascii="Arial" w:hAnsi="Arial" w:cs="Arial"/>
          <w:u w:val="single"/>
        </w:rPr>
        <w:t>Has polio transmission been interrupted?</w:t>
      </w:r>
    </w:p>
    <w:p w14:paraId="230ADD43" w14:textId="5E95AF38" w:rsidR="006A36F3" w:rsidRPr="006A36F3" w:rsidRDefault="00E27973" w:rsidP="003269B4">
      <w:pPr>
        <w:rPr>
          <w:rFonts w:ascii="Arial" w:hAnsi="Arial" w:cs="Arial"/>
        </w:rPr>
      </w:pPr>
      <w:r>
        <w:rPr>
          <w:rFonts w:ascii="Arial" w:hAnsi="Arial" w:cs="Arial"/>
        </w:rPr>
        <w:lastRenderedPageBreak/>
        <w:t>Indonesia has not experienced a case of wild polio virus since 2005, when there was an outbreak in Aceh province following the tsunami, with more than 300 cases reported.</w:t>
      </w:r>
      <w:r>
        <w:rPr>
          <w:rStyle w:val="FootnoteReference"/>
          <w:rFonts w:ascii="Arial" w:hAnsi="Arial" w:cs="Arial"/>
        </w:rPr>
        <w:footnoteReference w:id="1"/>
      </w:r>
    </w:p>
    <w:p w14:paraId="66EDC2E5" w14:textId="531816B0" w:rsidR="006A36F3" w:rsidRPr="008707E1" w:rsidRDefault="00E27973" w:rsidP="003269B4">
      <w:pPr>
        <w:rPr>
          <w:rFonts w:ascii="Arial" w:hAnsi="Arial" w:cs="Arial"/>
          <w:u w:val="single"/>
        </w:rPr>
      </w:pPr>
      <w:r w:rsidRPr="008707E1">
        <w:rPr>
          <w:rFonts w:ascii="Arial" w:hAnsi="Arial" w:cs="Arial"/>
          <w:u w:val="single"/>
        </w:rPr>
        <w:t>Is the country at high risk of polio transmission?</w:t>
      </w:r>
    </w:p>
    <w:p w14:paraId="62EE6799" w14:textId="0F3B5612" w:rsidR="008707E1" w:rsidRDefault="008707E1" w:rsidP="003269B4">
      <w:pPr>
        <w:rPr>
          <w:rFonts w:ascii="Arial" w:hAnsi="Arial" w:cs="Arial"/>
        </w:rPr>
      </w:pPr>
      <w:r>
        <w:rPr>
          <w:rFonts w:ascii="Arial" w:hAnsi="Arial" w:cs="Arial"/>
        </w:rPr>
        <w:t xml:space="preserve">The polio risk assessment conducted by WHO in 2015 </w:t>
      </w:r>
      <w:r w:rsidR="000001A1">
        <w:rPr>
          <w:rFonts w:ascii="Arial" w:hAnsi="Arial" w:cs="Arial"/>
        </w:rPr>
        <w:t>assessed</w:t>
      </w:r>
      <w:r>
        <w:rPr>
          <w:rFonts w:ascii="Arial" w:hAnsi="Arial" w:cs="Arial"/>
        </w:rPr>
        <w:t xml:space="preserve"> the nation as a whole </w:t>
      </w:r>
      <w:r w:rsidR="000001A1">
        <w:rPr>
          <w:rFonts w:ascii="Arial" w:hAnsi="Arial" w:cs="Arial"/>
        </w:rPr>
        <w:t xml:space="preserve">as </w:t>
      </w:r>
      <w:r>
        <w:rPr>
          <w:rFonts w:ascii="Arial" w:hAnsi="Arial" w:cs="Arial"/>
        </w:rPr>
        <w:t>at low risk of polio importation and spread. However, the assessment found that 19 of the country’s 33 provinces were at high risk of polio transmission, seven were at medium risk and eight were at low risk. The main factors accounting for the continual risk in many provinces are:</w:t>
      </w:r>
    </w:p>
    <w:p w14:paraId="48DC4832" w14:textId="10CD1DA6" w:rsidR="008707E1" w:rsidRDefault="008707E1" w:rsidP="00AA6DBA">
      <w:pPr>
        <w:pStyle w:val="ListParagraph"/>
        <w:numPr>
          <w:ilvl w:val="0"/>
          <w:numId w:val="28"/>
        </w:numPr>
        <w:contextualSpacing w:val="0"/>
        <w:rPr>
          <w:rFonts w:ascii="Arial" w:hAnsi="Arial" w:cs="Arial"/>
        </w:rPr>
      </w:pPr>
      <w:r w:rsidRPr="00AA6DBA">
        <w:rPr>
          <w:rFonts w:ascii="Arial" w:hAnsi="Arial" w:cs="Arial"/>
          <w:b/>
        </w:rPr>
        <w:t>Pockets of low immunization among young children</w:t>
      </w:r>
      <w:r>
        <w:rPr>
          <w:rFonts w:ascii="Arial" w:hAnsi="Arial" w:cs="Arial"/>
        </w:rPr>
        <w:t xml:space="preserve"> due to inadequate coverage of polio vaccination. The WHO-UNICEF (WUENIC) estimated national coverage rate for three polio vaccine doses is 82% -- well below the 90% target – and coverage is considerably lower in several areas. According to the 2013 </w:t>
      </w:r>
      <w:proofErr w:type="spellStart"/>
      <w:r w:rsidR="00AA6DBA">
        <w:rPr>
          <w:rFonts w:ascii="Arial" w:hAnsi="Arial" w:cs="Arial"/>
        </w:rPr>
        <w:t>Riskesdas</w:t>
      </w:r>
      <w:proofErr w:type="spellEnd"/>
      <w:r w:rsidR="00AA6DBA">
        <w:rPr>
          <w:rFonts w:ascii="Arial" w:hAnsi="Arial" w:cs="Arial"/>
        </w:rPr>
        <w:t xml:space="preserve"> immunization coverage survey, one-quarter </w:t>
      </w:r>
      <w:r w:rsidR="00697CFB">
        <w:rPr>
          <w:rFonts w:ascii="Arial" w:hAnsi="Arial" w:cs="Arial"/>
        </w:rPr>
        <w:t xml:space="preserve">of </w:t>
      </w:r>
      <w:r w:rsidR="00AA6DBA">
        <w:rPr>
          <w:rFonts w:ascii="Arial" w:hAnsi="Arial" w:cs="Arial"/>
        </w:rPr>
        <w:t xml:space="preserve">provinces </w:t>
      </w:r>
      <w:r w:rsidR="00697CFB">
        <w:rPr>
          <w:rFonts w:ascii="Arial" w:hAnsi="Arial" w:cs="Arial"/>
        </w:rPr>
        <w:t xml:space="preserve">(8 out of 33) </w:t>
      </w:r>
      <w:r w:rsidR="00AA6DBA">
        <w:rPr>
          <w:rFonts w:ascii="Arial" w:hAnsi="Arial" w:cs="Arial"/>
        </w:rPr>
        <w:t>had coverage rates for the four polio vaccine doses in the national schedule of less than 70%, with the lowest rate in Papua province at 49%.</w:t>
      </w:r>
    </w:p>
    <w:p w14:paraId="6C4BAD5C" w14:textId="196A302E" w:rsidR="00AA6DBA" w:rsidRDefault="00AA6DBA" w:rsidP="00AA6DBA">
      <w:pPr>
        <w:pStyle w:val="ListParagraph"/>
        <w:numPr>
          <w:ilvl w:val="0"/>
          <w:numId w:val="28"/>
        </w:numPr>
        <w:contextualSpacing w:val="0"/>
        <w:rPr>
          <w:rFonts w:ascii="Arial" w:hAnsi="Arial" w:cs="Arial"/>
        </w:rPr>
      </w:pPr>
      <w:r w:rsidRPr="00AA6DBA">
        <w:rPr>
          <w:rFonts w:ascii="Arial" w:hAnsi="Arial" w:cs="Arial"/>
          <w:b/>
        </w:rPr>
        <w:t>Inadequate performance of AFP/polio surveillance in many areas</w:t>
      </w:r>
      <w:r>
        <w:rPr>
          <w:rFonts w:ascii="Arial" w:hAnsi="Arial" w:cs="Arial"/>
        </w:rPr>
        <w:t xml:space="preserve">. AFP surveillance is conducted in all 33 provinces, through a network of provincial and district surveillance officers. It is integrated with measles surveillance and supported by three national laboratories. </w:t>
      </w:r>
      <w:r w:rsidR="002B495D">
        <w:rPr>
          <w:rFonts w:ascii="Arial" w:hAnsi="Arial" w:cs="Arial"/>
        </w:rPr>
        <w:t xml:space="preserve">Environmental polio surveillance is also in place in two sites. </w:t>
      </w:r>
      <w:r>
        <w:rPr>
          <w:rFonts w:ascii="Arial" w:hAnsi="Arial" w:cs="Arial"/>
        </w:rPr>
        <w:t>However, the 2013 EPI/surveillance review found weak active surveillance at hospitals in the provinces, with poor understanding of AFP case definitions among doctors, and identified several unreported AFP cases.</w:t>
      </w:r>
      <w:r>
        <w:rPr>
          <w:rStyle w:val="FootnoteReference"/>
          <w:rFonts w:ascii="Arial" w:hAnsi="Arial" w:cs="Arial"/>
        </w:rPr>
        <w:footnoteReference w:id="2"/>
      </w:r>
      <w:r>
        <w:rPr>
          <w:rFonts w:ascii="Arial" w:hAnsi="Arial" w:cs="Arial"/>
        </w:rPr>
        <w:t xml:space="preserve"> While the </w:t>
      </w:r>
      <w:r w:rsidR="000001A1">
        <w:rPr>
          <w:rFonts w:ascii="Arial" w:hAnsi="Arial" w:cs="Arial"/>
        </w:rPr>
        <w:t xml:space="preserve">polio risk assessment found that the </w:t>
      </w:r>
      <w:r>
        <w:rPr>
          <w:rFonts w:ascii="Arial" w:hAnsi="Arial" w:cs="Arial"/>
        </w:rPr>
        <w:t xml:space="preserve">national rate of non-polio AFP </w:t>
      </w:r>
      <w:r w:rsidR="00697CFB">
        <w:rPr>
          <w:rFonts w:ascii="Arial" w:hAnsi="Arial" w:cs="Arial"/>
        </w:rPr>
        <w:t xml:space="preserve">just </w:t>
      </w:r>
      <w:r>
        <w:rPr>
          <w:rFonts w:ascii="Arial" w:hAnsi="Arial" w:cs="Arial"/>
        </w:rPr>
        <w:t xml:space="preserve">meets the target indicator (at 2.02/100,000 children), </w:t>
      </w:r>
      <w:r w:rsidR="000001A1">
        <w:rPr>
          <w:rFonts w:ascii="Arial" w:hAnsi="Arial" w:cs="Arial"/>
        </w:rPr>
        <w:t>14 provinces did not meet this standard and many had stool adequacy rates below the 90% target. Several sources report a recent decline in the performance of the AFP/polio surveillance system overall, coinciding with a reduction in donor support.</w:t>
      </w:r>
    </w:p>
    <w:p w14:paraId="251813C3" w14:textId="5E211C06" w:rsidR="00697CFB" w:rsidRPr="00697CFB" w:rsidRDefault="00697CFB" w:rsidP="00697CFB">
      <w:pPr>
        <w:rPr>
          <w:rFonts w:ascii="Arial" w:hAnsi="Arial" w:cs="Arial"/>
        </w:rPr>
      </w:pPr>
      <w:r>
        <w:rPr>
          <w:rFonts w:ascii="Arial" w:hAnsi="Arial" w:cs="Arial"/>
        </w:rPr>
        <w:t>Other sources also cite the risk of possible importation from immigrants from at-risk countries and from the large number of travellers to the Haj each year.</w:t>
      </w:r>
    </w:p>
    <w:p w14:paraId="3FB03895" w14:textId="45254684" w:rsidR="000001A1" w:rsidRPr="000001A1" w:rsidRDefault="000001A1" w:rsidP="000001A1">
      <w:pPr>
        <w:rPr>
          <w:rFonts w:ascii="Arial" w:hAnsi="Arial" w:cs="Arial"/>
          <w:u w:val="single"/>
        </w:rPr>
      </w:pPr>
      <w:r w:rsidRPr="000001A1">
        <w:rPr>
          <w:rFonts w:ascii="Arial" w:hAnsi="Arial" w:cs="Arial"/>
          <w:u w:val="single"/>
        </w:rPr>
        <w:t>What needs to be done to ensure sustainability of polio eradication?</w:t>
      </w:r>
    </w:p>
    <w:p w14:paraId="704C960C" w14:textId="575EA45A" w:rsidR="000001A1" w:rsidRDefault="000001A1" w:rsidP="000001A1">
      <w:pPr>
        <w:rPr>
          <w:rFonts w:ascii="Arial" w:hAnsi="Arial" w:cs="Arial"/>
        </w:rPr>
      </w:pPr>
      <w:r>
        <w:rPr>
          <w:rFonts w:ascii="Arial" w:hAnsi="Arial" w:cs="Arial"/>
        </w:rPr>
        <w:t xml:space="preserve">Until recently, Indonesia had not conducted polio vaccination campaigns since sub-national campaigns were held in 2011. The country conducted a national </w:t>
      </w:r>
      <w:r w:rsidR="00256665">
        <w:rPr>
          <w:rFonts w:ascii="Arial" w:hAnsi="Arial" w:cs="Arial"/>
        </w:rPr>
        <w:t xml:space="preserve">immunization day (NID) </w:t>
      </w:r>
      <w:r>
        <w:rPr>
          <w:rFonts w:ascii="Arial" w:hAnsi="Arial" w:cs="Arial"/>
        </w:rPr>
        <w:t xml:space="preserve">in March 2016, </w:t>
      </w:r>
      <w:r w:rsidR="00697CFB">
        <w:rPr>
          <w:rFonts w:ascii="Arial" w:hAnsi="Arial" w:cs="Arial"/>
        </w:rPr>
        <w:t xml:space="preserve">which </w:t>
      </w:r>
      <w:r>
        <w:rPr>
          <w:rFonts w:ascii="Arial" w:hAnsi="Arial" w:cs="Arial"/>
        </w:rPr>
        <w:t>target</w:t>
      </w:r>
      <w:r w:rsidR="00697CFB">
        <w:rPr>
          <w:rFonts w:ascii="Arial" w:hAnsi="Arial" w:cs="Arial"/>
        </w:rPr>
        <w:t>ed</w:t>
      </w:r>
      <w:r>
        <w:rPr>
          <w:rFonts w:ascii="Arial" w:hAnsi="Arial" w:cs="Arial"/>
        </w:rPr>
        <w:t xml:space="preserve"> </w:t>
      </w:r>
      <w:r w:rsidR="00256665">
        <w:rPr>
          <w:rFonts w:ascii="Arial" w:hAnsi="Arial" w:cs="Arial"/>
        </w:rPr>
        <w:t>more than</w:t>
      </w:r>
      <w:r>
        <w:rPr>
          <w:rFonts w:ascii="Arial" w:hAnsi="Arial" w:cs="Arial"/>
        </w:rPr>
        <w:t xml:space="preserve"> 2</w:t>
      </w:r>
      <w:r w:rsidR="00C00233">
        <w:rPr>
          <w:rFonts w:ascii="Arial" w:hAnsi="Arial" w:cs="Arial"/>
        </w:rPr>
        <w:t>2</w:t>
      </w:r>
      <w:r>
        <w:rPr>
          <w:rFonts w:ascii="Arial" w:hAnsi="Arial" w:cs="Arial"/>
        </w:rPr>
        <w:t xml:space="preserve"> million children under the age of five prior to the switch from trivalent to bivalent OPV in April. This was followed by the introduction of IPV as the third polio vaccine dose in the routine </w:t>
      </w:r>
      <w:r w:rsidR="00697CFB">
        <w:rPr>
          <w:rFonts w:ascii="Arial" w:hAnsi="Arial" w:cs="Arial"/>
        </w:rPr>
        <w:t xml:space="preserve">immunization </w:t>
      </w:r>
      <w:r>
        <w:rPr>
          <w:rFonts w:ascii="Arial" w:hAnsi="Arial" w:cs="Arial"/>
        </w:rPr>
        <w:t>schedule in July.</w:t>
      </w:r>
      <w:r w:rsidR="00256665">
        <w:rPr>
          <w:rFonts w:ascii="Arial" w:hAnsi="Arial" w:cs="Arial"/>
        </w:rPr>
        <w:t xml:space="preserve"> A second NID is planned for 2017 to increase population immunity and further reduce risk of transmission.</w:t>
      </w:r>
    </w:p>
    <w:p w14:paraId="429276BD" w14:textId="7DCAA030" w:rsidR="000001A1" w:rsidRPr="000001A1" w:rsidRDefault="000001A1" w:rsidP="000001A1">
      <w:pPr>
        <w:rPr>
          <w:rFonts w:ascii="Arial" w:hAnsi="Arial" w:cs="Arial"/>
        </w:rPr>
      </w:pPr>
      <w:r>
        <w:rPr>
          <w:rFonts w:ascii="Arial" w:hAnsi="Arial" w:cs="Arial"/>
        </w:rPr>
        <w:t>Sustaining polio-free status and reducing the risk of transmission in Indonesia in high-risk areas will require strengthening case-based surveillance in health facilities, including hospitals (through training of staff)</w:t>
      </w:r>
      <w:r w:rsidR="00256665">
        <w:rPr>
          <w:rFonts w:ascii="Arial" w:hAnsi="Arial" w:cs="Arial"/>
        </w:rPr>
        <w:t xml:space="preserve"> </w:t>
      </w:r>
      <w:r w:rsidR="00C00233">
        <w:rPr>
          <w:rFonts w:ascii="Arial" w:hAnsi="Arial" w:cs="Arial"/>
        </w:rPr>
        <w:t>and</w:t>
      </w:r>
      <w:r>
        <w:rPr>
          <w:rFonts w:ascii="Arial" w:hAnsi="Arial" w:cs="Arial"/>
        </w:rPr>
        <w:t xml:space="preserve"> increasing polio vaccine coverage through the routine immunization program in all low-performing districts in the country</w:t>
      </w:r>
      <w:r w:rsidR="00256665">
        <w:rPr>
          <w:rFonts w:ascii="Arial" w:hAnsi="Arial" w:cs="Arial"/>
        </w:rPr>
        <w:t xml:space="preserve">. </w:t>
      </w:r>
    </w:p>
    <w:p w14:paraId="2DF56EBA" w14:textId="77777777" w:rsidR="006E0769" w:rsidRDefault="006E0769" w:rsidP="006E0769">
      <w:pPr>
        <w:rPr>
          <w:rFonts w:ascii="Arial" w:hAnsi="Arial" w:cs="Arial"/>
          <w:b/>
          <w:sz w:val="24"/>
        </w:rPr>
      </w:pPr>
      <w:r>
        <w:rPr>
          <w:rFonts w:ascii="Arial" w:hAnsi="Arial" w:cs="Arial"/>
          <w:b/>
          <w:sz w:val="24"/>
        </w:rPr>
        <w:lastRenderedPageBreak/>
        <w:t>ANNEXES</w:t>
      </w:r>
    </w:p>
    <w:p w14:paraId="3BA5A0E0" w14:textId="77777777" w:rsidR="006E0769" w:rsidRDefault="006E0769" w:rsidP="006E0769">
      <w:pPr>
        <w:rPr>
          <w:rFonts w:ascii="Arial" w:hAnsi="Arial" w:cs="Arial"/>
          <w:b/>
          <w:sz w:val="24"/>
        </w:rPr>
      </w:pPr>
      <w:r>
        <w:rPr>
          <w:rFonts w:ascii="Arial" w:hAnsi="Arial" w:cs="Arial"/>
          <w:b/>
          <w:sz w:val="24"/>
        </w:rPr>
        <w:t>Annex 1: Country immunization profile</w:t>
      </w:r>
    </w:p>
    <w:p w14:paraId="3DD49E2F" w14:textId="77777777" w:rsidR="006E0769" w:rsidRDefault="006E0769" w:rsidP="006E0769">
      <w:pPr>
        <w:pStyle w:val="ListParagraph"/>
        <w:numPr>
          <w:ilvl w:val="0"/>
          <w:numId w:val="22"/>
        </w:numPr>
        <w:rPr>
          <w:b/>
          <w:bCs/>
          <w:sz w:val="24"/>
          <w:szCs w:val="24"/>
        </w:rPr>
      </w:pPr>
      <w:r>
        <w:rPr>
          <w:b/>
          <w:bCs/>
          <w:sz w:val="24"/>
          <w:szCs w:val="24"/>
        </w:rPr>
        <w:t>Polio</w:t>
      </w:r>
    </w:p>
    <w:p w14:paraId="20C53A35" w14:textId="16D1DB59" w:rsidR="006E0769" w:rsidRDefault="006E0769" w:rsidP="006E0769">
      <w:pPr>
        <w:pStyle w:val="ListParagraph"/>
        <w:numPr>
          <w:ilvl w:val="0"/>
          <w:numId w:val="24"/>
        </w:numPr>
        <w:rPr>
          <w:b/>
          <w:bCs/>
          <w:sz w:val="24"/>
          <w:szCs w:val="24"/>
        </w:rPr>
      </w:pPr>
      <w:r>
        <w:rPr>
          <w:b/>
          <w:bCs/>
          <w:sz w:val="24"/>
          <w:szCs w:val="24"/>
        </w:rPr>
        <w:t xml:space="preserve">Transmission stopped in </w:t>
      </w:r>
      <w:r w:rsidR="003D6DEA" w:rsidRPr="003D6DEA">
        <w:rPr>
          <w:b/>
          <w:bCs/>
          <w:sz w:val="24"/>
          <w:szCs w:val="24"/>
        </w:rPr>
        <w:t>2005</w:t>
      </w:r>
      <w:r w:rsidRPr="003D6DEA">
        <w:rPr>
          <w:b/>
          <w:bCs/>
          <w:sz w:val="24"/>
          <w:szCs w:val="24"/>
        </w:rPr>
        <w:t>.</w:t>
      </w:r>
    </w:p>
    <w:p w14:paraId="3017A07B" w14:textId="79DDA35F" w:rsidR="00767C0F" w:rsidRPr="00E52441" w:rsidRDefault="00053455" w:rsidP="00E52441">
      <w:pPr>
        <w:pStyle w:val="ListParagraph"/>
        <w:numPr>
          <w:ilvl w:val="0"/>
          <w:numId w:val="24"/>
        </w:numPr>
        <w:rPr>
          <w:b/>
          <w:bCs/>
          <w:sz w:val="24"/>
          <w:szCs w:val="24"/>
        </w:rPr>
      </w:pPr>
      <w:r>
        <w:rPr>
          <w:b/>
          <w:bCs/>
          <w:sz w:val="24"/>
          <w:szCs w:val="24"/>
        </w:rPr>
        <w:t>Eradication certified in 2014</w:t>
      </w:r>
    </w:p>
    <w:p w14:paraId="6C1E2302" w14:textId="75AAB9FD" w:rsidR="00E00963" w:rsidRPr="00767C0F" w:rsidRDefault="00767C0F" w:rsidP="00767C0F">
      <w:pPr>
        <w:pStyle w:val="Caption"/>
        <w:rPr>
          <w:rFonts w:ascii="Arial" w:hAnsi="Arial" w:cs="Arial"/>
          <w:color w:val="auto"/>
          <w:sz w:val="22"/>
          <w:szCs w:val="22"/>
        </w:rPr>
      </w:pPr>
      <w:r w:rsidRPr="00767C0F">
        <w:rPr>
          <w:rFonts w:ascii="Arial" w:hAnsi="Arial" w:cs="Arial"/>
          <w:color w:val="auto"/>
          <w:sz w:val="22"/>
          <w:szCs w:val="22"/>
        </w:rPr>
        <w:t xml:space="preserve">Table </w:t>
      </w:r>
      <w:r w:rsidRPr="00767C0F">
        <w:rPr>
          <w:rFonts w:ascii="Arial" w:hAnsi="Arial" w:cs="Arial"/>
          <w:color w:val="auto"/>
          <w:sz w:val="22"/>
          <w:szCs w:val="22"/>
        </w:rPr>
        <w:fldChar w:fldCharType="begin"/>
      </w:r>
      <w:r w:rsidRPr="00767C0F">
        <w:rPr>
          <w:rFonts w:ascii="Arial" w:hAnsi="Arial" w:cs="Arial"/>
          <w:color w:val="auto"/>
          <w:sz w:val="22"/>
          <w:szCs w:val="22"/>
        </w:rPr>
        <w:instrText xml:space="preserve"> SEQ Table \* ARABIC </w:instrText>
      </w:r>
      <w:r w:rsidRPr="00767C0F">
        <w:rPr>
          <w:rFonts w:ascii="Arial" w:hAnsi="Arial" w:cs="Arial"/>
          <w:color w:val="auto"/>
          <w:sz w:val="22"/>
          <w:szCs w:val="22"/>
        </w:rPr>
        <w:fldChar w:fldCharType="separate"/>
      </w:r>
      <w:r>
        <w:rPr>
          <w:rFonts w:ascii="Arial" w:hAnsi="Arial" w:cs="Arial"/>
          <w:noProof/>
          <w:color w:val="auto"/>
          <w:sz w:val="22"/>
          <w:szCs w:val="22"/>
        </w:rPr>
        <w:t>1</w:t>
      </w:r>
      <w:r w:rsidRPr="00767C0F">
        <w:rPr>
          <w:rFonts w:ascii="Arial" w:hAnsi="Arial" w:cs="Arial"/>
          <w:color w:val="auto"/>
          <w:sz w:val="22"/>
          <w:szCs w:val="22"/>
        </w:rPr>
        <w:fldChar w:fldCharType="end"/>
      </w:r>
      <w:r w:rsidRPr="00767C0F">
        <w:rPr>
          <w:rFonts w:ascii="Arial" w:hAnsi="Arial" w:cs="Arial"/>
          <w:color w:val="auto"/>
          <w:sz w:val="22"/>
          <w:szCs w:val="22"/>
        </w:rPr>
        <w:t xml:space="preserve">: </w:t>
      </w:r>
      <w:r w:rsidR="006E0769" w:rsidRPr="00767C0F">
        <w:rPr>
          <w:rFonts w:ascii="Arial" w:hAnsi="Arial" w:cs="Arial"/>
          <w:color w:val="auto"/>
          <w:sz w:val="22"/>
          <w:szCs w:val="22"/>
        </w:rPr>
        <w:t>SIA activities planned in 2016-2017</w:t>
      </w:r>
    </w:p>
    <w:tbl>
      <w:tblPr>
        <w:tblStyle w:val="TableGrid"/>
        <w:tblW w:w="9810" w:type="dxa"/>
        <w:tblInd w:w="-252" w:type="dxa"/>
        <w:tblLook w:val="04A0" w:firstRow="1" w:lastRow="0" w:firstColumn="1" w:lastColumn="0" w:noHBand="0" w:noVBand="1"/>
      </w:tblPr>
      <w:tblGrid>
        <w:gridCol w:w="1193"/>
        <w:gridCol w:w="1358"/>
        <w:gridCol w:w="804"/>
        <w:gridCol w:w="1298"/>
        <w:gridCol w:w="942"/>
        <w:gridCol w:w="1076"/>
        <w:gridCol w:w="999"/>
        <w:gridCol w:w="962"/>
        <w:gridCol w:w="1365"/>
      </w:tblGrid>
      <w:tr w:rsidR="00E00963" w:rsidRPr="00E00963" w14:paraId="7512700A" w14:textId="77777777" w:rsidTr="003D6DEA">
        <w:trPr>
          <w:trHeight w:val="255"/>
        </w:trPr>
        <w:tc>
          <w:tcPr>
            <w:tcW w:w="1193" w:type="dxa"/>
            <w:noWrap/>
            <w:hideMark/>
          </w:tcPr>
          <w:p w14:paraId="243E3528" w14:textId="77777777" w:rsidR="00E00963" w:rsidRPr="00E00963" w:rsidRDefault="00E00963" w:rsidP="00E00963">
            <w:pPr>
              <w:rPr>
                <w:b/>
              </w:rPr>
            </w:pPr>
            <w:r w:rsidRPr="00E00963">
              <w:rPr>
                <w:b/>
              </w:rPr>
              <w:t>Activity</w:t>
            </w:r>
          </w:p>
        </w:tc>
        <w:tc>
          <w:tcPr>
            <w:tcW w:w="1281" w:type="dxa"/>
            <w:noWrap/>
            <w:hideMark/>
          </w:tcPr>
          <w:p w14:paraId="0189FC14" w14:textId="77777777" w:rsidR="00E00963" w:rsidRPr="00E00963" w:rsidRDefault="00E00963" w:rsidP="00E00963">
            <w:pPr>
              <w:rPr>
                <w:b/>
              </w:rPr>
            </w:pPr>
            <w:r w:rsidRPr="00E00963">
              <w:rPr>
                <w:b/>
              </w:rPr>
              <w:t>Intervention</w:t>
            </w:r>
          </w:p>
        </w:tc>
        <w:tc>
          <w:tcPr>
            <w:tcW w:w="804" w:type="dxa"/>
            <w:noWrap/>
            <w:hideMark/>
          </w:tcPr>
          <w:p w14:paraId="259835C0" w14:textId="77777777" w:rsidR="00E00963" w:rsidRPr="00E00963" w:rsidRDefault="00E00963" w:rsidP="00E00963">
            <w:pPr>
              <w:rPr>
                <w:b/>
              </w:rPr>
            </w:pPr>
            <w:r w:rsidRPr="00E00963">
              <w:rPr>
                <w:b/>
              </w:rPr>
              <w:t>Year</w:t>
            </w:r>
          </w:p>
        </w:tc>
        <w:tc>
          <w:tcPr>
            <w:tcW w:w="1280" w:type="dxa"/>
            <w:noWrap/>
            <w:hideMark/>
          </w:tcPr>
          <w:p w14:paraId="5B52E037" w14:textId="32A162F4" w:rsidR="00E00963" w:rsidRPr="00E00963" w:rsidRDefault="00E00963" w:rsidP="00E00963">
            <w:pPr>
              <w:rPr>
                <w:b/>
              </w:rPr>
            </w:pPr>
            <w:r w:rsidRPr="00E00963">
              <w:rPr>
                <w:b/>
              </w:rPr>
              <w:t>Start</w:t>
            </w:r>
            <w:r w:rsidR="003D6DEA">
              <w:rPr>
                <w:b/>
              </w:rPr>
              <w:t xml:space="preserve"> </w:t>
            </w:r>
            <w:r w:rsidRPr="00E00963">
              <w:rPr>
                <w:b/>
              </w:rPr>
              <w:t>Date</w:t>
            </w:r>
          </w:p>
        </w:tc>
        <w:tc>
          <w:tcPr>
            <w:tcW w:w="942" w:type="dxa"/>
            <w:noWrap/>
            <w:hideMark/>
          </w:tcPr>
          <w:p w14:paraId="15707EAE" w14:textId="745DF4BE" w:rsidR="00E00963" w:rsidRPr="00E00963" w:rsidRDefault="00E00963" w:rsidP="00E00963">
            <w:pPr>
              <w:rPr>
                <w:b/>
              </w:rPr>
            </w:pPr>
            <w:r w:rsidRPr="00E00963">
              <w:rPr>
                <w:b/>
              </w:rPr>
              <w:t>End</w:t>
            </w:r>
            <w:r w:rsidR="003D6DEA">
              <w:rPr>
                <w:b/>
              </w:rPr>
              <w:t xml:space="preserve"> </w:t>
            </w:r>
            <w:r w:rsidRPr="00E00963">
              <w:rPr>
                <w:b/>
              </w:rPr>
              <w:t>Date</w:t>
            </w:r>
          </w:p>
        </w:tc>
        <w:tc>
          <w:tcPr>
            <w:tcW w:w="1076" w:type="dxa"/>
            <w:noWrap/>
            <w:hideMark/>
          </w:tcPr>
          <w:p w14:paraId="17B8892B" w14:textId="53830F83" w:rsidR="00E00963" w:rsidRPr="00E00963" w:rsidRDefault="00E00963" w:rsidP="00E00963">
            <w:pPr>
              <w:rPr>
                <w:b/>
              </w:rPr>
            </w:pPr>
            <w:r w:rsidRPr="00E00963">
              <w:rPr>
                <w:b/>
              </w:rPr>
              <w:t>Age</w:t>
            </w:r>
            <w:r w:rsidR="003D6DEA">
              <w:rPr>
                <w:b/>
              </w:rPr>
              <w:t xml:space="preserve"> </w:t>
            </w:r>
            <w:r w:rsidRPr="00E00963">
              <w:rPr>
                <w:b/>
              </w:rPr>
              <w:t>Group</w:t>
            </w:r>
          </w:p>
        </w:tc>
        <w:tc>
          <w:tcPr>
            <w:tcW w:w="957" w:type="dxa"/>
            <w:noWrap/>
            <w:hideMark/>
          </w:tcPr>
          <w:p w14:paraId="1D72F3B1" w14:textId="77777777" w:rsidR="00E00963" w:rsidRPr="00E00963" w:rsidRDefault="00E00963" w:rsidP="00E00963">
            <w:pPr>
              <w:rPr>
                <w:b/>
              </w:rPr>
            </w:pPr>
            <w:r w:rsidRPr="00E00963">
              <w:rPr>
                <w:b/>
              </w:rPr>
              <w:t>Extent</w:t>
            </w:r>
          </w:p>
        </w:tc>
        <w:tc>
          <w:tcPr>
            <w:tcW w:w="912" w:type="dxa"/>
            <w:noWrap/>
            <w:hideMark/>
          </w:tcPr>
          <w:p w14:paraId="5DFB8233" w14:textId="77777777" w:rsidR="00E00963" w:rsidRPr="00E00963" w:rsidRDefault="00E00963" w:rsidP="00E00963">
            <w:pPr>
              <w:rPr>
                <w:b/>
              </w:rPr>
            </w:pPr>
            <w:r w:rsidRPr="00E00963">
              <w:rPr>
                <w:b/>
              </w:rPr>
              <w:t>Status</w:t>
            </w:r>
          </w:p>
        </w:tc>
        <w:tc>
          <w:tcPr>
            <w:tcW w:w="1365" w:type="dxa"/>
            <w:noWrap/>
            <w:hideMark/>
          </w:tcPr>
          <w:p w14:paraId="14BEC183" w14:textId="77777777" w:rsidR="00E00963" w:rsidRPr="00E00963" w:rsidRDefault="00E00963" w:rsidP="00E00963">
            <w:pPr>
              <w:rPr>
                <w:b/>
              </w:rPr>
            </w:pPr>
            <w:r w:rsidRPr="00E00963">
              <w:rPr>
                <w:b/>
              </w:rPr>
              <w:t>Target</w:t>
            </w:r>
          </w:p>
        </w:tc>
      </w:tr>
      <w:tr w:rsidR="00E00963" w:rsidRPr="00E00963" w14:paraId="7131663C" w14:textId="77777777" w:rsidTr="003D6DEA">
        <w:trPr>
          <w:trHeight w:val="255"/>
        </w:trPr>
        <w:tc>
          <w:tcPr>
            <w:tcW w:w="1193" w:type="dxa"/>
            <w:noWrap/>
            <w:hideMark/>
          </w:tcPr>
          <w:p w14:paraId="5F612B56" w14:textId="4CDAFBAA" w:rsidR="00E00963" w:rsidRPr="00E00963" w:rsidRDefault="00E00963" w:rsidP="00E00963">
            <w:pPr>
              <w:rPr>
                <w:b/>
              </w:rPr>
            </w:pPr>
            <w:r w:rsidRPr="00E00963">
              <w:rPr>
                <w:b/>
              </w:rPr>
              <w:t>Follow</w:t>
            </w:r>
            <w:r w:rsidR="003D6DEA">
              <w:rPr>
                <w:b/>
              </w:rPr>
              <w:t xml:space="preserve"> </w:t>
            </w:r>
            <w:r w:rsidRPr="00E00963">
              <w:rPr>
                <w:b/>
              </w:rPr>
              <w:t>Up</w:t>
            </w:r>
          </w:p>
        </w:tc>
        <w:tc>
          <w:tcPr>
            <w:tcW w:w="1281" w:type="dxa"/>
            <w:noWrap/>
            <w:hideMark/>
          </w:tcPr>
          <w:p w14:paraId="2DC87E40" w14:textId="77777777" w:rsidR="00E00963" w:rsidRPr="00E00963" w:rsidRDefault="00E00963" w:rsidP="00E00963">
            <w:pPr>
              <w:rPr>
                <w:b/>
              </w:rPr>
            </w:pPr>
            <w:r w:rsidRPr="00E00963">
              <w:rPr>
                <w:b/>
              </w:rPr>
              <w:t>Measles</w:t>
            </w:r>
          </w:p>
        </w:tc>
        <w:tc>
          <w:tcPr>
            <w:tcW w:w="804" w:type="dxa"/>
            <w:noWrap/>
            <w:hideMark/>
          </w:tcPr>
          <w:p w14:paraId="7FA02853" w14:textId="77777777" w:rsidR="00E00963" w:rsidRPr="00E00963" w:rsidRDefault="00E00963" w:rsidP="00E00963">
            <w:pPr>
              <w:rPr>
                <w:b/>
              </w:rPr>
            </w:pPr>
            <w:r w:rsidRPr="00E00963">
              <w:rPr>
                <w:b/>
              </w:rPr>
              <w:t>2016</w:t>
            </w:r>
          </w:p>
        </w:tc>
        <w:tc>
          <w:tcPr>
            <w:tcW w:w="1280" w:type="dxa"/>
            <w:noWrap/>
            <w:hideMark/>
          </w:tcPr>
          <w:p w14:paraId="3E37F881" w14:textId="77777777" w:rsidR="00E00963" w:rsidRPr="00E00963" w:rsidRDefault="00E00963" w:rsidP="00E00963">
            <w:pPr>
              <w:rPr>
                <w:b/>
              </w:rPr>
            </w:pPr>
            <w:r w:rsidRPr="00E00963">
              <w:rPr>
                <w:b/>
              </w:rPr>
              <w:t>01/10/2016</w:t>
            </w:r>
          </w:p>
        </w:tc>
        <w:tc>
          <w:tcPr>
            <w:tcW w:w="942" w:type="dxa"/>
            <w:noWrap/>
            <w:hideMark/>
          </w:tcPr>
          <w:p w14:paraId="04454C8D" w14:textId="77777777" w:rsidR="00E00963" w:rsidRPr="00E00963" w:rsidRDefault="00E00963" w:rsidP="00E00963">
            <w:pPr>
              <w:rPr>
                <w:b/>
              </w:rPr>
            </w:pPr>
          </w:p>
        </w:tc>
        <w:tc>
          <w:tcPr>
            <w:tcW w:w="1076" w:type="dxa"/>
            <w:noWrap/>
            <w:hideMark/>
          </w:tcPr>
          <w:p w14:paraId="71966EF9" w14:textId="77777777" w:rsidR="00E00963" w:rsidRPr="00E00963" w:rsidRDefault="00E00963" w:rsidP="00E00963">
            <w:pPr>
              <w:rPr>
                <w:b/>
              </w:rPr>
            </w:pPr>
            <w:r w:rsidRPr="00E00963">
              <w:rPr>
                <w:b/>
              </w:rPr>
              <w:t>9-59 M</w:t>
            </w:r>
          </w:p>
        </w:tc>
        <w:tc>
          <w:tcPr>
            <w:tcW w:w="957" w:type="dxa"/>
            <w:noWrap/>
            <w:hideMark/>
          </w:tcPr>
          <w:p w14:paraId="332C37AD" w14:textId="77777777" w:rsidR="00E00963" w:rsidRPr="00E00963" w:rsidRDefault="00E00963" w:rsidP="00E00963">
            <w:pPr>
              <w:rPr>
                <w:b/>
              </w:rPr>
            </w:pPr>
            <w:r w:rsidRPr="00E00963">
              <w:rPr>
                <w:b/>
              </w:rPr>
              <w:t>Sub-national</w:t>
            </w:r>
          </w:p>
        </w:tc>
        <w:tc>
          <w:tcPr>
            <w:tcW w:w="912" w:type="dxa"/>
            <w:noWrap/>
            <w:hideMark/>
          </w:tcPr>
          <w:p w14:paraId="4260AD02" w14:textId="77777777" w:rsidR="00E00963" w:rsidRPr="00E00963" w:rsidRDefault="00E00963" w:rsidP="00E00963">
            <w:pPr>
              <w:rPr>
                <w:b/>
              </w:rPr>
            </w:pPr>
            <w:r w:rsidRPr="00E00963">
              <w:rPr>
                <w:b/>
              </w:rPr>
              <w:t>planned</w:t>
            </w:r>
          </w:p>
        </w:tc>
        <w:tc>
          <w:tcPr>
            <w:tcW w:w="1365" w:type="dxa"/>
            <w:noWrap/>
            <w:hideMark/>
          </w:tcPr>
          <w:p w14:paraId="11D9F24E" w14:textId="504A9F6C" w:rsidR="00E00963" w:rsidRPr="00E00963" w:rsidRDefault="00E00963" w:rsidP="00E00963">
            <w:pPr>
              <w:rPr>
                <w:b/>
              </w:rPr>
            </w:pPr>
            <w:r w:rsidRPr="00E00963">
              <w:rPr>
                <w:b/>
              </w:rPr>
              <w:t>3</w:t>
            </w:r>
            <w:r w:rsidR="003D6DEA">
              <w:rPr>
                <w:b/>
              </w:rPr>
              <w:t>,</w:t>
            </w:r>
            <w:r w:rsidRPr="00E00963">
              <w:rPr>
                <w:b/>
              </w:rPr>
              <w:t>900</w:t>
            </w:r>
            <w:r w:rsidR="003D6DEA">
              <w:rPr>
                <w:b/>
              </w:rPr>
              <w:t>,</w:t>
            </w:r>
            <w:r w:rsidRPr="00E00963">
              <w:rPr>
                <w:b/>
              </w:rPr>
              <w:t>554</w:t>
            </w:r>
          </w:p>
        </w:tc>
      </w:tr>
      <w:tr w:rsidR="00E00963" w:rsidRPr="00E00963" w14:paraId="659BFD26" w14:textId="77777777" w:rsidTr="003D6DEA">
        <w:trPr>
          <w:trHeight w:val="255"/>
        </w:trPr>
        <w:tc>
          <w:tcPr>
            <w:tcW w:w="1193" w:type="dxa"/>
            <w:noWrap/>
            <w:hideMark/>
          </w:tcPr>
          <w:p w14:paraId="0F2C0C14" w14:textId="77777777" w:rsidR="00E00963" w:rsidRPr="00E00963" w:rsidRDefault="00E00963" w:rsidP="00E00963">
            <w:pPr>
              <w:rPr>
                <w:b/>
              </w:rPr>
            </w:pPr>
            <w:r w:rsidRPr="00E00963">
              <w:rPr>
                <w:b/>
              </w:rPr>
              <w:t>Campaign</w:t>
            </w:r>
          </w:p>
        </w:tc>
        <w:tc>
          <w:tcPr>
            <w:tcW w:w="1281" w:type="dxa"/>
            <w:noWrap/>
            <w:hideMark/>
          </w:tcPr>
          <w:p w14:paraId="27D80D8B" w14:textId="77777777" w:rsidR="00E00963" w:rsidRPr="00E00963" w:rsidRDefault="00E00963" w:rsidP="00E00963">
            <w:pPr>
              <w:rPr>
                <w:b/>
              </w:rPr>
            </w:pPr>
            <w:r w:rsidRPr="00E00963">
              <w:rPr>
                <w:b/>
              </w:rPr>
              <w:t>MR</w:t>
            </w:r>
          </w:p>
        </w:tc>
        <w:tc>
          <w:tcPr>
            <w:tcW w:w="804" w:type="dxa"/>
            <w:noWrap/>
            <w:hideMark/>
          </w:tcPr>
          <w:p w14:paraId="268C62C4" w14:textId="77777777" w:rsidR="00E00963" w:rsidRPr="00E00963" w:rsidRDefault="00E00963" w:rsidP="00E00963">
            <w:pPr>
              <w:rPr>
                <w:b/>
              </w:rPr>
            </w:pPr>
            <w:r w:rsidRPr="00E00963">
              <w:rPr>
                <w:b/>
              </w:rPr>
              <w:t>2017</w:t>
            </w:r>
          </w:p>
        </w:tc>
        <w:tc>
          <w:tcPr>
            <w:tcW w:w="1280" w:type="dxa"/>
            <w:noWrap/>
            <w:hideMark/>
          </w:tcPr>
          <w:p w14:paraId="72B5C7CD" w14:textId="77777777" w:rsidR="00E00963" w:rsidRPr="00E00963" w:rsidRDefault="00E00963" w:rsidP="00E00963">
            <w:pPr>
              <w:rPr>
                <w:b/>
              </w:rPr>
            </w:pPr>
            <w:r w:rsidRPr="00E00963">
              <w:rPr>
                <w:b/>
              </w:rPr>
              <w:t>01/08/2017</w:t>
            </w:r>
          </w:p>
        </w:tc>
        <w:tc>
          <w:tcPr>
            <w:tcW w:w="942" w:type="dxa"/>
            <w:noWrap/>
            <w:hideMark/>
          </w:tcPr>
          <w:p w14:paraId="42BEF211" w14:textId="77777777" w:rsidR="00E00963" w:rsidRPr="00E00963" w:rsidRDefault="00E00963" w:rsidP="00E00963">
            <w:pPr>
              <w:rPr>
                <w:b/>
              </w:rPr>
            </w:pPr>
          </w:p>
        </w:tc>
        <w:tc>
          <w:tcPr>
            <w:tcW w:w="1076" w:type="dxa"/>
            <w:noWrap/>
            <w:hideMark/>
          </w:tcPr>
          <w:p w14:paraId="325953EA" w14:textId="77777777" w:rsidR="00E00963" w:rsidRPr="00E00963" w:rsidRDefault="00E00963" w:rsidP="00E00963">
            <w:pPr>
              <w:rPr>
                <w:b/>
              </w:rPr>
            </w:pPr>
            <w:r w:rsidRPr="00E00963">
              <w:rPr>
                <w:b/>
              </w:rPr>
              <w:t>9 M-15 Y</w:t>
            </w:r>
          </w:p>
        </w:tc>
        <w:tc>
          <w:tcPr>
            <w:tcW w:w="957" w:type="dxa"/>
            <w:noWrap/>
            <w:hideMark/>
          </w:tcPr>
          <w:p w14:paraId="27F4F467" w14:textId="77777777" w:rsidR="00E00963" w:rsidRPr="00E00963" w:rsidRDefault="00E00963" w:rsidP="00E00963">
            <w:pPr>
              <w:rPr>
                <w:b/>
              </w:rPr>
            </w:pPr>
            <w:r w:rsidRPr="00E00963">
              <w:rPr>
                <w:b/>
              </w:rPr>
              <w:t>National</w:t>
            </w:r>
          </w:p>
        </w:tc>
        <w:tc>
          <w:tcPr>
            <w:tcW w:w="912" w:type="dxa"/>
            <w:noWrap/>
            <w:hideMark/>
          </w:tcPr>
          <w:p w14:paraId="7B50D653" w14:textId="77777777" w:rsidR="00E00963" w:rsidRPr="00E00963" w:rsidRDefault="00E00963" w:rsidP="00E00963">
            <w:pPr>
              <w:rPr>
                <w:b/>
              </w:rPr>
            </w:pPr>
            <w:r w:rsidRPr="00E00963">
              <w:rPr>
                <w:b/>
              </w:rPr>
              <w:t>planned</w:t>
            </w:r>
          </w:p>
        </w:tc>
        <w:tc>
          <w:tcPr>
            <w:tcW w:w="1365" w:type="dxa"/>
            <w:noWrap/>
            <w:hideMark/>
          </w:tcPr>
          <w:p w14:paraId="673B3638" w14:textId="06678C87" w:rsidR="00E00963" w:rsidRPr="00E00963" w:rsidRDefault="00E00963" w:rsidP="00E00963">
            <w:pPr>
              <w:rPr>
                <w:b/>
              </w:rPr>
            </w:pPr>
            <w:r w:rsidRPr="00E00963">
              <w:rPr>
                <w:b/>
              </w:rPr>
              <w:t>70</w:t>
            </w:r>
            <w:r w:rsidR="003D6DEA">
              <w:rPr>
                <w:b/>
              </w:rPr>
              <w:t>,</w:t>
            </w:r>
            <w:r w:rsidRPr="00E00963">
              <w:rPr>
                <w:b/>
              </w:rPr>
              <w:t>000</w:t>
            </w:r>
            <w:r w:rsidR="003D6DEA">
              <w:rPr>
                <w:b/>
              </w:rPr>
              <w:t>,</w:t>
            </w:r>
            <w:r w:rsidRPr="00E00963">
              <w:rPr>
                <w:b/>
              </w:rPr>
              <w:t>000</w:t>
            </w:r>
          </w:p>
        </w:tc>
      </w:tr>
      <w:tr w:rsidR="00E00963" w:rsidRPr="00E00963" w14:paraId="792074CB" w14:textId="77777777" w:rsidTr="003D6DEA">
        <w:trPr>
          <w:trHeight w:val="255"/>
        </w:trPr>
        <w:tc>
          <w:tcPr>
            <w:tcW w:w="1193" w:type="dxa"/>
            <w:noWrap/>
            <w:hideMark/>
          </w:tcPr>
          <w:p w14:paraId="2C4B8FD8" w14:textId="77777777" w:rsidR="00E00963" w:rsidRPr="00E00963" w:rsidRDefault="00E00963" w:rsidP="00E00963">
            <w:pPr>
              <w:rPr>
                <w:b/>
              </w:rPr>
            </w:pPr>
            <w:r w:rsidRPr="00E00963">
              <w:rPr>
                <w:b/>
              </w:rPr>
              <w:t>NID</w:t>
            </w:r>
          </w:p>
        </w:tc>
        <w:tc>
          <w:tcPr>
            <w:tcW w:w="1281" w:type="dxa"/>
            <w:noWrap/>
            <w:hideMark/>
          </w:tcPr>
          <w:p w14:paraId="69DA20AA" w14:textId="77777777" w:rsidR="00E00963" w:rsidRPr="00E00963" w:rsidRDefault="00E00963" w:rsidP="00E00963">
            <w:pPr>
              <w:rPr>
                <w:b/>
              </w:rPr>
            </w:pPr>
            <w:proofErr w:type="spellStart"/>
            <w:r w:rsidRPr="00E00963">
              <w:rPr>
                <w:b/>
              </w:rPr>
              <w:t>tOPV</w:t>
            </w:r>
            <w:proofErr w:type="spellEnd"/>
          </w:p>
        </w:tc>
        <w:tc>
          <w:tcPr>
            <w:tcW w:w="804" w:type="dxa"/>
            <w:noWrap/>
            <w:hideMark/>
          </w:tcPr>
          <w:p w14:paraId="702419BC" w14:textId="77777777" w:rsidR="00E00963" w:rsidRPr="00E00963" w:rsidRDefault="00E00963" w:rsidP="00E00963">
            <w:pPr>
              <w:rPr>
                <w:b/>
              </w:rPr>
            </w:pPr>
            <w:r w:rsidRPr="00E00963">
              <w:rPr>
                <w:b/>
              </w:rPr>
              <w:t>2016</w:t>
            </w:r>
          </w:p>
        </w:tc>
        <w:tc>
          <w:tcPr>
            <w:tcW w:w="1280" w:type="dxa"/>
            <w:noWrap/>
            <w:hideMark/>
          </w:tcPr>
          <w:p w14:paraId="33FC246E" w14:textId="77777777" w:rsidR="00E00963" w:rsidRPr="00E00963" w:rsidRDefault="00E00963" w:rsidP="00E00963">
            <w:pPr>
              <w:rPr>
                <w:b/>
              </w:rPr>
            </w:pPr>
            <w:r w:rsidRPr="00E00963">
              <w:rPr>
                <w:b/>
              </w:rPr>
              <w:t>01/03/2016</w:t>
            </w:r>
          </w:p>
        </w:tc>
        <w:tc>
          <w:tcPr>
            <w:tcW w:w="942" w:type="dxa"/>
            <w:noWrap/>
            <w:hideMark/>
          </w:tcPr>
          <w:p w14:paraId="6B0E4F6C" w14:textId="77777777" w:rsidR="00E00963" w:rsidRPr="00E00963" w:rsidRDefault="00E00963" w:rsidP="00E00963">
            <w:pPr>
              <w:rPr>
                <w:b/>
              </w:rPr>
            </w:pPr>
          </w:p>
        </w:tc>
        <w:tc>
          <w:tcPr>
            <w:tcW w:w="1076" w:type="dxa"/>
            <w:noWrap/>
            <w:hideMark/>
          </w:tcPr>
          <w:p w14:paraId="1F09DCAB" w14:textId="77777777" w:rsidR="00E00963" w:rsidRPr="00E00963" w:rsidRDefault="00E00963" w:rsidP="00E00963">
            <w:pPr>
              <w:rPr>
                <w:b/>
              </w:rPr>
            </w:pPr>
            <w:r w:rsidRPr="00E00963">
              <w:rPr>
                <w:b/>
              </w:rPr>
              <w:t>0 to 5 years</w:t>
            </w:r>
          </w:p>
        </w:tc>
        <w:tc>
          <w:tcPr>
            <w:tcW w:w="957" w:type="dxa"/>
            <w:noWrap/>
            <w:hideMark/>
          </w:tcPr>
          <w:p w14:paraId="58635E51" w14:textId="77777777" w:rsidR="00E00963" w:rsidRPr="00E00963" w:rsidRDefault="00E00963" w:rsidP="00E00963">
            <w:pPr>
              <w:rPr>
                <w:b/>
              </w:rPr>
            </w:pPr>
            <w:r w:rsidRPr="00E00963">
              <w:rPr>
                <w:b/>
              </w:rPr>
              <w:t>National</w:t>
            </w:r>
          </w:p>
        </w:tc>
        <w:tc>
          <w:tcPr>
            <w:tcW w:w="912" w:type="dxa"/>
            <w:noWrap/>
            <w:hideMark/>
          </w:tcPr>
          <w:p w14:paraId="77262D3A" w14:textId="77777777" w:rsidR="00E00963" w:rsidRPr="00E00963" w:rsidRDefault="00E00963" w:rsidP="00E00963">
            <w:pPr>
              <w:rPr>
                <w:b/>
              </w:rPr>
            </w:pPr>
            <w:r w:rsidRPr="00E00963">
              <w:rPr>
                <w:b/>
              </w:rPr>
              <w:t>Planned</w:t>
            </w:r>
          </w:p>
        </w:tc>
        <w:tc>
          <w:tcPr>
            <w:tcW w:w="1365" w:type="dxa"/>
            <w:noWrap/>
            <w:hideMark/>
          </w:tcPr>
          <w:p w14:paraId="0EA2082E" w14:textId="46ACA6A5" w:rsidR="00E00963" w:rsidRPr="00E00963" w:rsidRDefault="00E00963" w:rsidP="00E00963">
            <w:pPr>
              <w:rPr>
                <w:b/>
              </w:rPr>
            </w:pPr>
            <w:r w:rsidRPr="00E00963">
              <w:rPr>
                <w:b/>
              </w:rPr>
              <w:t>23</w:t>
            </w:r>
            <w:r w:rsidR="003D6DEA">
              <w:rPr>
                <w:b/>
              </w:rPr>
              <w:t>,</w:t>
            </w:r>
            <w:r w:rsidRPr="00E00963">
              <w:rPr>
                <w:b/>
              </w:rPr>
              <w:t>093</w:t>
            </w:r>
            <w:r w:rsidR="003D6DEA">
              <w:rPr>
                <w:b/>
              </w:rPr>
              <w:t>,</w:t>
            </w:r>
            <w:r w:rsidRPr="00E00963">
              <w:rPr>
                <w:b/>
              </w:rPr>
              <w:t>592</w:t>
            </w:r>
          </w:p>
        </w:tc>
      </w:tr>
    </w:tbl>
    <w:p w14:paraId="65541E3F" w14:textId="42353CF1" w:rsidR="006E0769" w:rsidRDefault="006E0769" w:rsidP="00E00963">
      <w:r>
        <w:t xml:space="preserve">Source: WHO/IVB Database as at </w:t>
      </w:r>
      <w:r w:rsidR="00E00963">
        <w:t>01 July 2016</w:t>
      </w:r>
    </w:p>
    <w:p w14:paraId="12CD6D45" w14:textId="77777777" w:rsidR="006E0769" w:rsidRDefault="006E0769" w:rsidP="006E0769">
      <w:pPr>
        <w:pStyle w:val="ListParagraph"/>
        <w:numPr>
          <w:ilvl w:val="0"/>
          <w:numId w:val="22"/>
        </w:numPr>
        <w:rPr>
          <w:b/>
          <w:bCs/>
        </w:rPr>
      </w:pPr>
      <w:r>
        <w:rPr>
          <w:b/>
          <w:bCs/>
        </w:rPr>
        <w:t>Coverage and Equity</w:t>
      </w:r>
    </w:p>
    <w:p w14:paraId="19E88580" w14:textId="1BDDB659" w:rsidR="00841F8B" w:rsidRDefault="00841F8B" w:rsidP="00841F8B">
      <w:pPr>
        <w:jc w:val="center"/>
        <w:rPr>
          <w:b/>
        </w:rPr>
      </w:pPr>
      <w:r>
        <w:rPr>
          <w:b/>
          <w:noProof/>
          <w:lang w:eastAsia="zh-CN"/>
        </w:rPr>
        <w:drawing>
          <wp:inline distT="0" distB="0" distL="0" distR="0" wp14:anchorId="1DEA4F10" wp14:editId="01E2F9CA">
            <wp:extent cx="3820609" cy="2847975"/>
            <wp:effectExtent l="0" t="0" r="8890" b="0"/>
            <wp:docPr id="6" name="Picture 6" descr="D:\data\GVAP Reports\2016\3. Scrore Cards 2016\jan visualizations DTP3 per country\Punch cards per country\indone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indonesi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0609" cy="2847975"/>
                    </a:xfrm>
                    <a:prstGeom prst="rect">
                      <a:avLst/>
                    </a:prstGeom>
                    <a:noFill/>
                    <a:ln>
                      <a:noFill/>
                    </a:ln>
                  </pic:spPr>
                </pic:pic>
              </a:graphicData>
            </a:graphic>
          </wp:inline>
        </w:drawing>
      </w:r>
    </w:p>
    <w:p w14:paraId="4B587F4D" w14:textId="4FB2315A" w:rsidR="00E86411" w:rsidRPr="00E52441" w:rsidRDefault="005651E6" w:rsidP="00E52441">
      <w:pPr>
        <w:jc w:val="center"/>
        <w:rPr>
          <w:b/>
        </w:rPr>
      </w:pPr>
      <w:r>
        <w:rPr>
          <w:b/>
          <w:noProof/>
          <w:lang w:eastAsia="zh-CN"/>
        </w:rPr>
        <w:drawing>
          <wp:inline distT="0" distB="0" distL="0" distR="0" wp14:anchorId="30E16FBC" wp14:editId="469B3F65">
            <wp:extent cx="3552825" cy="818986"/>
            <wp:effectExtent l="0" t="0" r="0" b="635"/>
            <wp:docPr id="7"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_legend-punchc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5733" cy="821962"/>
                    </a:xfrm>
                    <a:prstGeom prst="rect">
                      <a:avLst/>
                    </a:prstGeom>
                    <a:noFill/>
                    <a:ln>
                      <a:noFill/>
                    </a:ln>
                  </pic:spPr>
                </pic:pic>
              </a:graphicData>
            </a:graphic>
          </wp:inline>
        </w:drawing>
      </w:r>
      <w:bookmarkStart w:id="0" w:name="_GoBack"/>
      <w:bookmarkEnd w:id="0"/>
    </w:p>
    <w:sectPr w:rsidR="00E86411" w:rsidRPr="00E52441" w:rsidSect="003269B4">
      <w:footerReference w:type="default" r:id="rId11"/>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1CE818" w15:done="0"/>
  <w15:commentEx w15:paraId="3BF84435" w15:done="0"/>
  <w15:commentEx w15:paraId="67E88E1B" w15:done="0"/>
  <w15:commentEx w15:paraId="1198E4C0" w15:done="0"/>
  <w15:commentEx w15:paraId="5D7C06AB" w15:done="0"/>
  <w15:commentEx w15:paraId="0896BD56" w15:done="0"/>
  <w15:commentEx w15:paraId="7B2C63C2" w15:done="0"/>
  <w15:commentEx w15:paraId="27F723FA" w15:done="0"/>
  <w15:commentEx w15:paraId="13413A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A6008" w14:textId="77777777" w:rsidR="004842B8" w:rsidRDefault="004842B8">
      <w:pPr>
        <w:spacing w:after="0" w:line="240" w:lineRule="auto"/>
      </w:pPr>
      <w:r>
        <w:separator/>
      </w:r>
    </w:p>
  </w:endnote>
  <w:endnote w:type="continuationSeparator" w:id="0">
    <w:p w14:paraId="7EF38625" w14:textId="77777777" w:rsidR="004842B8" w:rsidRDefault="00484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827129"/>
      <w:docPartObj>
        <w:docPartGallery w:val="Page Numbers (Bottom of Page)"/>
        <w:docPartUnique/>
      </w:docPartObj>
    </w:sdtPr>
    <w:sdtEndPr>
      <w:rPr>
        <w:noProof/>
      </w:rPr>
    </w:sdtEndPr>
    <w:sdtContent>
      <w:p w14:paraId="34C7D1CA" w14:textId="44676571" w:rsidR="008D3873" w:rsidRDefault="008D3873">
        <w:pPr>
          <w:pStyle w:val="Footer"/>
          <w:jc w:val="center"/>
        </w:pPr>
        <w:r>
          <w:fldChar w:fldCharType="begin"/>
        </w:r>
        <w:r>
          <w:instrText xml:space="preserve"> PAGE   \* MERGEFORMAT </w:instrText>
        </w:r>
        <w:r>
          <w:fldChar w:fldCharType="separate"/>
        </w:r>
        <w:r w:rsidR="00E52441">
          <w:rPr>
            <w:noProof/>
          </w:rPr>
          <w:t>3</w:t>
        </w:r>
        <w:r>
          <w:rPr>
            <w:noProof/>
          </w:rPr>
          <w:fldChar w:fldCharType="end"/>
        </w:r>
      </w:p>
    </w:sdtContent>
  </w:sdt>
  <w:p w14:paraId="780E7B36" w14:textId="56DE9A07" w:rsidR="008D3873" w:rsidRDefault="008D3873" w:rsidP="00482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FA757" w14:textId="77777777" w:rsidR="004842B8" w:rsidRDefault="004842B8">
      <w:pPr>
        <w:spacing w:after="0" w:line="240" w:lineRule="auto"/>
      </w:pPr>
      <w:r>
        <w:separator/>
      </w:r>
    </w:p>
  </w:footnote>
  <w:footnote w:type="continuationSeparator" w:id="0">
    <w:p w14:paraId="330F20E5" w14:textId="77777777" w:rsidR="004842B8" w:rsidRDefault="004842B8">
      <w:pPr>
        <w:spacing w:after="0" w:line="240" w:lineRule="auto"/>
      </w:pPr>
      <w:r>
        <w:continuationSeparator/>
      </w:r>
    </w:p>
  </w:footnote>
  <w:footnote w:id="1">
    <w:p w14:paraId="2F6FE3FE" w14:textId="767DCC6B" w:rsidR="008D3873" w:rsidRPr="00E27973" w:rsidRDefault="008D3873">
      <w:pPr>
        <w:pStyle w:val="FootnoteText"/>
        <w:rPr>
          <w:lang w:val="en-US"/>
        </w:rPr>
      </w:pPr>
      <w:r>
        <w:rPr>
          <w:rStyle w:val="FootnoteReference"/>
        </w:rPr>
        <w:footnoteRef/>
      </w:r>
      <w:r>
        <w:t xml:space="preserve"> </w:t>
      </w:r>
      <w:proofErr w:type="gramStart"/>
      <w:r>
        <w:rPr>
          <w:lang w:val="en-US"/>
        </w:rPr>
        <w:t>World Health Organization.</w:t>
      </w:r>
      <w:proofErr w:type="gramEnd"/>
      <w:r>
        <w:rPr>
          <w:lang w:val="en-US"/>
        </w:rPr>
        <w:t xml:space="preserve"> Joint national and international EPI and VPD surveillance review, Indonesia, 2014.</w:t>
      </w:r>
    </w:p>
  </w:footnote>
  <w:footnote w:id="2">
    <w:p w14:paraId="01E98A38" w14:textId="60BB59F5" w:rsidR="008D3873" w:rsidRPr="00AA6DBA" w:rsidRDefault="008D3873">
      <w:pPr>
        <w:pStyle w:val="FootnoteText"/>
        <w:rPr>
          <w:lang w:val="en-US"/>
        </w:rPr>
      </w:pPr>
      <w:r>
        <w:rPr>
          <w:rStyle w:val="FootnoteReference"/>
        </w:rPr>
        <w:footnoteRef/>
      </w:r>
      <w:r>
        <w:t xml:space="preserve"> </w:t>
      </w:r>
      <w:proofErr w:type="gramStart"/>
      <w:r>
        <w:rPr>
          <w:lang w:val="en-US"/>
        </w:rPr>
        <w:t>World Health Organization.</w:t>
      </w:r>
      <w:proofErr w:type="gramEnd"/>
      <w:r>
        <w:rPr>
          <w:lang w:val="en-US"/>
        </w:rPr>
        <w:t xml:space="preserve"> Joint national and international EPI and VPD surveillance review, Indonesia,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FB3064E"/>
    <w:multiLevelType w:val="hybridMultilevel"/>
    <w:tmpl w:val="3FF627A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4C74659"/>
    <w:multiLevelType w:val="hybridMultilevel"/>
    <w:tmpl w:val="16E0DEB4"/>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FEA52BA"/>
    <w:multiLevelType w:val="hybridMultilevel"/>
    <w:tmpl w:val="E8FCBA4A"/>
    <w:lvl w:ilvl="0" w:tplc="27F8AA00">
      <w:start w:val="1"/>
      <w:numFmt w:val="bullet"/>
      <w:lvlText w:val="–"/>
      <w:lvlJc w:val="left"/>
      <w:pPr>
        <w:tabs>
          <w:tab w:val="num" w:pos="720"/>
        </w:tabs>
        <w:ind w:left="720" w:hanging="360"/>
      </w:pPr>
      <w:rPr>
        <w:rFonts w:ascii="Arial" w:hAnsi="Arial" w:hint="default"/>
      </w:rPr>
    </w:lvl>
    <w:lvl w:ilvl="1" w:tplc="65282D5E">
      <w:start w:val="1"/>
      <w:numFmt w:val="bullet"/>
      <w:lvlText w:val="–"/>
      <w:lvlJc w:val="left"/>
      <w:pPr>
        <w:tabs>
          <w:tab w:val="num" w:pos="1440"/>
        </w:tabs>
        <w:ind w:left="1440" w:hanging="360"/>
      </w:pPr>
      <w:rPr>
        <w:rFonts w:ascii="Arial" w:hAnsi="Arial" w:hint="default"/>
      </w:rPr>
    </w:lvl>
    <w:lvl w:ilvl="2" w:tplc="BE9AA2C8" w:tentative="1">
      <w:start w:val="1"/>
      <w:numFmt w:val="bullet"/>
      <w:lvlText w:val="–"/>
      <w:lvlJc w:val="left"/>
      <w:pPr>
        <w:tabs>
          <w:tab w:val="num" w:pos="2160"/>
        </w:tabs>
        <w:ind w:left="2160" w:hanging="360"/>
      </w:pPr>
      <w:rPr>
        <w:rFonts w:ascii="Arial" w:hAnsi="Arial" w:hint="default"/>
      </w:rPr>
    </w:lvl>
    <w:lvl w:ilvl="3" w:tplc="60BC9FDC" w:tentative="1">
      <w:start w:val="1"/>
      <w:numFmt w:val="bullet"/>
      <w:lvlText w:val="–"/>
      <w:lvlJc w:val="left"/>
      <w:pPr>
        <w:tabs>
          <w:tab w:val="num" w:pos="2880"/>
        </w:tabs>
        <w:ind w:left="2880" w:hanging="360"/>
      </w:pPr>
      <w:rPr>
        <w:rFonts w:ascii="Arial" w:hAnsi="Arial" w:hint="default"/>
      </w:rPr>
    </w:lvl>
    <w:lvl w:ilvl="4" w:tplc="43A8D0EA" w:tentative="1">
      <w:start w:val="1"/>
      <w:numFmt w:val="bullet"/>
      <w:lvlText w:val="–"/>
      <w:lvlJc w:val="left"/>
      <w:pPr>
        <w:tabs>
          <w:tab w:val="num" w:pos="3600"/>
        </w:tabs>
        <w:ind w:left="3600" w:hanging="360"/>
      </w:pPr>
      <w:rPr>
        <w:rFonts w:ascii="Arial" w:hAnsi="Arial" w:hint="default"/>
      </w:rPr>
    </w:lvl>
    <w:lvl w:ilvl="5" w:tplc="23AA7B10" w:tentative="1">
      <w:start w:val="1"/>
      <w:numFmt w:val="bullet"/>
      <w:lvlText w:val="–"/>
      <w:lvlJc w:val="left"/>
      <w:pPr>
        <w:tabs>
          <w:tab w:val="num" w:pos="4320"/>
        </w:tabs>
        <w:ind w:left="4320" w:hanging="360"/>
      </w:pPr>
      <w:rPr>
        <w:rFonts w:ascii="Arial" w:hAnsi="Arial" w:hint="default"/>
      </w:rPr>
    </w:lvl>
    <w:lvl w:ilvl="6" w:tplc="7B42272A" w:tentative="1">
      <w:start w:val="1"/>
      <w:numFmt w:val="bullet"/>
      <w:lvlText w:val="–"/>
      <w:lvlJc w:val="left"/>
      <w:pPr>
        <w:tabs>
          <w:tab w:val="num" w:pos="5040"/>
        </w:tabs>
        <w:ind w:left="5040" w:hanging="360"/>
      </w:pPr>
      <w:rPr>
        <w:rFonts w:ascii="Arial" w:hAnsi="Arial" w:hint="default"/>
      </w:rPr>
    </w:lvl>
    <w:lvl w:ilvl="7" w:tplc="C26638DC" w:tentative="1">
      <w:start w:val="1"/>
      <w:numFmt w:val="bullet"/>
      <w:lvlText w:val="–"/>
      <w:lvlJc w:val="left"/>
      <w:pPr>
        <w:tabs>
          <w:tab w:val="num" w:pos="5760"/>
        </w:tabs>
        <w:ind w:left="5760" w:hanging="360"/>
      </w:pPr>
      <w:rPr>
        <w:rFonts w:ascii="Arial" w:hAnsi="Arial" w:hint="default"/>
      </w:rPr>
    </w:lvl>
    <w:lvl w:ilvl="8" w:tplc="DE029B58" w:tentative="1">
      <w:start w:val="1"/>
      <w:numFmt w:val="bullet"/>
      <w:lvlText w:val="–"/>
      <w:lvlJc w:val="left"/>
      <w:pPr>
        <w:tabs>
          <w:tab w:val="num" w:pos="6480"/>
        </w:tabs>
        <w:ind w:left="6480" w:hanging="360"/>
      </w:pPr>
      <w:rPr>
        <w:rFonts w:ascii="Arial" w:hAnsi="Arial" w:hint="default"/>
      </w:r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6F74300"/>
    <w:multiLevelType w:val="hybridMultilevel"/>
    <w:tmpl w:val="40EE5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B2011"/>
    <w:multiLevelType w:val="hybridMultilevel"/>
    <w:tmpl w:val="AFF8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8">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512250"/>
    <w:multiLevelType w:val="hybridMultilevel"/>
    <w:tmpl w:val="18EEBB9A"/>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2">
    <w:nsid w:val="617B05B4"/>
    <w:multiLevelType w:val="hybridMultilevel"/>
    <w:tmpl w:val="42808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E1A37"/>
    <w:multiLevelType w:val="multilevel"/>
    <w:tmpl w:val="A7A4D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45314DA"/>
    <w:multiLevelType w:val="hybridMultilevel"/>
    <w:tmpl w:val="4814B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6">
    <w:nsid w:val="68FE2563"/>
    <w:multiLevelType w:val="hybridMultilevel"/>
    <w:tmpl w:val="979837CA"/>
    <w:lvl w:ilvl="0" w:tplc="DD3618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651FD5"/>
    <w:multiLevelType w:val="hybridMultilevel"/>
    <w:tmpl w:val="C3981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0"/>
  </w:num>
  <w:num w:numId="5">
    <w:abstractNumId w:val="20"/>
  </w:num>
  <w:num w:numId="6">
    <w:abstractNumId w:val="1"/>
  </w:num>
  <w:num w:numId="7">
    <w:abstractNumId w:val="7"/>
  </w:num>
  <w:num w:numId="8">
    <w:abstractNumId w:val="18"/>
  </w:num>
  <w:num w:numId="9">
    <w:abstractNumId w:val="6"/>
  </w:num>
  <w:num w:numId="10">
    <w:abstractNumId w:val="28"/>
  </w:num>
  <w:num w:numId="11">
    <w:abstractNumId w:val="27"/>
  </w:num>
  <w:num w:numId="12">
    <w:abstractNumId w:val="14"/>
  </w:num>
  <w:num w:numId="13">
    <w:abstractNumId w:val="25"/>
  </w:num>
  <w:num w:numId="14">
    <w:abstractNumId w:val="17"/>
  </w:num>
  <w:num w:numId="15">
    <w:abstractNumId w:val="29"/>
  </w:num>
  <w:num w:numId="16">
    <w:abstractNumId w:val="9"/>
  </w:num>
  <w:num w:numId="17">
    <w:abstractNumId w:val="19"/>
  </w:num>
  <w:num w:numId="18">
    <w:abstractNumId w:val="12"/>
  </w:num>
  <w:num w:numId="19">
    <w:abstractNumId w:val="30"/>
  </w:num>
  <w:num w:numId="20">
    <w:abstractNumId w:val="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7"/>
  </w:num>
  <w:num w:numId="25">
    <w:abstractNumId w:val="18"/>
  </w:num>
  <w:num w:numId="26">
    <w:abstractNumId w:val="10"/>
  </w:num>
  <w:num w:numId="27">
    <w:abstractNumId w:val="23"/>
  </w:num>
  <w:num w:numId="28">
    <w:abstractNumId w:val="31"/>
  </w:num>
  <w:num w:numId="29">
    <w:abstractNumId w:val="15"/>
  </w:num>
  <w:num w:numId="30">
    <w:abstractNumId w:val="24"/>
  </w:num>
  <w:num w:numId="31">
    <w:abstractNumId w:val="4"/>
  </w:num>
  <w:num w:numId="32">
    <w:abstractNumId w:val="22"/>
  </w:num>
  <w:num w:numId="33">
    <w:abstractNumId w:val="3"/>
  </w:num>
  <w:num w:numId="34">
    <w:abstractNumId w:val="21"/>
  </w:num>
  <w:num w:numId="35">
    <w:abstractNumId w:val="16"/>
  </w:num>
  <w:num w:numId="36">
    <w:abstractNumId w:val="8"/>
  </w:num>
  <w:num w:numId="3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01A1"/>
    <w:rsid w:val="0000352E"/>
    <w:rsid w:val="00052693"/>
    <w:rsid w:val="00053455"/>
    <w:rsid w:val="0005693C"/>
    <w:rsid w:val="00067FFA"/>
    <w:rsid w:val="0007442D"/>
    <w:rsid w:val="00083152"/>
    <w:rsid w:val="000832D0"/>
    <w:rsid w:val="0009631A"/>
    <w:rsid w:val="000968AE"/>
    <w:rsid w:val="00096E70"/>
    <w:rsid w:val="000A459F"/>
    <w:rsid w:val="000C2C44"/>
    <w:rsid w:val="000E3D3E"/>
    <w:rsid w:val="000F5223"/>
    <w:rsid w:val="0011406E"/>
    <w:rsid w:val="00116F50"/>
    <w:rsid w:val="001174B4"/>
    <w:rsid w:val="00163179"/>
    <w:rsid w:val="00164F3D"/>
    <w:rsid w:val="00176857"/>
    <w:rsid w:val="0019182B"/>
    <w:rsid w:val="001B0097"/>
    <w:rsid w:val="001C1193"/>
    <w:rsid w:val="001C1E4D"/>
    <w:rsid w:val="001C5026"/>
    <w:rsid w:val="001F2D8D"/>
    <w:rsid w:val="001F6A05"/>
    <w:rsid w:val="002258E3"/>
    <w:rsid w:val="002327A5"/>
    <w:rsid w:val="00232D9A"/>
    <w:rsid w:val="00255998"/>
    <w:rsid w:val="00256665"/>
    <w:rsid w:val="002818D0"/>
    <w:rsid w:val="00281CEF"/>
    <w:rsid w:val="00292589"/>
    <w:rsid w:val="00293D5E"/>
    <w:rsid w:val="002B495D"/>
    <w:rsid w:val="002B73D6"/>
    <w:rsid w:val="002C0BCF"/>
    <w:rsid w:val="002C3246"/>
    <w:rsid w:val="002D61F5"/>
    <w:rsid w:val="002D762A"/>
    <w:rsid w:val="002F1749"/>
    <w:rsid w:val="002F20C9"/>
    <w:rsid w:val="003269B4"/>
    <w:rsid w:val="00345466"/>
    <w:rsid w:val="003576C4"/>
    <w:rsid w:val="00370616"/>
    <w:rsid w:val="00371B50"/>
    <w:rsid w:val="00373BA5"/>
    <w:rsid w:val="00374400"/>
    <w:rsid w:val="00397382"/>
    <w:rsid w:val="003A6CF9"/>
    <w:rsid w:val="003B02D3"/>
    <w:rsid w:val="003B282A"/>
    <w:rsid w:val="003B6F84"/>
    <w:rsid w:val="003D24BB"/>
    <w:rsid w:val="003D2D68"/>
    <w:rsid w:val="003D57A8"/>
    <w:rsid w:val="003D5A80"/>
    <w:rsid w:val="003D6679"/>
    <w:rsid w:val="003D6DEA"/>
    <w:rsid w:val="003E30EC"/>
    <w:rsid w:val="003F42B9"/>
    <w:rsid w:val="003F4825"/>
    <w:rsid w:val="00432B70"/>
    <w:rsid w:val="00436537"/>
    <w:rsid w:val="00437FDF"/>
    <w:rsid w:val="00441EDC"/>
    <w:rsid w:val="00457E0A"/>
    <w:rsid w:val="00460B3E"/>
    <w:rsid w:val="00460FC0"/>
    <w:rsid w:val="00482432"/>
    <w:rsid w:val="004826EF"/>
    <w:rsid w:val="00484219"/>
    <w:rsid w:val="004842B8"/>
    <w:rsid w:val="0048489B"/>
    <w:rsid w:val="00490107"/>
    <w:rsid w:val="00491CC6"/>
    <w:rsid w:val="00492F98"/>
    <w:rsid w:val="004A394A"/>
    <w:rsid w:val="004B5B75"/>
    <w:rsid w:val="004D307D"/>
    <w:rsid w:val="004D4194"/>
    <w:rsid w:val="004F6777"/>
    <w:rsid w:val="00500171"/>
    <w:rsid w:val="0050564C"/>
    <w:rsid w:val="00511B8A"/>
    <w:rsid w:val="005133F8"/>
    <w:rsid w:val="00513BF2"/>
    <w:rsid w:val="00530FEA"/>
    <w:rsid w:val="00532476"/>
    <w:rsid w:val="00534013"/>
    <w:rsid w:val="0053501D"/>
    <w:rsid w:val="00540367"/>
    <w:rsid w:val="00557E08"/>
    <w:rsid w:val="005651E6"/>
    <w:rsid w:val="00565C1E"/>
    <w:rsid w:val="00566382"/>
    <w:rsid w:val="0058000D"/>
    <w:rsid w:val="005A0269"/>
    <w:rsid w:val="005B25D5"/>
    <w:rsid w:val="005B6B29"/>
    <w:rsid w:val="005C6F1C"/>
    <w:rsid w:val="005F0283"/>
    <w:rsid w:val="005F1D5B"/>
    <w:rsid w:val="00602A5E"/>
    <w:rsid w:val="0063770B"/>
    <w:rsid w:val="006410AE"/>
    <w:rsid w:val="00641572"/>
    <w:rsid w:val="006842AB"/>
    <w:rsid w:val="00696E6A"/>
    <w:rsid w:val="00697CFB"/>
    <w:rsid w:val="006A36F3"/>
    <w:rsid w:val="006A4380"/>
    <w:rsid w:val="006C334B"/>
    <w:rsid w:val="006E0769"/>
    <w:rsid w:val="006E4E48"/>
    <w:rsid w:val="007033F7"/>
    <w:rsid w:val="0074468E"/>
    <w:rsid w:val="0076408F"/>
    <w:rsid w:val="00767749"/>
    <w:rsid w:val="00767C0F"/>
    <w:rsid w:val="00770EEA"/>
    <w:rsid w:val="00784019"/>
    <w:rsid w:val="0079008F"/>
    <w:rsid w:val="00797196"/>
    <w:rsid w:val="007A0353"/>
    <w:rsid w:val="007A35F6"/>
    <w:rsid w:val="007B053A"/>
    <w:rsid w:val="007B1CBA"/>
    <w:rsid w:val="007C5031"/>
    <w:rsid w:val="007C5F79"/>
    <w:rsid w:val="007D16A4"/>
    <w:rsid w:val="007D2AA9"/>
    <w:rsid w:val="007E0DEE"/>
    <w:rsid w:val="007E3602"/>
    <w:rsid w:val="007F0729"/>
    <w:rsid w:val="008053B7"/>
    <w:rsid w:val="008105B2"/>
    <w:rsid w:val="00824C6B"/>
    <w:rsid w:val="00825812"/>
    <w:rsid w:val="0083568C"/>
    <w:rsid w:val="00841F8B"/>
    <w:rsid w:val="00856B69"/>
    <w:rsid w:val="00863F77"/>
    <w:rsid w:val="00865907"/>
    <w:rsid w:val="008707E1"/>
    <w:rsid w:val="00872BC2"/>
    <w:rsid w:val="00883C0A"/>
    <w:rsid w:val="008A1C67"/>
    <w:rsid w:val="008B61E2"/>
    <w:rsid w:val="008C1347"/>
    <w:rsid w:val="008D3873"/>
    <w:rsid w:val="008E40AB"/>
    <w:rsid w:val="008E4926"/>
    <w:rsid w:val="008E7AA0"/>
    <w:rsid w:val="008F4F49"/>
    <w:rsid w:val="0090535F"/>
    <w:rsid w:val="009318B8"/>
    <w:rsid w:val="009563E8"/>
    <w:rsid w:val="00963C78"/>
    <w:rsid w:val="009649B4"/>
    <w:rsid w:val="00985561"/>
    <w:rsid w:val="009A5026"/>
    <w:rsid w:val="009B091D"/>
    <w:rsid w:val="009C0565"/>
    <w:rsid w:val="009C09D8"/>
    <w:rsid w:val="009E1E59"/>
    <w:rsid w:val="00A11AC1"/>
    <w:rsid w:val="00A44D74"/>
    <w:rsid w:val="00A44EBD"/>
    <w:rsid w:val="00A6740F"/>
    <w:rsid w:val="00A96DBE"/>
    <w:rsid w:val="00AA3176"/>
    <w:rsid w:val="00AA6DBA"/>
    <w:rsid w:val="00AB6A12"/>
    <w:rsid w:val="00AE7557"/>
    <w:rsid w:val="00B13423"/>
    <w:rsid w:val="00B218CC"/>
    <w:rsid w:val="00B54A99"/>
    <w:rsid w:val="00B56836"/>
    <w:rsid w:val="00B758F5"/>
    <w:rsid w:val="00B8676D"/>
    <w:rsid w:val="00B93354"/>
    <w:rsid w:val="00BA2589"/>
    <w:rsid w:val="00BA45D4"/>
    <w:rsid w:val="00BB0026"/>
    <w:rsid w:val="00BC4D8E"/>
    <w:rsid w:val="00BD73CD"/>
    <w:rsid w:val="00BE624F"/>
    <w:rsid w:val="00BF14CF"/>
    <w:rsid w:val="00BF27E4"/>
    <w:rsid w:val="00BF4CFA"/>
    <w:rsid w:val="00C00233"/>
    <w:rsid w:val="00C43E27"/>
    <w:rsid w:val="00C611F3"/>
    <w:rsid w:val="00C67C9D"/>
    <w:rsid w:val="00CD3FD9"/>
    <w:rsid w:val="00CF0E45"/>
    <w:rsid w:val="00D00DC6"/>
    <w:rsid w:val="00D07C9C"/>
    <w:rsid w:val="00D17551"/>
    <w:rsid w:val="00D27E92"/>
    <w:rsid w:val="00D30DD8"/>
    <w:rsid w:val="00D732C7"/>
    <w:rsid w:val="00D92C16"/>
    <w:rsid w:val="00D9435D"/>
    <w:rsid w:val="00D9563B"/>
    <w:rsid w:val="00DC5960"/>
    <w:rsid w:val="00DF3277"/>
    <w:rsid w:val="00E00963"/>
    <w:rsid w:val="00E11B99"/>
    <w:rsid w:val="00E14857"/>
    <w:rsid w:val="00E1686A"/>
    <w:rsid w:val="00E27973"/>
    <w:rsid w:val="00E37109"/>
    <w:rsid w:val="00E52441"/>
    <w:rsid w:val="00E86411"/>
    <w:rsid w:val="00E903E0"/>
    <w:rsid w:val="00EA4E6A"/>
    <w:rsid w:val="00EB059A"/>
    <w:rsid w:val="00EC5704"/>
    <w:rsid w:val="00F246CA"/>
    <w:rsid w:val="00F32759"/>
    <w:rsid w:val="00F50BE1"/>
    <w:rsid w:val="00F577A7"/>
    <w:rsid w:val="00F63AFC"/>
    <w:rsid w:val="00F63D60"/>
    <w:rsid w:val="00F81B65"/>
    <w:rsid w:val="00F82402"/>
    <w:rsid w:val="00F85BA5"/>
    <w:rsid w:val="00F871C3"/>
    <w:rsid w:val="00F91610"/>
    <w:rsid w:val="00F9290B"/>
    <w:rsid w:val="00F96307"/>
    <w:rsid w:val="00FA16B4"/>
    <w:rsid w:val="00FD1020"/>
    <w:rsid w:val="00FD688B"/>
    <w:rsid w:val="00FF0E7F"/>
    <w:rsid w:val="00FF4A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91617913">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284461735">
      <w:bodyDiv w:val="1"/>
      <w:marLeft w:val="0"/>
      <w:marRight w:val="0"/>
      <w:marTop w:val="0"/>
      <w:marBottom w:val="0"/>
      <w:divBdr>
        <w:top w:val="none" w:sz="0" w:space="0" w:color="auto"/>
        <w:left w:val="none" w:sz="0" w:space="0" w:color="auto"/>
        <w:bottom w:val="none" w:sz="0" w:space="0" w:color="auto"/>
        <w:right w:val="none" w:sz="0" w:space="0" w:color="auto"/>
      </w:divBdr>
    </w:div>
    <w:div w:id="1544707668">
      <w:bodyDiv w:val="1"/>
      <w:marLeft w:val="0"/>
      <w:marRight w:val="0"/>
      <w:marTop w:val="0"/>
      <w:marBottom w:val="0"/>
      <w:divBdr>
        <w:top w:val="none" w:sz="0" w:space="0" w:color="auto"/>
        <w:left w:val="none" w:sz="0" w:space="0" w:color="auto"/>
        <w:bottom w:val="none" w:sz="0" w:space="0" w:color="auto"/>
        <w:right w:val="none" w:sz="0" w:space="0" w:color="auto"/>
      </w:divBdr>
      <w:divsChild>
        <w:div w:id="214314733">
          <w:marLeft w:val="1166"/>
          <w:marRight w:val="0"/>
          <w:marTop w:val="125"/>
          <w:marBottom w:val="0"/>
          <w:divBdr>
            <w:top w:val="none" w:sz="0" w:space="0" w:color="auto"/>
            <w:left w:val="none" w:sz="0" w:space="0" w:color="auto"/>
            <w:bottom w:val="none" w:sz="0" w:space="0" w:color="auto"/>
            <w:right w:val="none" w:sz="0" w:space="0" w:color="auto"/>
          </w:divBdr>
        </w:div>
      </w:divsChild>
    </w:div>
    <w:div w:id="158587142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1708213">
      <w:bodyDiv w:val="1"/>
      <w:marLeft w:val="0"/>
      <w:marRight w:val="0"/>
      <w:marTop w:val="0"/>
      <w:marBottom w:val="0"/>
      <w:divBdr>
        <w:top w:val="none" w:sz="0" w:space="0" w:color="auto"/>
        <w:left w:val="none" w:sz="0" w:space="0" w:color="auto"/>
        <w:bottom w:val="none" w:sz="0" w:space="0" w:color="auto"/>
        <w:right w:val="none" w:sz="0" w:space="0" w:color="auto"/>
      </w:divBdr>
    </w:div>
    <w:div w:id="172629989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0220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38A9127-7A4D-4DC7-8B0E-0A7DAA8A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2016-08-25T13:26:00Z</dcterms:created>
  <dcterms:modified xsi:type="dcterms:W3CDTF">2016-08-25T13:26:00Z</dcterms:modified>
</cp:coreProperties>
</file>