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4E97C" w14:textId="77777777" w:rsidR="00131E6A" w:rsidRPr="00C27BB5" w:rsidRDefault="00131E6A" w:rsidP="00131E6A">
      <w:pPr>
        <w:jc w:val="center"/>
        <w:rPr>
          <w:b/>
          <w:sz w:val="40"/>
          <w:szCs w:val="40"/>
        </w:rPr>
      </w:pPr>
      <w:r w:rsidRPr="00C27BB5">
        <w:rPr>
          <w:b/>
          <w:sz w:val="40"/>
          <w:szCs w:val="40"/>
        </w:rPr>
        <w:t>Global Vaccine Action Plan</w:t>
      </w:r>
    </w:p>
    <w:p w14:paraId="7A9E1AA0" w14:textId="77777777" w:rsidR="00131E6A" w:rsidRDefault="00131E6A" w:rsidP="00131E6A">
      <w:pPr>
        <w:jc w:val="center"/>
        <w:rPr>
          <w:i/>
          <w:sz w:val="40"/>
          <w:szCs w:val="40"/>
        </w:rPr>
      </w:pPr>
      <w:r w:rsidRPr="00C27BB5">
        <w:rPr>
          <w:i/>
          <w:sz w:val="40"/>
          <w:szCs w:val="40"/>
        </w:rPr>
        <w:t>Secretariat Annual Report 2016</w:t>
      </w:r>
    </w:p>
    <w:p w14:paraId="1E707180" w14:textId="77777777" w:rsidR="00131E6A" w:rsidRDefault="00131E6A" w:rsidP="00131E6A">
      <w:pPr>
        <w:jc w:val="center"/>
        <w:rPr>
          <w:i/>
          <w:sz w:val="40"/>
          <w:szCs w:val="40"/>
        </w:rPr>
      </w:pPr>
      <w:r>
        <w:rPr>
          <w:i/>
          <w:sz w:val="40"/>
          <w:szCs w:val="40"/>
        </w:rPr>
        <w:t>Priority C</w:t>
      </w:r>
      <w:r w:rsidRPr="00C27BB5">
        <w:rPr>
          <w:i/>
          <w:sz w:val="40"/>
          <w:szCs w:val="40"/>
        </w:rPr>
        <w:t xml:space="preserve">ountry report on progress towards </w:t>
      </w:r>
    </w:p>
    <w:p w14:paraId="5ABEFB43" w14:textId="77777777" w:rsidR="00131E6A" w:rsidRPr="00C27BB5" w:rsidRDefault="00131E6A" w:rsidP="00131E6A">
      <w:pPr>
        <w:jc w:val="center"/>
        <w:rPr>
          <w:i/>
          <w:sz w:val="40"/>
          <w:szCs w:val="40"/>
        </w:rPr>
      </w:pPr>
      <w:r>
        <w:rPr>
          <w:i/>
          <w:sz w:val="40"/>
          <w:szCs w:val="40"/>
        </w:rPr>
        <w:t>GVAP-RVAP</w:t>
      </w:r>
      <w:r w:rsidRPr="00C27BB5">
        <w:rPr>
          <w:i/>
          <w:sz w:val="40"/>
          <w:szCs w:val="40"/>
        </w:rPr>
        <w:t xml:space="preserve"> goals </w:t>
      </w:r>
    </w:p>
    <w:p w14:paraId="6BBA2948" w14:textId="77777777" w:rsidR="00131E6A" w:rsidRDefault="00131E6A" w:rsidP="00131E6A">
      <w:pPr>
        <w:jc w:val="center"/>
        <w:rPr>
          <w:rFonts w:ascii="Arial" w:hAnsi="Arial"/>
          <w:b/>
          <w:sz w:val="32"/>
        </w:rPr>
      </w:pPr>
    </w:p>
    <w:p w14:paraId="3D360856" w14:textId="1A4F50AB" w:rsidR="009745BB" w:rsidRDefault="00131E6A" w:rsidP="00131E6A">
      <w:pPr>
        <w:jc w:val="center"/>
        <w:rPr>
          <w:rFonts w:ascii="Arial" w:hAnsi="Arial"/>
          <w:b/>
          <w:sz w:val="36"/>
        </w:rPr>
      </w:pPr>
      <w:r>
        <w:rPr>
          <w:rFonts w:ascii="Arial" w:hAnsi="Arial"/>
          <w:b/>
          <w:sz w:val="36"/>
        </w:rPr>
        <w:t>PAKISTAN</w:t>
      </w:r>
    </w:p>
    <w:p w14:paraId="6FD66C49" w14:textId="77777777" w:rsidR="00131E6A" w:rsidRPr="002D3541" w:rsidRDefault="00131E6A" w:rsidP="00131E6A">
      <w:pPr>
        <w:jc w:val="center"/>
        <w:rPr>
          <w:rFonts w:ascii="Arial" w:hAnsi="Arial" w:cs="Arial"/>
          <w:b/>
          <w:sz w:val="32"/>
        </w:rPr>
      </w:pPr>
    </w:p>
    <w:p w14:paraId="1D623B59" w14:textId="77777777" w:rsidR="00457E0A" w:rsidRPr="002D3541" w:rsidRDefault="00457E0A" w:rsidP="00457E0A">
      <w:pPr>
        <w:pStyle w:val="ListParagraph"/>
        <w:numPr>
          <w:ilvl w:val="0"/>
          <w:numId w:val="3"/>
        </w:numPr>
        <w:rPr>
          <w:rFonts w:ascii="Arial" w:hAnsi="Arial" w:cs="Arial"/>
          <w:b/>
          <w:sz w:val="24"/>
        </w:rPr>
      </w:pPr>
      <w:r w:rsidRPr="002D3541">
        <w:rPr>
          <w:rFonts w:ascii="Arial" w:hAnsi="Arial" w:cs="Arial"/>
          <w:b/>
          <w:sz w:val="24"/>
        </w:rPr>
        <w:t xml:space="preserve">Progress towards achievement of GVAP goals </w:t>
      </w:r>
    </w:p>
    <w:p w14:paraId="5C8B88FE" w14:textId="77777777" w:rsidR="00457E0A" w:rsidRPr="002D3541" w:rsidRDefault="00457E0A" w:rsidP="00457E0A">
      <w:pPr>
        <w:pStyle w:val="ListParagraph"/>
        <w:rPr>
          <w:rFonts w:ascii="Arial" w:hAnsi="Arial" w:cs="Arial"/>
          <w:b/>
        </w:rPr>
      </w:pPr>
    </w:p>
    <w:p w14:paraId="701352EF" w14:textId="77777777" w:rsidR="00163179" w:rsidRPr="002D3541" w:rsidRDefault="00C67C9D" w:rsidP="00163179">
      <w:pPr>
        <w:pStyle w:val="ListParagraph"/>
        <w:numPr>
          <w:ilvl w:val="0"/>
          <w:numId w:val="1"/>
        </w:numPr>
        <w:rPr>
          <w:rFonts w:ascii="Arial" w:hAnsi="Arial" w:cs="Arial"/>
          <w:b/>
        </w:rPr>
      </w:pPr>
      <w:r w:rsidRPr="002D3541">
        <w:rPr>
          <w:rFonts w:ascii="Arial" w:hAnsi="Arial" w:cs="Arial"/>
          <w:b/>
        </w:rPr>
        <w:t xml:space="preserve">Summary </w:t>
      </w:r>
    </w:p>
    <w:p w14:paraId="2A48FB84" w14:textId="67DC00C4" w:rsidR="00BA2589" w:rsidRPr="002D3541" w:rsidRDefault="00BA2589" w:rsidP="00527B61">
      <w:pPr>
        <w:rPr>
          <w:rFonts w:ascii="Arial" w:hAnsi="Arial" w:cs="Arial"/>
        </w:rPr>
      </w:pPr>
      <w:r w:rsidRPr="002D3541">
        <w:rPr>
          <w:rFonts w:ascii="Arial" w:hAnsi="Arial" w:cs="Arial"/>
        </w:rPr>
        <w:t xml:space="preserve">This </w:t>
      </w:r>
      <w:r w:rsidR="006C334B" w:rsidRPr="002D3541">
        <w:rPr>
          <w:rFonts w:ascii="Arial" w:hAnsi="Arial" w:cs="Arial"/>
        </w:rPr>
        <w:t xml:space="preserve">summary table describes </w:t>
      </w:r>
      <w:r w:rsidRPr="002D3541">
        <w:rPr>
          <w:rFonts w:ascii="Arial" w:hAnsi="Arial" w:cs="Arial"/>
        </w:rPr>
        <w:t xml:space="preserve">the current situation in </w:t>
      </w:r>
      <w:r w:rsidR="00527B61" w:rsidRPr="002D3541">
        <w:rPr>
          <w:rFonts w:ascii="Arial" w:hAnsi="Arial" w:cs="Arial"/>
        </w:rPr>
        <w:t>Pakistan</w:t>
      </w:r>
      <w:r w:rsidRPr="002D3541">
        <w:rPr>
          <w:rFonts w:ascii="Arial" w:hAnsi="Arial" w:cs="Arial"/>
        </w:rPr>
        <w:t xml:space="preserve"> regarding achieving the GVAP goals.</w:t>
      </w:r>
      <w:r w:rsidR="00492F98" w:rsidRPr="002D3541">
        <w:rPr>
          <w:rFonts w:ascii="Arial" w:hAnsi="Arial" w:cs="Arial"/>
        </w:rPr>
        <w:t xml:space="preserve"> </w:t>
      </w:r>
      <w:r w:rsidR="00500171" w:rsidRPr="002D3541">
        <w:rPr>
          <w:rFonts w:ascii="Arial" w:hAnsi="Arial" w:cs="Arial"/>
        </w:rPr>
        <w:t>D</w:t>
      </w:r>
      <w:r w:rsidR="00696E6A" w:rsidRPr="002D3541">
        <w:rPr>
          <w:rFonts w:ascii="Arial" w:hAnsi="Arial" w:cs="Arial"/>
        </w:rPr>
        <w:t xml:space="preserve">ata </w:t>
      </w:r>
      <w:r w:rsidR="00E11B99" w:rsidRPr="002D3541">
        <w:rPr>
          <w:rFonts w:ascii="Arial" w:hAnsi="Arial" w:cs="Arial"/>
        </w:rPr>
        <w:t xml:space="preserve">used to assess progress towards achievement of </w:t>
      </w:r>
      <w:r w:rsidR="00696E6A" w:rsidRPr="002D3541">
        <w:rPr>
          <w:rFonts w:ascii="Arial" w:hAnsi="Arial" w:cs="Arial"/>
        </w:rPr>
        <w:t xml:space="preserve">GVAP goals are included in the annex (Country </w:t>
      </w:r>
      <w:r w:rsidR="00D00DC6" w:rsidRPr="002D3541">
        <w:rPr>
          <w:rFonts w:ascii="Arial" w:hAnsi="Arial" w:cs="Arial"/>
        </w:rPr>
        <w:t xml:space="preserve">immunization </w:t>
      </w:r>
      <w:r w:rsidR="00696E6A" w:rsidRPr="002D3541">
        <w:rPr>
          <w:rFonts w:ascii="Arial" w:hAnsi="Arial" w:cs="Arial"/>
        </w:rPr>
        <w:t>profile).</w:t>
      </w:r>
    </w:p>
    <w:tbl>
      <w:tblPr>
        <w:tblW w:w="9073" w:type="dxa"/>
        <w:jc w:val="center"/>
        <w:tblInd w:w="93" w:type="dxa"/>
        <w:tblLook w:val="04A0" w:firstRow="1" w:lastRow="0" w:firstColumn="1" w:lastColumn="0" w:noHBand="0" w:noVBand="1"/>
      </w:tblPr>
      <w:tblGrid>
        <w:gridCol w:w="3189"/>
        <w:gridCol w:w="3867"/>
        <w:gridCol w:w="2017"/>
      </w:tblGrid>
      <w:tr w:rsidR="002D3541" w:rsidRPr="002D3541" w14:paraId="47C0E0A7" w14:textId="77777777" w:rsidTr="0056171F">
        <w:trPr>
          <w:trHeight w:val="675"/>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24144" w14:textId="77777777" w:rsidR="0056171F" w:rsidRPr="002D3541" w:rsidRDefault="0056171F" w:rsidP="0056171F">
            <w:pPr>
              <w:spacing w:after="0" w:line="240" w:lineRule="auto"/>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Area</w:t>
            </w:r>
          </w:p>
        </w:tc>
        <w:tc>
          <w:tcPr>
            <w:tcW w:w="3867" w:type="dxa"/>
            <w:tcBorders>
              <w:top w:val="single" w:sz="4" w:space="0" w:color="auto"/>
              <w:left w:val="nil"/>
              <w:bottom w:val="single" w:sz="4" w:space="0" w:color="auto"/>
              <w:right w:val="single" w:sz="4" w:space="0" w:color="auto"/>
            </w:tcBorders>
            <w:shd w:val="clear" w:color="auto" w:fill="auto"/>
            <w:vAlign w:val="center"/>
            <w:hideMark/>
          </w:tcPr>
          <w:p w14:paraId="470EB614" w14:textId="77777777" w:rsidR="0056171F" w:rsidRPr="002D3541" w:rsidRDefault="0056171F" w:rsidP="0056171F">
            <w:pPr>
              <w:spacing w:after="0" w:line="240" w:lineRule="auto"/>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Indicator</w:t>
            </w:r>
          </w:p>
        </w:tc>
        <w:tc>
          <w:tcPr>
            <w:tcW w:w="2017" w:type="dxa"/>
            <w:tcBorders>
              <w:top w:val="single" w:sz="4" w:space="0" w:color="auto"/>
              <w:left w:val="nil"/>
              <w:bottom w:val="single" w:sz="4" w:space="0" w:color="auto"/>
              <w:right w:val="single" w:sz="4" w:space="0" w:color="auto"/>
            </w:tcBorders>
            <w:shd w:val="clear" w:color="auto" w:fill="auto"/>
            <w:vAlign w:val="center"/>
            <w:hideMark/>
          </w:tcPr>
          <w:p w14:paraId="3B18F6CD" w14:textId="77777777" w:rsidR="0056171F" w:rsidRPr="002D3541" w:rsidRDefault="0056171F" w:rsidP="0056171F">
            <w:pPr>
              <w:spacing w:after="0" w:line="240" w:lineRule="auto"/>
              <w:jc w:val="center"/>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Pakistan</w:t>
            </w:r>
          </w:p>
        </w:tc>
      </w:tr>
      <w:tr w:rsidR="002D3541" w:rsidRPr="002D3541" w14:paraId="2ED7891F" w14:textId="77777777" w:rsidTr="0056171F">
        <w:trPr>
          <w:trHeight w:val="2700"/>
          <w:jc w:val="center"/>
        </w:trPr>
        <w:tc>
          <w:tcPr>
            <w:tcW w:w="3189" w:type="dxa"/>
            <w:tcBorders>
              <w:top w:val="nil"/>
              <w:left w:val="single" w:sz="4" w:space="0" w:color="auto"/>
              <w:bottom w:val="single" w:sz="4" w:space="0" w:color="auto"/>
              <w:right w:val="single" w:sz="4" w:space="0" w:color="auto"/>
            </w:tcBorders>
            <w:shd w:val="clear" w:color="000000" w:fill="EBF1DE"/>
            <w:vAlign w:val="center"/>
            <w:hideMark/>
          </w:tcPr>
          <w:p w14:paraId="0544A9B5"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6. Reach 90% and 80% coverage with all vaccines in national immunization programmes</w:t>
            </w:r>
          </w:p>
        </w:tc>
        <w:tc>
          <w:tcPr>
            <w:tcW w:w="3867" w:type="dxa"/>
            <w:tcBorders>
              <w:top w:val="nil"/>
              <w:left w:val="nil"/>
              <w:bottom w:val="single" w:sz="4" w:space="0" w:color="auto"/>
              <w:right w:val="single" w:sz="4" w:space="0" w:color="auto"/>
            </w:tcBorders>
            <w:shd w:val="clear" w:color="000000" w:fill="EBF1DE"/>
            <w:vAlign w:val="center"/>
            <w:hideMark/>
          </w:tcPr>
          <w:p w14:paraId="362F3CCD" w14:textId="21A1552F" w:rsidR="0056171F" w:rsidRPr="002D3541" w:rsidRDefault="004E2E87"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National Coverage   (2015</w:t>
            </w:r>
            <w:r w:rsidR="0056171F" w:rsidRPr="002D3541">
              <w:rPr>
                <w:rFonts w:ascii="Calibri" w:eastAsia="Times New Roman" w:hAnsi="Calibri" w:cs="Calibri"/>
                <w:b/>
                <w:bCs/>
                <w:lang w:eastAsia="en-GB"/>
              </w:rPr>
              <w:t xml:space="preserve"> WUENIC)</w:t>
            </w:r>
          </w:p>
        </w:tc>
        <w:tc>
          <w:tcPr>
            <w:tcW w:w="2017" w:type="dxa"/>
            <w:tcBorders>
              <w:top w:val="nil"/>
              <w:left w:val="nil"/>
              <w:bottom w:val="single" w:sz="4" w:space="0" w:color="auto"/>
              <w:right w:val="single" w:sz="4" w:space="0" w:color="auto"/>
            </w:tcBorders>
            <w:shd w:val="clear" w:color="000000" w:fill="FF0000"/>
            <w:hideMark/>
          </w:tcPr>
          <w:p w14:paraId="1F377D88" w14:textId="13AFE538" w:rsidR="0056171F" w:rsidRPr="002D3541" w:rsidRDefault="0056171F"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B</w:t>
            </w:r>
            <w:r w:rsidR="004E2E87" w:rsidRPr="002D3541">
              <w:rPr>
                <w:rFonts w:ascii="Calibri" w:eastAsia="Times New Roman" w:hAnsi="Calibri" w:cs="Calibri"/>
                <w:b/>
                <w:bCs/>
                <w:lang w:eastAsia="en-GB"/>
              </w:rPr>
              <w:t>CG 85</w:t>
            </w:r>
            <w:r w:rsidR="004E2E87" w:rsidRPr="002D3541">
              <w:rPr>
                <w:rFonts w:ascii="Calibri" w:eastAsia="Times New Roman" w:hAnsi="Calibri" w:cs="Calibri"/>
                <w:b/>
                <w:bCs/>
                <w:lang w:eastAsia="en-GB"/>
              </w:rPr>
              <w:br/>
              <w:t>DTP1 79</w:t>
            </w:r>
            <w:r w:rsidR="004E2E87" w:rsidRPr="002D3541">
              <w:rPr>
                <w:rFonts w:ascii="Calibri" w:eastAsia="Times New Roman" w:hAnsi="Calibri" w:cs="Calibri"/>
                <w:b/>
                <w:bCs/>
                <w:lang w:eastAsia="en-GB"/>
              </w:rPr>
              <w:br/>
              <w:t>DTP3-HepB3-Hib3 72</w:t>
            </w:r>
            <w:r w:rsidR="004E2E87" w:rsidRPr="002D3541">
              <w:rPr>
                <w:rFonts w:ascii="Calibri" w:eastAsia="Times New Roman" w:hAnsi="Calibri" w:cs="Calibri"/>
                <w:b/>
                <w:bCs/>
                <w:lang w:eastAsia="en-GB"/>
              </w:rPr>
              <w:br/>
              <w:t>MCV1 61</w:t>
            </w:r>
            <w:r w:rsidR="004E2E87" w:rsidRPr="002D3541">
              <w:rPr>
                <w:rFonts w:ascii="Calibri" w:eastAsia="Times New Roman" w:hAnsi="Calibri" w:cs="Calibri"/>
                <w:b/>
                <w:bCs/>
                <w:lang w:eastAsia="en-GB"/>
              </w:rPr>
              <w:br/>
              <w:t>MCV2 53</w:t>
            </w:r>
            <w:r w:rsidR="004E2E87" w:rsidRPr="002D3541">
              <w:rPr>
                <w:rFonts w:ascii="Calibri" w:eastAsia="Times New Roman" w:hAnsi="Calibri" w:cs="Calibri"/>
                <w:b/>
                <w:bCs/>
                <w:lang w:eastAsia="en-GB"/>
              </w:rPr>
              <w:br/>
              <w:t>PCV3 72</w:t>
            </w:r>
            <w:r w:rsidRPr="002D3541">
              <w:rPr>
                <w:rFonts w:ascii="Calibri" w:eastAsia="Times New Roman" w:hAnsi="Calibri" w:cs="Calibri"/>
                <w:b/>
                <w:bCs/>
                <w:lang w:eastAsia="en-GB"/>
              </w:rPr>
              <w:br/>
              <w:t>Pol3 72</w:t>
            </w:r>
          </w:p>
        </w:tc>
      </w:tr>
    </w:tbl>
    <w:p w14:paraId="585327E9" w14:textId="77777777" w:rsidR="00385B92" w:rsidRPr="002D3541" w:rsidRDefault="00385B92" w:rsidP="00602C0A">
      <w:pPr>
        <w:rPr>
          <w:rFonts w:ascii="Arial" w:hAnsi="Arial" w:cs="Arial"/>
          <w:b/>
        </w:rPr>
      </w:pPr>
      <w:r w:rsidRPr="002D3541">
        <w:rPr>
          <w:rFonts w:ascii="Arial" w:hAnsi="Arial" w:cs="Arial"/>
          <w:b/>
        </w:rPr>
        <w:t xml:space="preserve">3.1 Goal </w:t>
      </w:r>
      <w:proofErr w:type="gramStart"/>
      <w:r w:rsidRPr="002D3541">
        <w:rPr>
          <w:rFonts w:ascii="Arial" w:hAnsi="Arial" w:cs="Arial"/>
          <w:b/>
        </w:rPr>
        <w:t>3 :</w:t>
      </w:r>
      <w:proofErr w:type="gramEnd"/>
      <w:r w:rsidRPr="002D3541">
        <w:rPr>
          <w:rFonts w:ascii="Arial" w:hAnsi="Arial" w:cs="Arial"/>
          <w:b/>
        </w:rPr>
        <w:t xml:space="preserve"> Meet vaccination coverage targets</w:t>
      </w:r>
    </w:p>
    <w:p w14:paraId="6921D428" w14:textId="77777777" w:rsidR="00385B92" w:rsidRPr="002D3541" w:rsidRDefault="00385B92" w:rsidP="00602C0A">
      <w:pPr>
        <w:pStyle w:val="ListParagraph"/>
        <w:numPr>
          <w:ilvl w:val="1"/>
          <w:numId w:val="1"/>
        </w:numPr>
        <w:ind w:left="360"/>
        <w:rPr>
          <w:rFonts w:ascii="Arial" w:hAnsi="Arial" w:cs="Arial"/>
          <w:b/>
        </w:rPr>
      </w:pPr>
      <w:r w:rsidRPr="002D3541">
        <w:rPr>
          <w:rFonts w:ascii="Arial" w:hAnsi="Arial" w:cs="Arial"/>
          <w:b/>
        </w:rPr>
        <w:t>Achieve 90% National coverage and 80% in every district with all vaccines included in the national schedule</w:t>
      </w:r>
    </w:p>
    <w:p w14:paraId="27E28FA1" w14:textId="7AF477D4" w:rsidR="008045DC" w:rsidRPr="009F11D6" w:rsidRDefault="005F6A81" w:rsidP="00085A2D">
      <w:pPr>
        <w:rPr>
          <w:rFonts w:ascii="Arial" w:hAnsi="Arial" w:cs="Arial"/>
          <w:bCs/>
        </w:rPr>
      </w:pPr>
      <w:r w:rsidRPr="009F11D6">
        <w:rPr>
          <w:rFonts w:ascii="Arial" w:eastAsia="Arial" w:hAnsi="Arial" w:cs="Arial"/>
        </w:rPr>
        <w:t xml:space="preserve">Immunization coverage in Pakistan has stayed steady over the last decade. Most of the </w:t>
      </w:r>
      <w:r w:rsidR="00085A2D">
        <w:rPr>
          <w:rFonts w:ascii="Arial" w:eastAsia="Arial" w:hAnsi="Arial" w:cs="Arial"/>
        </w:rPr>
        <w:t>coverage</w:t>
      </w:r>
      <w:r w:rsidRPr="009F11D6">
        <w:rPr>
          <w:rFonts w:ascii="Arial" w:eastAsia="Arial" w:hAnsi="Arial" w:cs="Arial"/>
        </w:rPr>
        <w:t xml:space="preserve"> surveys in Pakistan have given varying figures, yet have a consensus on a slow progress on immunization coverage. The current coverage, as estimated by different surveys, varies between 47</w:t>
      </w:r>
      <w:r w:rsidR="00085A2D">
        <w:rPr>
          <w:rFonts w:ascii="Arial" w:eastAsia="Arial" w:hAnsi="Arial" w:cs="Arial"/>
        </w:rPr>
        <w:t>%</w:t>
      </w:r>
      <w:r w:rsidRPr="009F11D6">
        <w:rPr>
          <w:rFonts w:ascii="Arial" w:eastAsia="Arial" w:hAnsi="Arial" w:cs="Arial"/>
        </w:rPr>
        <w:t xml:space="preserve"> </w:t>
      </w:r>
      <w:r w:rsidR="00085A2D">
        <w:rPr>
          <w:rFonts w:ascii="Arial" w:eastAsia="Arial" w:hAnsi="Arial" w:cs="Arial"/>
        </w:rPr>
        <w:t xml:space="preserve">and </w:t>
      </w:r>
      <w:r w:rsidRPr="009F11D6">
        <w:rPr>
          <w:rFonts w:ascii="Arial" w:eastAsia="Arial" w:hAnsi="Arial" w:cs="Arial"/>
        </w:rPr>
        <w:t>88</w:t>
      </w:r>
      <w:r w:rsidR="00085A2D">
        <w:rPr>
          <w:rFonts w:ascii="Arial" w:eastAsia="Arial" w:hAnsi="Arial" w:cs="Arial"/>
        </w:rPr>
        <w:t>%</w:t>
      </w:r>
      <w:r w:rsidRPr="009F11D6">
        <w:rPr>
          <w:rFonts w:ascii="Arial" w:eastAsia="Arial" w:hAnsi="Arial" w:cs="Arial"/>
        </w:rPr>
        <w:t>. The elements of over reporting in the routine data and of recall biases in the PDHS and PSLM cannot be ruled out.</w:t>
      </w:r>
      <w:r w:rsidR="009F11D6" w:rsidRPr="009F11D6">
        <w:rPr>
          <w:rFonts w:ascii="Arial" w:eastAsia="Arial" w:hAnsi="Arial" w:cs="Arial"/>
        </w:rPr>
        <w:t xml:space="preserve"> </w:t>
      </w:r>
      <w:r w:rsidR="009F11D6" w:rsidRPr="009F11D6">
        <w:rPr>
          <w:rFonts w:ascii="Arial" w:hAnsi="Arial" w:cs="Arial"/>
          <w:bCs/>
        </w:rPr>
        <w:t xml:space="preserve">Pakistan’s coverage rate with the most basic vaccines stood at 73% in 2014 although there are large variations between the four main provinces – the most recent Pakistan Demographic Health Survey, </w:t>
      </w:r>
      <w:r w:rsidR="009F11D6" w:rsidRPr="009F11D6">
        <w:rPr>
          <w:rFonts w:ascii="Arial" w:hAnsi="Arial" w:cs="Arial"/>
          <w:bCs/>
        </w:rPr>
        <w:lastRenderedPageBreak/>
        <w:t xml:space="preserve">from 2013, showed Punjab had 76% coverage while in </w:t>
      </w:r>
      <w:proofErr w:type="spellStart"/>
      <w:r w:rsidR="009F11D6" w:rsidRPr="009F11D6">
        <w:rPr>
          <w:rFonts w:ascii="Arial" w:hAnsi="Arial" w:cs="Arial"/>
          <w:bCs/>
        </w:rPr>
        <w:t>Balochistan</w:t>
      </w:r>
      <w:proofErr w:type="spellEnd"/>
      <w:r w:rsidR="009F11D6" w:rsidRPr="009F11D6">
        <w:rPr>
          <w:rFonts w:ascii="Arial" w:hAnsi="Arial" w:cs="Arial"/>
          <w:bCs/>
        </w:rPr>
        <w:t xml:space="preserve"> the figure was just 27%.</w:t>
      </w:r>
      <w:r w:rsidR="00085A2D">
        <w:rPr>
          <w:rFonts w:ascii="Arial" w:hAnsi="Arial" w:cs="Arial"/>
          <w:bCs/>
        </w:rPr>
        <w:t xml:space="preserve"> This can be largely attributed to Punjab’s strong political commitment to increasing coverage; through the DFID sponsored Roadmap project, which gives Android phones to vaccinators and requires them to check in to vaccination posts, coverage has increased from 64% to 82% in one year. This successful program is now being expanded to KPK and </w:t>
      </w:r>
      <w:proofErr w:type="spellStart"/>
      <w:r w:rsidR="00085A2D">
        <w:rPr>
          <w:rFonts w:ascii="Arial" w:hAnsi="Arial" w:cs="Arial"/>
          <w:bCs/>
        </w:rPr>
        <w:t>Balochistan</w:t>
      </w:r>
      <w:proofErr w:type="spellEnd"/>
      <w:r w:rsidR="00085A2D">
        <w:rPr>
          <w:rFonts w:ascii="Arial" w:hAnsi="Arial" w:cs="Arial"/>
          <w:bCs/>
        </w:rPr>
        <w:t>.</w:t>
      </w:r>
      <w:r w:rsidR="009F11D6" w:rsidRPr="009F11D6">
        <w:rPr>
          <w:rFonts w:ascii="Arial" w:hAnsi="Arial" w:cs="Arial"/>
          <w:bCs/>
        </w:rPr>
        <w:t xml:space="preserve"> </w:t>
      </w:r>
      <w:r w:rsidR="00F460E0" w:rsidRPr="009F11D6">
        <w:rPr>
          <w:rFonts w:ascii="Arial" w:eastAsia="'arial',sans-serif" w:hAnsi="Arial" w:cs="Arial"/>
        </w:rPr>
        <w:t>Meas</w:t>
      </w:r>
      <w:r w:rsidR="009F11D6" w:rsidRPr="009F11D6">
        <w:rPr>
          <w:rFonts w:ascii="Arial" w:eastAsia="'arial',sans-serif" w:hAnsi="Arial" w:cs="Arial"/>
        </w:rPr>
        <w:t>les coverage ranged from 57%</w:t>
      </w:r>
      <w:r w:rsidR="00F460E0" w:rsidRPr="009F11D6">
        <w:rPr>
          <w:rFonts w:ascii="Arial" w:eastAsia="'arial',sans-serif" w:hAnsi="Arial" w:cs="Arial"/>
        </w:rPr>
        <w:t xml:space="preserve"> to 95</w:t>
      </w:r>
      <w:r w:rsidR="009F11D6" w:rsidRPr="009F11D6">
        <w:rPr>
          <w:rFonts w:ascii="Arial" w:eastAsia="'arial',sans-serif" w:hAnsi="Arial" w:cs="Arial"/>
        </w:rPr>
        <w:t>% by province. Children under 2 years</w:t>
      </w:r>
      <w:r w:rsidR="00F460E0" w:rsidRPr="009F11D6">
        <w:rPr>
          <w:rFonts w:ascii="Arial" w:eastAsia="'arial',sans-serif" w:hAnsi="Arial" w:cs="Arial"/>
        </w:rPr>
        <w:t xml:space="preserve"> </w:t>
      </w:r>
      <w:r w:rsidR="009F11D6" w:rsidRPr="009F11D6">
        <w:rPr>
          <w:rFonts w:ascii="Arial" w:eastAsia="'arial',sans-serif" w:hAnsi="Arial" w:cs="Arial"/>
        </w:rPr>
        <w:t xml:space="preserve">of age </w:t>
      </w:r>
      <w:r w:rsidR="00F460E0" w:rsidRPr="009F11D6">
        <w:rPr>
          <w:rFonts w:ascii="Arial" w:eastAsia="'arial',sans-serif" w:hAnsi="Arial" w:cs="Arial"/>
        </w:rPr>
        <w:t xml:space="preserve">who never received any vaccination </w:t>
      </w:r>
      <w:r w:rsidR="009F11D6" w:rsidRPr="009F11D6">
        <w:rPr>
          <w:rFonts w:ascii="Arial" w:eastAsia="'arial',sans-serif" w:hAnsi="Arial" w:cs="Arial"/>
        </w:rPr>
        <w:t>ranged from 2% to 30%.</w:t>
      </w:r>
      <w:r w:rsidR="008B503A" w:rsidRPr="009F11D6">
        <w:rPr>
          <w:rFonts w:ascii="Arial" w:eastAsia="'arial',sans-serif" w:hAnsi="Arial" w:cs="Arial"/>
        </w:rPr>
        <w:t> </w:t>
      </w:r>
      <w:r w:rsidR="00366E59" w:rsidRPr="009F11D6">
        <w:rPr>
          <w:rFonts w:ascii="Arial" w:hAnsi="Arial" w:cs="Arial"/>
        </w:rPr>
        <w:t>The estimated coverage for a fully immunized child in Pakistan varies between 56% and</w:t>
      </w:r>
      <w:r w:rsidR="009F11D6" w:rsidRPr="009F11D6">
        <w:rPr>
          <w:rFonts w:ascii="Arial" w:hAnsi="Arial" w:cs="Arial"/>
        </w:rPr>
        <w:t xml:space="preserve"> </w:t>
      </w:r>
      <w:r w:rsidR="00366E59" w:rsidRPr="009F11D6">
        <w:rPr>
          <w:rFonts w:ascii="Arial" w:hAnsi="Arial" w:cs="Arial"/>
        </w:rPr>
        <w:t>88%, with considerable variation among provinces5 (PDHS, PSLM)</w:t>
      </w:r>
      <w:r w:rsidR="008045DC" w:rsidRPr="009F11D6">
        <w:rPr>
          <w:rFonts w:ascii="Arial" w:hAnsi="Arial" w:cs="Arial"/>
        </w:rPr>
        <w:t>.</w:t>
      </w:r>
    </w:p>
    <w:p w14:paraId="483FB7F5" w14:textId="265F3240" w:rsidR="00366E59" w:rsidRDefault="0087403D" w:rsidP="0087403D">
      <w:pPr>
        <w:pStyle w:val="Default"/>
        <w:spacing w:after="149" w:line="276" w:lineRule="auto"/>
        <w:rPr>
          <w:rFonts w:ascii="Arial" w:hAnsi="Arial" w:cs="Arial"/>
          <w:sz w:val="22"/>
          <w:szCs w:val="22"/>
        </w:rPr>
      </w:pPr>
      <w:r w:rsidRPr="009F11D6">
        <w:rPr>
          <w:rFonts w:ascii="Arial" w:eastAsia="Arial" w:hAnsi="Arial" w:cs="Arial"/>
          <w:color w:val="auto"/>
          <w:sz w:val="22"/>
          <w:szCs w:val="22"/>
        </w:rPr>
        <w:t xml:space="preserve">Except for </w:t>
      </w:r>
      <w:r>
        <w:rPr>
          <w:rFonts w:ascii="Arial" w:eastAsia="Arial" w:hAnsi="Arial" w:cs="Arial"/>
          <w:color w:val="auto"/>
          <w:sz w:val="22"/>
          <w:szCs w:val="22"/>
        </w:rPr>
        <w:t>two provinces</w:t>
      </w:r>
      <w:r w:rsidRPr="009F11D6">
        <w:rPr>
          <w:rFonts w:ascii="Arial" w:eastAsia="Arial" w:hAnsi="Arial" w:cs="Arial"/>
          <w:color w:val="auto"/>
          <w:sz w:val="22"/>
          <w:szCs w:val="22"/>
        </w:rPr>
        <w:t>, the vaccine delivery model is almost entirely vertical, with challenges even for creating synergies between non-RI vaccination programs. Questions were raised about the certification of vaccinators (currently non-existent), the lack of use of other health providers such as CHWs and overall how to standardize vaccination outreach services</w:t>
      </w:r>
      <w:r w:rsidRPr="009F11D6">
        <w:rPr>
          <w:rFonts w:ascii="Arial" w:hAnsi="Arial" w:cs="Arial"/>
          <w:color w:val="auto"/>
          <w:sz w:val="22"/>
          <w:szCs w:val="22"/>
          <w:lang w:eastAsia="en-GB"/>
        </w:rPr>
        <w:t>.</w:t>
      </w:r>
      <w:r w:rsidRPr="009F11D6">
        <w:rPr>
          <w:rFonts w:ascii="Arial" w:eastAsia="Arial" w:hAnsi="Arial" w:cs="Arial"/>
          <w:color w:val="auto"/>
          <w:sz w:val="22"/>
          <w:szCs w:val="22"/>
        </w:rPr>
        <w:t xml:space="preserve"> </w:t>
      </w:r>
      <w:r w:rsidR="00602C0A" w:rsidRPr="009F11D6">
        <w:rPr>
          <w:rFonts w:ascii="Arial" w:eastAsia="'arial',sans-serif" w:hAnsi="Arial" w:cs="Arial"/>
          <w:sz w:val="22"/>
          <w:szCs w:val="22"/>
        </w:rPr>
        <w:t xml:space="preserve">Pakistan is one of the ten countries where UNICEF aims to enhance the equity in routine immunization hence contributing to health system strengthening efforts with improved immunization outcomes. GAVI provided funds for the technical support to introduce and support methodologies to identify main drivers of  inequities shifting the focus beyond national level planning for ‘Reaching Every District / Reaching Every Community’ (RED/ REC) approach. </w:t>
      </w:r>
      <w:r w:rsidR="009F11D6" w:rsidRPr="009F11D6">
        <w:rPr>
          <w:rFonts w:ascii="Arial" w:hAnsi="Arial" w:cs="Arial"/>
          <w:sz w:val="22"/>
          <w:szCs w:val="22"/>
        </w:rPr>
        <w:t xml:space="preserve">Recent surveys have identified multiple barriers to immunization, including but not limited to: </w:t>
      </w:r>
      <w:r w:rsidR="00240028" w:rsidRPr="009F11D6">
        <w:rPr>
          <w:rFonts w:ascii="Arial" w:hAnsi="Arial" w:cs="Arial"/>
          <w:color w:val="auto"/>
          <w:sz w:val="22"/>
          <w:szCs w:val="22"/>
        </w:rPr>
        <w:t>Diseas</w:t>
      </w:r>
      <w:r w:rsidR="009F11D6" w:rsidRPr="009F11D6">
        <w:rPr>
          <w:rFonts w:ascii="Arial" w:hAnsi="Arial" w:cs="Arial"/>
          <w:sz w:val="22"/>
          <w:szCs w:val="22"/>
        </w:rPr>
        <w:t>e awareness and risk perception, v</w:t>
      </w:r>
      <w:r w:rsidR="00240028" w:rsidRPr="009F11D6">
        <w:rPr>
          <w:rFonts w:ascii="Arial" w:hAnsi="Arial" w:cs="Arial"/>
          <w:color w:val="auto"/>
          <w:sz w:val="22"/>
          <w:szCs w:val="22"/>
        </w:rPr>
        <w:t xml:space="preserve">accine </w:t>
      </w:r>
      <w:r w:rsidR="009F11D6" w:rsidRPr="009F11D6">
        <w:rPr>
          <w:rFonts w:ascii="Arial" w:hAnsi="Arial" w:cs="Arial"/>
          <w:sz w:val="22"/>
          <w:szCs w:val="22"/>
        </w:rPr>
        <w:t>doubts, alternative means of prevention, healthcare provider risk perception, transport and waiting time, unavailability of vaccine and vaccinators, and missing home</w:t>
      </w:r>
      <w:r w:rsidR="009F11D6" w:rsidRPr="009F11D6">
        <w:rPr>
          <w:rFonts w:ascii="MS Gothic" w:eastAsia="MS Gothic" w:hAnsi="MS Gothic" w:cs="MS Gothic" w:hint="eastAsia"/>
          <w:sz w:val="22"/>
          <w:szCs w:val="22"/>
        </w:rPr>
        <w:t>‑</w:t>
      </w:r>
      <w:r w:rsidR="009F11D6" w:rsidRPr="009F11D6">
        <w:rPr>
          <w:rFonts w:ascii="Arial" w:hAnsi="Arial" w:cs="Arial"/>
          <w:sz w:val="22"/>
          <w:szCs w:val="22"/>
        </w:rPr>
        <w:t>based vaccination cards/immunization record.</w:t>
      </w:r>
    </w:p>
    <w:p w14:paraId="6F66FA8E" w14:textId="0DDDB747" w:rsidR="00422027" w:rsidRPr="00422027" w:rsidRDefault="00422027" w:rsidP="00422027">
      <w:pPr>
        <w:rPr>
          <w:rFonts w:ascii="Arial" w:eastAsia="Arial" w:hAnsi="Arial" w:cs="Arial"/>
          <w:color w:val="000000"/>
        </w:rPr>
      </w:pPr>
      <w:r>
        <w:rPr>
          <w:rFonts w:ascii="Arial" w:eastAsia="Arial" w:hAnsi="Arial" w:cs="Arial"/>
        </w:rPr>
        <w:t>Additionally, there is</w:t>
      </w:r>
      <w:r w:rsidRPr="00B124B4">
        <w:rPr>
          <w:rFonts w:ascii="Arial" w:eastAsia="Arial" w:hAnsi="Arial" w:cs="Arial"/>
          <w:color w:val="000000"/>
        </w:rPr>
        <w:t xml:space="preserve"> very low level of coverage of children belonging to parents migrating</w:t>
      </w:r>
      <w:r>
        <w:rPr>
          <w:rFonts w:ascii="Arial" w:eastAsia="Arial" w:hAnsi="Arial" w:cs="Arial"/>
          <w:color w:val="000000"/>
        </w:rPr>
        <w:t xml:space="preserve"> for economic or social reasons. To address this,</w:t>
      </w:r>
      <w:r w:rsidRPr="00B124B4">
        <w:rPr>
          <w:rFonts w:ascii="Arial" w:eastAsia="Arial" w:hAnsi="Arial" w:cs="Arial"/>
          <w:color w:val="000000"/>
        </w:rPr>
        <w:t xml:space="preserve"> the government of Punjab took the initiative to address internal migration between districts through targeting vaccination outreach at transit points. The initiative focuses on children under 5 years of age. Transitory point locations include bus stations, airports and regular transit areas between districts.</w:t>
      </w:r>
    </w:p>
    <w:p w14:paraId="79961E73" w14:textId="77777777" w:rsidR="00897DBD" w:rsidRDefault="00897DBD">
      <w:pPr>
        <w:rPr>
          <w:rFonts w:ascii="Arial" w:hAnsi="Arial" w:cs="Arial"/>
          <w:b/>
          <w:sz w:val="24"/>
        </w:rPr>
      </w:pPr>
      <w:r>
        <w:rPr>
          <w:rFonts w:ascii="Arial" w:hAnsi="Arial" w:cs="Arial"/>
          <w:b/>
          <w:sz w:val="24"/>
        </w:rPr>
        <w:br w:type="page"/>
      </w:r>
    </w:p>
    <w:p w14:paraId="276B7FC9" w14:textId="43D5BBE5" w:rsidR="009C42C9" w:rsidRPr="002D3541" w:rsidRDefault="009C42C9" w:rsidP="009C42C9">
      <w:pPr>
        <w:rPr>
          <w:rFonts w:ascii="Arial" w:hAnsi="Arial" w:cs="Arial"/>
          <w:b/>
          <w:sz w:val="24"/>
        </w:rPr>
      </w:pPr>
      <w:r w:rsidRPr="002D3541">
        <w:rPr>
          <w:rFonts w:ascii="Arial" w:hAnsi="Arial" w:cs="Arial"/>
          <w:b/>
          <w:sz w:val="24"/>
        </w:rPr>
        <w:lastRenderedPageBreak/>
        <w:t>ANNEXES</w:t>
      </w:r>
    </w:p>
    <w:p w14:paraId="40D09F7A" w14:textId="064BE56F" w:rsidR="00066B87" w:rsidRPr="00897DBD" w:rsidRDefault="009C42C9" w:rsidP="00897DBD">
      <w:pPr>
        <w:pStyle w:val="ListParagraph"/>
        <w:numPr>
          <w:ilvl w:val="0"/>
          <w:numId w:val="22"/>
        </w:numPr>
        <w:rPr>
          <w:b/>
          <w:bCs/>
        </w:rPr>
      </w:pPr>
      <w:r w:rsidRPr="002D3541">
        <w:rPr>
          <w:b/>
          <w:bCs/>
        </w:rPr>
        <w:t>Coverage and Equity</w:t>
      </w:r>
    </w:p>
    <w:p w14:paraId="2F153E12" w14:textId="04568959" w:rsidR="00A46BB2" w:rsidRPr="00E6431A" w:rsidRDefault="00E6431A" w:rsidP="00E6431A">
      <w:pPr>
        <w:pStyle w:val="Caption"/>
        <w:rPr>
          <w:rFonts w:ascii="Arial" w:hAnsi="Arial" w:cs="Arial"/>
          <w:color w:val="auto"/>
          <w:sz w:val="22"/>
        </w:rPr>
      </w:pPr>
      <w:r w:rsidRPr="00E6431A">
        <w:rPr>
          <w:rFonts w:ascii="Arial" w:hAnsi="Arial" w:cs="Arial"/>
          <w:color w:val="auto"/>
          <w:sz w:val="22"/>
        </w:rPr>
        <w:t xml:space="preserve">Figure </w:t>
      </w:r>
      <w:r w:rsidRPr="00E6431A">
        <w:rPr>
          <w:rFonts w:ascii="Arial" w:hAnsi="Arial" w:cs="Arial"/>
          <w:color w:val="auto"/>
          <w:sz w:val="22"/>
        </w:rPr>
        <w:fldChar w:fldCharType="begin"/>
      </w:r>
      <w:r w:rsidRPr="00E6431A">
        <w:rPr>
          <w:rFonts w:ascii="Arial" w:hAnsi="Arial" w:cs="Arial"/>
          <w:color w:val="auto"/>
          <w:sz w:val="22"/>
        </w:rPr>
        <w:instrText xml:space="preserve"> SEQ Figure \* ARABIC </w:instrText>
      </w:r>
      <w:r w:rsidRPr="00E6431A">
        <w:rPr>
          <w:rFonts w:ascii="Arial" w:hAnsi="Arial" w:cs="Arial"/>
          <w:color w:val="auto"/>
          <w:sz w:val="22"/>
        </w:rPr>
        <w:fldChar w:fldCharType="separate"/>
      </w:r>
      <w:r>
        <w:rPr>
          <w:rFonts w:ascii="Arial" w:hAnsi="Arial" w:cs="Arial"/>
          <w:noProof/>
          <w:color w:val="auto"/>
          <w:sz w:val="22"/>
        </w:rPr>
        <w:t>2</w:t>
      </w:r>
      <w:r w:rsidRPr="00E6431A">
        <w:rPr>
          <w:rFonts w:ascii="Arial" w:hAnsi="Arial" w:cs="Arial"/>
          <w:color w:val="auto"/>
          <w:sz w:val="22"/>
        </w:rPr>
        <w:fldChar w:fldCharType="end"/>
      </w:r>
      <w:r w:rsidRPr="00E6431A">
        <w:rPr>
          <w:rFonts w:ascii="Arial" w:hAnsi="Arial" w:cs="Arial"/>
          <w:color w:val="auto"/>
          <w:sz w:val="22"/>
        </w:rPr>
        <w:t xml:space="preserve">: </w:t>
      </w:r>
      <w:r w:rsidR="00A46BB2" w:rsidRPr="00E6431A">
        <w:rPr>
          <w:rFonts w:ascii="Arial" w:hAnsi="Arial" w:cs="Arial"/>
          <w:color w:val="auto"/>
          <w:sz w:val="22"/>
        </w:rPr>
        <w:t xml:space="preserve">All vaccines </w:t>
      </w:r>
      <w:r w:rsidRPr="00E6431A">
        <w:rPr>
          <w:rFonts w:ascii="Arial" w:hAnsi="Arial" w:cs="Arial"/>
          <w:color w:val="auto"/>
          <w:sz w:val="22"/>
        </w:rPr>
        <w:t xml:space="preserve">national </w:t>
      </w:r>
      <w:r w:rsidR="00A46BB2" w:rsidRPr="00E6431A">
        <w:rPr>
          <w:rFonts w:ascii="Arial" w:hAnsi="Arial" w:cs="Arial"/>
          <w:color w:val="auto"/>
          <w:sz w:val="22"/>
        </w:rPr>
        <w:t>coverage</w:t>
      </w:r>
      <w:r w:rsidRPr="00E6431A">
        <w:rPr>
          <w:rFonts w:ascii="Arial" w:hAnsi="Arial" w:cs="Arial"/>
          <w:color w:val="auto"/>
          <w:sz w:val="22"/>
        </w:rPr>
        <w:t>, Pakistan,</w:t>
      </w:r>
      <w:r w:rsidR="00A46BB2" w:rsidRPr="00E6431A">
        <w:rPr>
          <w:rFonts w:ascii="Arial" w:hAnsi="Arial" w:cs="Arial"/>
          <w:color w:val="auto"/>
          <w:sz w:val="22"/>
        </w:rPr>
        <w:t xml:space="preserve"> 2000-201</w:t>
      </w:r>
      <w:r w:rsidR="0020623E">
        <w:rPr>
          <w:rFonts w:ascii="Arial" w:hAnsi="Arial" w:cs="Arial"/>
          <w:color w:val="auto"/>
          <w:sz w:val="22"/>
        </w:rPr>
        <w:t>5</w:t>
      </w:r>
    </w:p>
    <w:p w14:paraId="4B587F4D" w14:textId="68CF2693" w:rsidR="00E86411" w:rsidRPr="00897DBD" w:rsidRDefault="00A46BB2" w:rsidP="00897DBD">
      <w:pPr>
        <w:jc w:val="center"/>
        <w:rPr>
          <w:b/>
          <w:bCs/>
        </w:rPr>
      </w:pPr>
      <w:r w:rsidRPr="002D3541">
        <w:rPr>
          <w:b/>
          <w:bCs/>
          <w:noProof/>
          <w:lang w:eastAsia="zh-CN"/>
        </w:rPr>
        <w:drawing>
          <wp:inline distT="0" distB="0" distL="0" distR="0" wp14:anchorId="6C7FB5BD" wp14:editId="429B59E5">
            <wp:extent cx="4410075" cy="3267927"/>
            <wp:effectExtent l="0" t="0" r="0" b="8890"/>
            <wp:docPr id="2048" name="Picture 2048" descr="D:\data\GVAP Reports\2016\1. GVAP secretariat report 2016\1. Secretariat report\G &amp; SO indicators\1st Draft\G3 Coverage\jan visualizations DTP3 per country\Punch cards per country\pakis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1. GVAP secretariat report 2016\1. Secretariat report\G &amp; SO indicators\1st Draft\G3 Coverage\jan visualizations DTP3 per country\Punch cards per country\pakist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9014" cy="3267141"/>
                    </a:xfrm>
                    <a:prstGeom prst="rect">
                      <a:avLst/>
                    </a:prstGeom>
                    <a:noFill/>
                    <a:ln>
                      <a:noFill/>
                    </a:ln>
                  </pic:spPr>
                </pic:pic>
              </a:graphicData>
            </a:graphic>
          </wp:inline>
        </w:drawing>
      </w:r>
      <w:r w:rsidR="006212CA">
        <w:rPr>
          <w:noProof/>
          <w:lang w:eastAsia="zh-CN"/>
        </w:rPr>
        <w:drawing>
          <wp:inline distT="0" distB="0" distL="0" distR="0" wp14:anchorId="408EB94B" wp14:editId="3E6745B7">
            <wp:extent cx="3552825" cy="818515"/>
            <wp:effectExtent l="0" t="0" r="9525" b="635"/>
            <wp:docPr id="7" name="Picture 7" descr="D:\data\GVAP Reports\2016\3. Scrore Cards 2016\jan visualizations DTP3 per country\Punch cards per country\_legend-punchcard.jpg"/>
            <wp:cNvGraphicFramePr/>
            <a:graphic xmlns:a="http://schemas.openxmlformats.org/drawingml/2006/main">
              <a:graphicData uri="http://schemas.openxmlformats.org/drawingml/2006/picture">
                <pic:pic xmlns:pic="http://schemas.openxmlformats.org/drawingml/2006/picture">
                  <pic:nvPicPr>
                    <pic:cNvPr id="7" name="Picture 7" descr="D:\data\GVAP Reports\2016\3. Scrore Cards 2016\jan visualizations DTP3 per country\Punch cards per country\_legend-punchcard.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2825" cy="818515"/>
                    </a:xfrm>
                    <a:prstGeom prst="rect">
                      <a:avLst/>
                    </a:prstGeom>
                    <a:noFill/>
                    <a:ln>
                      <a:noFill/>
                    </a:ln>
                  </pic:spPr>
                </pic:pic>
              </a:graphicData>
            </a:graphic>
          </wp:inline>
        </w:drawing>
      </w:r>
      <w:bookmarkStart w:id="0" w:name="_GoBack"/>
      <w:bookmarkEnd w:id="0"/>
    </w:p>
    <w:sectPr w:rsidR="00E86411" w:rsidRPr="00897DBD" w:rsidSect="00385B92">
      <w:footerReference w:type="default" r:id="rId11"/>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89549" w14:textId="77777777" w:rsidR="00C1351D" w:rsidRDefault="00C1351D">
      <w:pPr>
        <w:spacing w:after="0" w:line="240" w:lineRule="auto"/>
      </w:pPr>
      <w:r>
        <w:separator/>
      </w:r>
    </w:p>
  </w:endnote>
  <w:endnote w:type="continuationSeparator" w:id="0">
    <w:p w14:paraId="7D8763D9" w14:textId="77777777" w:rsidR="00C1351D" w:rsidRDefault="00C1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sans-serif">
    <w:altName w:val="Arial"/>
    <w:charset w:val="00"/>
    <w:family w:val="swiss"/>
    <w:pitch w:val="variable"/>
    <w:sig w:usb0="00000000"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E7B36" w14:textId="0488DA66" w:rsidR="0037485C" w:rsidRDefault="0037485C" w:rsidP="002C2C6B">
    <w:pPr>
      <w:pStyle w:val="Footer"/>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A3B5C" w14:textId="77777777" w:rsidR="00C1351D" w:rsidRDefault="00C1351D">
      <w:pPr>
        <w:spacing w:after="0" w:line="240" w:lineRule="auto"/>
      </w:pPr>
      <w:r>
        <w:separator/>
      </w:r>
    </w:p>
  </w:footnote>
  <w:footnote w:type="continuationSeparator" w:id="0">
    <w:p w14:paraId="5A4C77A8" w14:textId="77777777" w:rsidR="00C1351D" w:rsidRDefault="00C135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22F210B"/>
    <w:multiLevelType w:val="hybridMultilevel"/>
    <w:tmpl w:val="29A2B8EE"/>
    <w:lvl w:ilvl="0" w:tplc="28EAFE1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6D7B42"/>
    <w:multiLevelType w:val="hybridMultilevel"/>
    <w:tmpl w:val="81E6D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A590C9C"/>
    <w:multiLevelType w:val="hybridMultilevel"/>
    <w:tmpl w:val="DB2CC0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7">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2">
    <w:nsid w:val="6F63022C"/>
    <w:multiLevelType w:val="hybridMultilevel"/>
    <w:tmpl w:val="23D04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4">
    <w:nsid w:val="79726D08"/>
    <w:multiLevelType w:val="hybridMultilevel"/>
    <w:tmpl w:val="200C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7">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10"/>
  </w:num>
  <w:num w:numId="5">
    <w:abstractNumId w:val="19"/>
  </w:num>
  <w:num w:numId="6">
    <w:abstractNumId w:val="2"/>
  </w:num>
  <w:num w:numId="7">
    <w:abstractNumId w:val="6"/>
  </w:num>
  <w:num w:numId="8">
    <w:abstractNumId w:val="17"/>
  </w:num>
  <w:num w:numId="9">
    <w:abstractNumId w:val="5"/>
  </w:num>
  <w:num w:numId="10">
    <w:abstractNumId w:val="25"/>
  </w:num>
  <w:num w:numId="11">
    <w:abstractNumId w:val="23"/>
  </w:num>
  <w:num w:numId="12">
    <w:abstractNumId w:val="14"/>
  </w:num>
  <w:num w:numId="13">
    <w:abstractNumId w:val="21"/>
  </w:num>
  <w:num w:numId="14">
    <w:abstractNumId w:val="16"/>
  </w:num>
  <w:num w:numId="15">
    <w:abstractNumId w:val="26"/>
  </w:num>
  <w:num w:numId="16">
    <w:abstractNumId w:val="9"/>
  </w:num>
  <w:num w:numId="17">
    <w:abstractNumId w:val="18"/>
  </w:num>
  <w:num w:numId="18">
    <w:abstractNumId w:val="12"/>
  </w:num>
  <w:num w:numId="19">
    <w:abstractNumId w:val="27"/>
  </w:num>
  <w:num w:numId="20">
    <w:abstractNumId w:val="1"/>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6"/>
  </w:num>
  <w:num w:numId="25">
    <w:abstractNumId w:val="10"/>
  </w:num>
  <w:num w:numId="26">
    <w:abstractNumId w:val="0"/>
  </w:num>
  <w:num w:numId="27">
    <w:abstractNumId w:val="20"/>
  </w:num>
  <w:num w:numId="28">
    <w:abstractNumId w:val="22"/>
  </w:num>
  <w:num w:numId="29">
    <w:abstractNumId w:val="24"/>
  </w:num>
  <w:num w:numId="30">
    <w:abstractNumId w:val="8"/>
  </w:num>
  <w:num w:numId="31">
    <w:abstractNumId w:val="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23AF"/>
    <w:rsid w:val="0000352E"/>
    <w:rsid w:val="00052693"/>
    <w:rsid w:val="000570A2"/>
    <w:rsid w:val="00066B87"/>
    <w:rsid w:val="0007442D"/>
    <w:rsid w:val="00081B6C"/>
    <w:rsid w:val="00085A2D"/>
    <w:rsid w:val="0009247D"/>
    <w:rsid w:val="00096E70"/>
    <w:rsid w:val="000C2C44"/>
    <w:rsid w:val="000D0834"/>
    <w:rsid w:val="000E3D3E"/>
    <w:rsid w:val="001027D1"/>
    <w:rsid w:val="00131E6A"/>
    <w:rsid w:val="001510E3"/>
    <w:rsid w:val="00163179"/>
    <w:rsid w:val="001B0097"/>
    <w:rsid w:val="001C1193"/>
    <w:rsid w:val="001C1E4D"/>
    <w:rsid w:val="001C5026"/>
    <w:rsid w:val="001D7062"/>
    <w:rsid w:val="001F2D8D"/>
    <w:rsid w:val="001F7C07"/>
    <w:rsid w:val="0020623E"/>
    <w:rsid w:val="002258E3"/>
    <w:rsid w:val="002327A5"/>
    <w:rsid w:val="00232D9A"/>
    <w:rsid w:val="00240028"/>
    <w:rsid w:val="00243D0F"/>
    <w:rsid w:val="002679F6"/>
    <w:rsid w:val="002818D0"/>
    <w:rsid w:val="00281CEF"/>
    <w:rsid w:val="00285D91"/>
    <w:rsid w:val="00292589"/>
    <w:rsid w:val="002A1D89"/>
    <w:rsid w:val="002B73D6"/>
    <w:rsid w:val="002C0BCF"/>
    <w:rsid w:val="002C2C6B"/>
    <w:rsid w:val="002D3541"/>
    <w:rsid w:val="002D61F5"/>
    <w:rsid w:val="002D762A"/>
    <w:rsid w:val="002F1749"/>
    <w:rsid w:val="002F20C9"/>
    <w:rsid w:val="002F3739"/>
    <w:rsid w:val="003219D9"/>
    <w:rsid w:val="00322004"/>
    <w:rsid w:val="00366E59"/>
    <w:rsid w:val="00370616"/>
    <w:rsid w:val="00371B50"/>
    <w:rsid w:val="00373BA5"/>
    <w:rsid w:val="0037485C"/>
    <w:rsid w:val="00374A4C"/>
    <w:rsid w:val="00385B92"/>
    <w:rsid w:val="003A5EBF"/>
    <w:rsid w:val="003A77B2"/>
    <w:rsid w:val="003B6F84"/>
    <w:rsid w:val="003D24BB"/>
    <w:rsid w:val="003D6679"/>
    <w:rsid w:val="003E30EC"/>
    <w:rsid w:val="003F00DA"/>
    <w:rsid w:val="003F4825"/>
    <w:rsid w:val="00422027"/>
    <w:rsid w:val="00432B70"/>
    <w:rsid w:val="00436537"/>
    <w:rsid w:val="00441EDC"/>
    <w:rsid w:val="00457E0A"/>
    <w:rsid w:val="00460FC0"/>
    <w:rsid w:val="00462998"/>
    <w:rsid w:val="004744FE"/>
    <w:rsid w:val="004826EF"/>
    <w:rsid w:val="00490863"/>
    <w:rsid w:val="00492F98"/>
    <w:rsid w:val="004A394A"/>
    <w:rsid w:val="004B5B75"/>
    <w:rsid w:val="004D307D"/>
    <w:rsid w:val="004E2E87"/>
    <w:rsid w:val="004F6777"/>
    <w:rsid w:val="00500171"/>
    <w:rsid w:val="0050564C"/>
    <w:rsid w:val="005133F8"/>
    <w:rsid w:val="00513BF2"/>
    <w:rsid w:val="0052016B"/>
    <w:rsid w:val="00527B61"/>
    <w:rsid w:val="00530FEA"/>
    <w:rsid w:val="00532476"/>
    <w:rsid w:val="00534013"/>
    <w:rsid w:val="0056171F"/>
    <w:rsid w:val="005631F6"/>
    <w:rsid w:val="00567723"/>
    <w:rsid w:val="0058000D"/>
    <w:rsid w:val="005B6B29"/>
    <w:rsid w:val="005C6F1C"/>
    <w:rsid w:val="005F0283"/>
    <w:rsid w:val="005F2B70"/>
    <w:rsid w:val="005F6A81"/>
    <w:rsid w:val="00602C0A"/>
    <w:rsid w:val="00605243"/>
    <w:rsid w:val="006212CA"/>
    <w:rsid w:val="0063008E"/>
    <w:rsid w:val="0063770B"/>
    <w:rsid w:val="006410AE"/>
    <w:rsid w:val="00641572"/>
    <w:rsid w:val="00646B5F"/>
    <w:rsid w:val="006842AB"/>
    <w:rsid w:val="00691245"/>
    <w:rsid w:val="00696E6A"/>
    <w:rsid w:val="006A4380"/>
    <w:rsid w:val="006B156B"/>
    <w:rsid w:val="006C334B"/>
    <w:rsid w:val="006F18CE"/>
    <w:rsid w:val="007033F7"/>
    <w:rsid w:val="0076408F"/>
    <w:rsid w:val="00767749"/>
    <w:rsid w:val="00770EEA"/>
    <w:rsid w:val="0079008F"/>
    <w:rsid w:val="00797196"/>
    <w:rsid w:val="007A35F6"/>
    <w:rsid w:val="007B053A"/>
    <w:rsid w:val="007C5F79"/>
    <w:rsid w:val="007D16A4"/>
    <w:rsid w:val="007D2AA9"/>
    <w:rsid w:val="007E0DEE"/>
    <w:rsid w:val="007F0729"/>
    <w:rsid w:val="008045DC"/>
    <w:rsid w:val="008053B7"/>
    <w:rsid w:val="008105B2"/>
    <w:rsid w:val="00824C6B"/>
    <w:rsid w:val="00825812"/>
    <w:rsid w:val="0083568C"/>
    <w:rsid w:val="008533CC"/>
    <w:rsid w:val="00856B69"/>
    <w:rsid w:val="00861552"/>
    <w:rsid w:val="00863F77"/>
    <w:rsid w:val="00865907"/>
    <w:rsid w:val="00871B75"/>
    <w:rsid w:val="0087403D"/>
    <w:rsid w:val="00883C0A"/>
    <w:rsid w:val="00897DBD"/>
    <w:rsid w:val="008A1C67"/>
    <w:rsid w:val="008A1F3D"/>
    <w:rsid w:val="008B503A"/>
    <w:rsid w:val="008C1347"/>
    <w:rsid w:val="008C4ABC"/>
    <w:rsid w:val="008E4926"/>
    <w:rsid w:val="008E7AA0"/>
    <w:rsid w:val="008F4F49"/>
    <w:rsid w:val="009318B8"/>
    <w:rsid w:val="00940E98"/>
    <w:rsid w:val="009563E8"/>
    <w:rsid w:val="00965288"/>
    <w:rsid w:val="009745BB"/>
    <w:rsid w:val="00987DD9"/>
    <w:rsid w:val="009A2C4E"/>
    <w:rsid w:val="009A5026"/>
    <w:rsid w:val="009B091D"/>
    <w:rsid w:val="009C09D8"/>
    <w:rsid w:val="009C42C9"/>
    <w:rsid w:val="009C6DBE"/>
    <w:rsid w:val="009E1E59"/>
    <w:rsid w:val="009E2D1E"/>
    <w:rsid w:val="009F11D6"/>
    <w:rsid w:val="009F3102"/>
    <w:rsid w:val="00A11AC1"/>
    <w:rsid w:val="00A32CA3"/>
    <w:rsid w:val="00A44D74"/>
    <w:rsid w:val="00A46BB2"/>
    <w:rsid w:val="00A779B6"/>
    <w:rsid w:val="00AC7954"/>
    <w:rsid w:val="00AE58AF"/>
    <w:rsid w:val="00AE7557"/>
    <w:rsid w:val="00B068A2"/>
    <w:rsid w:val="00B13423"/>
    <w:rsid w:val="00B16F22"/>
    <w:rsid w:val="00B218CC"/>
    <w:rsid w:val="00B31311"/>
    <w:rsid w:val="00B33CD7"/>
    <w:rsid w:val="00B3613C"/>
    <w:rsid w:val="00B84CF9"/>
    <w:rsid w:val="00B86047"/>
    <w:rsid w:val="00BA2589"/>
    <w:rsid w:val="00BF0D06"/>
    <w:rsid w:val="00BF14CF"/>
    <w:rsid w:val="00BF4CFA"/>
    <w:rsid w:val="00BF58AC"/>
    <w:rsid w:val="00C015DD"/>
    <w:rsid w:val="00C1351D"/>
    <w:rsid w:val="00C20751"/>
    <w:rsid w:val="00C2304E"/>
    <w:rsid w:val="00C275E8"/>
    <w:rsid w:val="00C3329B"/>
    <w:rsid w:val="00C4191A"/>
    <w:rsid w:val="00C67C9D"/>
    <w:rsid w:val="00CD3FD9"/>
    <w:rsid w:val="00CF0E45"/>
    <w:rsid w:val="00D00DC6"/>
    <w:rsid w:val="00D17551"/>
    <w:rsid w:val="00D27E92"/>
    <w:rsid w:val="00D30DD8"/>
    <w:rsid w:val="00D732C7"/>
    <w:rsid w:val="00D91AC9"/>
    <w:rsid w:val="00D9435D"/>
    <w:rsid w:val="00D9563B"/>
    <w:rsid w:val="00D95B14"/>
    <w:rsid w:val="00DC5960"/>
    <w:rsid w:val="00DC6344"/>
    <w:rsid w:val="00DE4597"/>
    <w:rsid w:val="00E11B99"/>
    <w:rsid w:val="00E154A8"/>
    <w:rsid w:val="00E1686A"/>
    <w:rsid w:val="00E37109"/>
    <w:rsid w:val="00E4355C"/>
    <w:rsid w:val="00E6431A"/>
    <w:rsid w:val="00E7237E"/>
    <w:rsid w:val="00E85FA1"/>
    <w:rsid w:val="00E86411"/>
    <w:rsid w:val="00EB059A"/>
    <w:rsid w:val="00EC5704"/>
    <w:rsid w:val="00F36758"/>
    <w:rsid w:val="00F37458"/>
    <w:rsid w:val="00F460E0"/>
    <w:rsid w:val="00F577A7"/>
    <w:rsid w:val="00F63D60"/>
    <w:rsid w:val="00F64BD6"/>
    <w:rsid w:val="00F81B65"/>
    <w:rsid w:val="00F8483D"/>
    <w:rsid w:val="00F85BA5"/>
    <w:rsid w:val="00FC041A"/>
    <w:rsid w:val="00FD688B"/>
    <w:rsid w:val="00FF015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NormalWeb">
    <w:name w:val="Normal (Web)"/>
    <w:basedOn w:val="Normal"/>
    <w:uiPriority w:val="99"/>
    <w:semiHidden/>
    <w:unhideWhenUsed/>
    <w:rsid w:val="00066B8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Default">
    <w:name w:val="Default"/>
    <w:rsid w:val="00F64BD6"/>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2A1D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D89"/>
    <w:rPr>
      <w:sz w:val="20"/>
      <w:szCs w:val="20"/>
    </w:rPr>
  </w:style>
  <w:style w:type="paragraph" w:styleId="Caption">
    <w:name w:val="caption"/>
    <w:basedOn w:val="Normal"/>
    <w:next w:val="Normal"/>
    <w:uiPriority w:val="35"/>
    <w:unhideWhenUsed/>
    <w:qFormat/>
    <w:rsid w:val="00E6431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NormalWeb">
    <w:name w:val="Normal (Web)"/>
    <w:basedOn w:val="Normal"/>
    <w:uiPriority w:val="99"/>
    <w:semiHidden/>
    <w:unhideWhenUsed/>
    <w:rsid w:val="00066B8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Default">
    <w:name w:val="Default"/>
    <w:rsid w:val="00F64BD6"/>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2A1D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D89"/>
    <w:rPr>
      <w:sz w:val="20"/>
      <w:szCs w:val="20"/>
    </w:rPr>
  </w:style>
  <w:style w:type="paragraph" w:styleId="Caption">
    <w:name w:val="caption"/>
    <w:basedOn w:val="Normal"/>
    <w:next w:val="Normal"/>
    <w:uiPriority w:val="35"/>
    <w:unhideWhenUsed/>
    <w:qFormat/>
    <w:rsid w:val="00E6431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45731957">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726097497">
      <w:bodyDiv w:val="1"/>
      <w:marLeft w:val="0"/>
      <w:marRight w:val="0"/>
      <w:marTop w:val="0"/>
      <w:marBottom w:val="0"/>
      <w:divBdr>
        <w:top w:val="none" w:sz="0" w:space="0" w:color="auto"/>
        <w:left w:val="none" w:sz="0" w:space="0" w:color="auto"/>
        <w:bottom w:val="none" w:sz="0" w:space="0" w:color="auto"/>
        <w:right w:val="none" w:sz="0" w:space="0" w:color="auto"/>
      </w:divBdr>
    </w:div>
    <w:div w:id="1808352241">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71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E1A19D4-EE61-4513-B341-037A25F2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2016-08-24T06:50:00Z</cp:lastPrinted>
  <dcterms:created xsi:type="dcterms:W3CDTF">2016-08-25T14:40:00Z</dcterms:created>
  <dcterms:modified xsi:type="dcterms:W3CDTF">2016-08-25T14:40:00Z</dcterms:modified>
</cp:coreProperties>
</file>