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BB5" w:rsidRPr="00C27BB5" w:rsidRDefault="00C27BB5" w:rsidP="00C27BB5">
      <w:pPr>
        <w:jc w:val="center"/>
        <w:rPr>
          <w:b/>
          <w:sz w:val="40"/>
          <w:szCs w:val="40"/>
        </w:rPr>
      </w:pPr>
      <w:bookmarkStart w:id="0" w:name="_GoBack"/>
      <w:bookmarkEnd w:id="0"/>
      <w:r w:rsidRPr="00C27BB5">
        <w:rPr>
          <w:b/>
          <w:sz w:val="40"/>
          <w:szCs w:val="40"/>
        </w:rPr>
        <w:t>Global Vaccine Action Plan</w:t>
      </w:r>
    </w:p>
    <w:p w:rsidR="009D32E5" w:rsidRDefault="00C27BB5" w:rsidP="00C27BB5">
      <w:pPr>
        <w:jc w:val="center"/>
        <w:rPr>
          <w:i/>
          <w:sz w:val="40"/>
          <w:szCs w:val="40"/>
        </w:rPr>
      </w:pPr>
      <w:r w:rsidRPr="00C27BB5">
        <w:rPr>
          <w:i/>
          <w:sz w:val="40"/>
          <w:szCs w:val="40"/>
        </w:rPr>
        <w:t>Secretariat Annual Report 2016</w:t>
      </w:r>
    </w:p>
    <w:p w:rsidR="009D32E5" w:rsidRDefault="00C27BB5" w:rsidP="00C27BB5">
      <w:pPr>
        <w:jc w:val="center"/>
        <w:rPr>
          <w:i/>
          <w:sz w:val="40"/>
          <w:szCs w:val="40"/>
        </w:rPr>
      </w:pPr>
      <w:r>
        <w:rPr>
          <w:i/>
          <w:sz w:val="40"/>
          <w:szCs w:val="40"/>
        </w:rPr>
        <w:t>Priority C</w:t>
      </w:r>
      <w:r w:rsidRPr="00C27BB5">
        <w:rPr>
          <w:i/>
          <w:sz w:val="40"/>
          <w:szCs w:val="40"/>
        </w:rPr>
        <w:t xml:space="preserve">ountry report on progress towards </w:t>
      </w:r>
    </w:p>
    <w:p w:rsidR="00734BA0" w:rsidRPr="00C27BB5" w:rsidRDefault="00C27BB5" w:rsidP="00C27BB5">
      <w:pPr>
        <w:jc w:val="center"/>
        <w:rPr>
          <w:i/>
          <w:sz w:val="40"/>
          <w:szCs w:val="40"/>
        </w:rPr>
      </w:pPr>
      <w:r>
        <w:rPr>
          <w:i/>
          <w:sz w:val="40"/>
          <w:szCs w:val="40"/>
        </w:rPr>
        <w:t>GVAP-RVAP</w:t>
      </w:r>
      <w:r w:rsidRPr="00C27BB5">
        <w:rPr>
          <w:i/>
          <w:sz w:val="40"/>
          <w:szCs w:val="40"/>
        </w:rPr>
        <w:t xml:space="preserve"> goals </w:t>
      </w:r>
    </w:p>
    <w:p w:rsidR="009D32E5" w:rsidRDefault="009D32E5" w:rsidP="00C27BB5">
      <w:pPr>
        <w:jc w:val="center"/>
        <w:rPr>
          <w:rFonts w:ascii="Arial" w:hAnsi="Arial"/>
          <w:b/>
          <w:sz w:val="32"/>
        </w:rPr>
      </w:pPr>
    </w:p>
    <w:p w:rsidR="00C27BB5" w:rsidRPr="00C400A7" w:rsidRDefault="00C27BB5" w:rsidP="00C27BB5">
      <w:pPr>
        <w:jc w:val="center"/>
        <w:rPr>
          <w:rFonts w:ascii="Arial" w:hAnsi="Arial"/>
          <w:b/>
          <w:sz w:val="36"/>
        </w:rPr>
      </w:pPr>
      <w:r w:rsidRPr="00C400A7">
        <w:rPr>
          <w:rFonts w:ascii="Arial" w:hAnsi="Arial"/>
          <w:b/>
          <w:sz w:val="36"/>
        </w:rPr>
        <w:t xml:space="preserve">UGANDA </w:t>
      </w:r>
    </w:p>
    <w:p w:rsidR="00C27BB5" w:rsidRDefault="00C27BB5" w:rsidP="00C27BB5">
      <w:pPr>
        <w:jc w:val="center"/>
        <w:rPr>
          <w:rFonts w:ascii="Arial" w:hAnsi="Arial"/>
          <w:b/>
          <w:sz w:val="32"/>
        </w:rPr>
      </w:pPr>
    </w:p>
    <w:p w:rsidR="00457E0A" w:rsidRPr="00BB5F62" w:rsidRDefault="00457E0A" w:rsidP="00457E0A">
      <w:pPr>
        <w:pStyle w:val="ListParagraph"/>
        <w:numPr>
          <w:ilvl w:val="0"/>
          <w:numId w:val="3"/>
        </w:numPr>
        <w:rPr>
          <w:rFonts w:ascii="Arial" w:hAnsi="Arial"/>
          <w:b/>
          <w:sz w:val="26"/>
          <w:szCs w:val="26"/>
        </w:rPr>
      </w:pPr>
      <w:r w:rsidRPr="00BB5F62">
        <w:rPr>
          <w:rFonts w:ascii="Arial" w:hAnsi="Arial"/>
          <w:b/>
          <w:sz w:val="26"/>
          <w:szCs w:val="26"/>
        </w:rPr>
        <w:t xml:space="preserve">Progress towards achievement of GVAP goals </w:t>
      </w:r>
    </w:p>
    <w:p w:rsidR="00457E0A" w:rsidRPr="00457E0A" w:rsidRDefault="00457E0A" w:rsidP="00457E0A">
      <w:pPr>
        <w:pStyle w:val="ListParagraph"/>
        <w:rPr>
          <w:rFonts w:ascii="Arial" w:hAnsi="Arial"/>
          <w:b/>
        </w:rPr>
      </w:pPr>
    </w:p>
    <w:p w:rsidR="00163179" w:rsidRPr="00BB5F62" w:rsidRDefault="00C67C9D" w:rsidP="00163179">
      <w:pPr>
        <w:pStyle w:val="ListParagraph"/>
        <w:numPr>
          <w:ilvl w:val="0"/>
          <w:numId w:val="1"/>
        </w:numPr>
        <w:rPr>
          <w:rFonts w:ascii="Arial" w:hAnsi="Arial"/>
          <w:b/>
          <w:sz w:val="24"/>
          <w:szCs w:val="24"/>
        </w:rPr>
      </w:pPr>
      <w:r w:rsidRPr="00BB5F62">
        <w:rPr>
          <w:rFonts w:ascii="Arial" w:hAnsi="Arial"/>
          <w:b/>
          <w:sz w:val="24"/>
          <w:szCs w:val="24"/>
        </w:rPr>
        <w:t xml:space="preserve">Summary </w:t>
      </w:r>
    </w:p>
    <w:p w:rsidR="00BA2589" w:rsidRDefault="00BA2589" w:rsidP="006A05E4">
      <w:pPr>
        <w:rPr>
          <w:rFonts w:ascii="Arial" w:hAnsi="Arial"/>
        </w:rPr>
      </w:pPr>
      <w:r w:rsidRPr="0000352E">
        <w:rPr>
          <w:rFonts w:ascii="Arial" w:hAnsi="Arial"/>
        </w:rPr>
        <w:t xml:space="preserve">This </w:t>
      </w:r>
      <w:r w:rsidR="006C334B">
        <w:rPr>
          <w:rFonts w:ascii="Arial" w:hAnsi="Arial"/>
        </w:rPr>
        <w:t xml:space="preserve">summary table describes </w:t>
      </w:r>
      <w:r w:rsidRPr="0000352E">
        <w:rPr>
          <w:rFonts w:ascii="Arial" w:hAnsi="Arial"/>
        </w:rPr>
        <w:t xml:space="preserve">the current situation in </w:t>
      </w:r>
      <w:r w:rsidR="006A05E4">
        <w:rPr>
          <w:rFonts w:ascii="Arial" w:hAnsi="Arial"/>
        </w:rPr>
        <w:t>Uganda</w:t>
      </w:r>
      <w:r w:rsidRPr="0000352E">
        <w:rPr>
          <w:rFonts w:ascii="Arial" w:hAnsi="Arial"/>
        </w:rPr>
        <w:t xml:space="preserve"> regarding achieving the GVAP goals.</w:t>
      </w:r>
      <w:r w:rsidR="00492F98">
        <w:rPr>
          <w:rFonts w:ascii="Arial" w:hAnsi="Arial"/>
        </w:rPr>
        <w:t xml:space="preserve"> </w:t>
      </w:r>
      <w:r w:rsidR="00500171">
        <w:rPr>
          <w:rFonts w:ascii="Arial" w:hAnsi="Arial"/>
        </w:rPr>
        <w:t>D</w:t>
      </w:r>
      <w:r w:rsidR="00696E6A">
        <w:rPr>
          <w:rFonts w:ascii="Arial" w:hAnsi="Arial"/>
        </w:rPr>
        <w:t xml:space="preserve">ata </w:t>
      </w:r>
      <w:r w:rsidR="00E11B99">
        <w:rPr>
          <w:rFonts w:ascii="Arial" w:hAnsi="Arial"/>
        </w:rPr>
        <w:t xml:space="preserve">used to assess progress towards achievement of </w:t>
      </w:r>
      <w:r w:rsidR="00696E6A">
        <w:rPr>
          <w:rFonts w:ascii="Arial" w:hAnsi="Arial"/>
        </w:rPr>
        <w:t xml:space="preserve">GVAP goals are included in the annex (Country </w:t>
      </w:r>
      <w:r w:rsidR="00D00DC6">
        <w:rPr>
          <w:rFonts w:ascii="Arial" w:hAnsi="Arial"/>
        </w:rPr>
        <w:t xml:space="preserve">immunization </w:t>
      </w:r>
      <w:r w:rsidR="00696E6A">
        <w:rPr>
          <w:rFonts w:ascii="Arial" w:hAnsi="Arial"/>
        </w:rPr>
        <w:t>profile).</w:t>
      </w:r>
    </w:p>
    <w:tbl>
      <w:tblPr>
        <w:tblW w:w="9249" w:type="dxa"/>
        <w:jc w:val="center"/>
        <w:tblLook w:val="04A0" w:firstRow="1" w:lastRow="0" w:firstColumn="1" w:lastColumn="0" w:noHBand="0" w:noVBand="1"/>
      </w:tblPr>
      <w:tblGrid>
        <w:gridCol w:w="3189"/>
        <w:gridCol w:w="3673"/>
        <w:gridCol w:w="2387"/>
      </w:tblGrid>
      <w:tr w:rsidR="00572AD9" w:rsidRPr="00B13A2F" w:rsidTr="00AB1003">
        <w:trPr>
          <w:trHeight w:val="675"/>
          <w:tblHeader/>
          <w:jc w:val="center"/>
        </w:trPr>
        <w:tc>
          <w:tcPr>
            <w:tcW w:w="31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72AD9" w:rsidRPr="00572AD9" w:rsidRDefault="00572AD9" w:rsidP="00572AD9">
            <w:pPr>
              <w:spacing w:after="0" w:line="240" w:lineRule="auto"/>
              <w:rPr>
                <w:rFonts w:eastAsia="Times New Roman" w:cs="Calibri"/>
                <w:b/>
                <w:bCs/>
                <w:color w:val="000000"/>
                <w:sz w:val="28"/>
                <w:szCs w:val="28"/>
                <w:lang w:eastAsia="en-GB"/>
              </w:rPr>
            </w:pPr>
            <w:r w:rsidRPr="00572AD9">
              <w:rPr>
                <w:rFonts w:eastAsia="Times New Roman" w:cs="Calibri"/>
                <w:b/>
                <w:bCs/>
                <w:color w:val="000000"/>
                <w:sz w:val="28"/>
                <w:szCs w:val="28"/>
                <w:lang w:eastAsia="en-GB"/>
              </w:rPr>
              <w:t>Area</w:t>
            </w:r>
          </w:p>
        </w:tc>
        <w:tc>
          <w:tcPr>
            <w:tcW w:w="3673" w:type="dxa"/>
            <w:tcBorders>
              <w:top w:val="single" w:sz="4" w:space="0" w:color="auto"/>
              <w:left w:val="nil"/>
              <w:bottom w:val="single" w:sz="4" w:space="0" w:color="auto"/>
              <w:right w:val="single" w:sz="4" w:space="0" w:color="auto"/>
            </w:tcBorders>
            <w:shd w:val="clear" w:color="auto" w:fill="auto"/>
            <w:vAlign w:val="center"/>
            <w:hideMark/>
          </w:tcPr>
          <w:p w:rsidR="00572AD9" w:rsidRPr="00572AD9" w:rsidRDefault="00572AD9" w:rsidP="00572AD9">
            <w:pPr>
              <w:spacing w:after="0" w:line="240" w:lineRule="auto"/>
              <w:rPr>
                <w:rFonts w:eastAsia="Times New Roman" w:cs="Calibri"/>
                <w:b/>
                <w:bCs/>
                <w:color w:val="000000"/>
                <w:sz w:val="28"/>
                <w:szCs w:val="28"/>
                <w:lang w:eastAsia="en-GB"/>
              </w:rPr>
            </w:pPr>
            <w:r w:rsidRPr="00572AD9">
              <w:rPr>
                <w:rFonts w:eastAsia="Times New Roman" w:cs="Calibri"/>
                <w:b/>
                <w:bCs/>
                <w:color w:val="000000"/>
                <w:sz w:val="28"/>
                <w:szCs w:val="28"/>
                <w:lang w:eastAsia="en-GB"/>
              </w:rPr>
              <w:t>Indicator</w:t>
            </w:r>
          </w:p>
        </w:tc>
        <w:tc>
          <w:tcPr>
            <w:tcW w:w="2387" w:type="dxa"/>
            <w:tcBorders>
              <w:top w:val="single" w:sz="4" w:space="0" w:color="auto"/>
              <w:left w:val="nil"/>
              <w:bottom w:val="single" w:sz="4" w:space="0" w:color="auto"/>
              <w:right w:val="single" w:sz="4" w:space="0" w:color="auto"/>
            </w:tcBorders>
            <w:shd w:val="clear" w:color="auto" w:fill="auto"/>
            <w:vAlign w:val="center"/>
            <w:hideMark/>
          </w:tcPr>
          <w:p w:rsidR="00572AD9" w:rsidRPr="00572AD9" w:rsidRDefault="00BC6E1F" w:rsidP="00572AD9">
            <w:pPr>
              <w:spacing w:after="0" w:line="240" w:lineRule="auto"/>
              <w:jc w:val="center"/>
              <w:rPr>
                <w:rFonts w:eastAsia="Times New Roman" w:cs="Calibri"/>
                <w:b/>
                <w:bCs/>
                <w:color w:val="000000"/>
                <w:sz w:val="28"/>
                <w:szCs w:val="28"/>
                <w:lang w:eastAsia="en-GB"/>
              </w:rPr>
            </w:pPr>
            <w:r>
              <w:rPr>
                <w:rFonts w:eastAsia="Times New Roman" w:cs="Calibri"/>
                <w:b/>
                <w:bCs/>
                <w:color w:val="000000"/>
                <w:sz w:val="28"/>
                <w:szCs w:val="28"/>
                <w:lang w:eastAsia="en-GB"/>
              </w:rPr>
              <w:t xml:space="preserve">Data for </w:t>
            </w:r>
            <w:r w:rsidR="00572AD9" w:rsidRPr="00572AD9">
              <w:rPr>
                <w:rFonts w:eastAsia="Times New Roman" w:cs="Calibri"/>
                <w:b/>
                <w:bCs/>
                <w:color w:val="000000"/>
                <w:sz w:val="28"/>
                <w:szCs w:val="28"/>
                <w:lang w:eastAsia="en-GB"/>
              </w:rPr>
              <w:t>Uganda</w:t>
            </w:r>
          </w:p>
        </w:tc>
      </w:tr>
      <w:tr w:rsidR="00BC6E1F" w:rsidRPr="00B13A2F" w:rsidTr="00AB1003">
        <w:trPr>
          <w:trHeight w:val="440"/>
          <w:jc w:val="center"/>
        </w:trPr>
        <w:tc>
          <w:tcPr>
            <w:tcW w:w="3189" w:type="dxa"/>
            <w:vMerge w:val="restart"/>
            <w:tcBorders>
              <w:top w:val="nil"/>
              <w:left w:val="single" w:sz="4" w:space="0" w:color="auto"/>
              <w:right w:val="single" w:sz="4" w:space="0" w:color="auto"/>
            </w:tcBorders>
            <w:shd w:val="clear" w:color="000000" w:fill="C5D9F1"/>
            <w:hideMark/>
          </w:tcPr>
          <w:p w:rsidR="00BC6E1F" w:rsidRPr="00572AD9" w:rsidRDefault="00BC6E1F" w:rsidP="00BC6E1F">
            <w:pPr>
              <w:spacing w:after="0" w:line="240" w:lineRule="auto"/>
              <w:rPr>
                <w:rFonts w:eastAsia="Times New Roman" w:cs="Calibri"/>
                <w:b/>
                <w:bCs/>
                <w:color w:val="000000"/>
                <w:lang w:eastAsia="en-GB"/>
              </w:rPr>
            </w:pPr>
            <w:r w:rsidRPr="00572AD9">
              <w:rPr>
                <w:rFonts w:eastAsia="Times New Roman" w:cs="Calibri"/>
                <w:b/>
                <w:bCs/>
                <w:color w:val="000000"/>
                <w:lang w:eastAsia="en-GB"/>
              </w:rPr>
              <w:t>2. Neonatal tetanus elimination</w:t>
            </w:r>
          </w:p>
        </w:tc>
        <w:tc>
          <w:tcPr>
            <w:tcW w:w="3673" w:type="dxa"/>
            <w:tcBorders>
              <w:top w:val="nil"/>
              <w:left w:val="nil"/>
              <w:bottom w:val="single" w:sz="4" w:space="0" w:color="auto"/>
              <w:right w:val="single" w:sz="4" w:space="0" w:color="auto"/>
            </w:tcBorders>
            <w:shd w:val="clear" w:color="000000" w:fill="C5D9F1"/>
            <w:vAlign w:val="center"/>
            <w:hideMark/>
          </w:tcPr>
          <w:p w:rsidR="00BC6E1F" w:rsidRPr="00572AD9" w:rsidRDefault="00AE11AD" w:rsidP="00AE11AD">
            <w:pPr>
              <w:spacing w:after="0" w:line="240" w:lineRule="auto"/>
              <w:rPr>
                <w:rFonts w:eastAsia="Times New Roman" w:cs="Calibri"/>
                <w:b/>
                <w:bCs/>
                <w:color w:val="000000"/>
                <w:lang w:eastAsia="en-GB"/>
              </w:rPr>
            </w:pPr>
            <w:r>
              <w:rPr>
                <w:rFonts w:eastAsia="Times New Roman" w:cs="Calibri"/>
                <w:b/>
                <w:bCs/>
                <w:color w:val="000000"/>
                <w:lang w:eastAsia="en-GB"/>
              </w:rPr>
              <w:t>TT2 c</w:t>
            </w:r>
            <w:r w:rsidR="00BC6E1F" w:rsidRPr="00572AD9">
              <w:rPr>
                <w:rFonts w:eastAsia="Times New Roman" w:cs="Calibri"/>
                <w:b/>
                <w:bCs/>
                <w:color w:val="000000"/>
                <w:lang w:eastAsia="en-GB"/>
              </w:rPr>
              <w:t>overage (reported 2015</w:t>
            </w:r>
            <w:r>
              <w:rPr>
                <w:rFonts w:eastAsia="Times New Roman" w:cs="Calibri"/>
                <w:b/>
                <w:bCs/>
                <w:color w:val="000000"/>
                <w:lang w:eastAsia="en-GB"/>
              </w:rPr>
              <w:t xml:space="preserve"> on JRF</w:t>
            </w:r>
            <w:r w:rsidR="00BC6E1F" w:rsidRPr="00572AD9">
              <w:rPr>
                <w:rFonts w:eastAsia="Times New Roman" w:cs="Calibri"/>
                <w:b/>
                <w:bCs/>
                <w:color w:val="000000"/>
                <w:lang w:eastAsia="en-GB"/>
              </w:rPr>
              <w:t>)</w:t>
            </w:r>
          </w:p>
        </w:tc>
        <w:tc>
          <w:tcPr>
            <w:tcW w:w="2387" w:type="dxa"/>
            <w:tcBorders>
              <w:top w:val="nil"/>
              <w:left w:val="nil"/>
              <w:bottom w:val="single" w:sz="4" w:space="0" w:color="auto"/>
              <w:right w:val="single" w:sz="4" w:space="0" w:color="auto"/>
            </w:tcBorders>
            <w:shd w:val="clear" w:color="000000" w:fill="FF0000"/>
            <w:vAlign w:val="center"/>
            <w:hideMark/>
          </w:tcPr>
          <w:p w:rsidR="00BC6E1F" w:rsidRPr="00572AD9" w:rsidRDefault="00BC6E1F" w:rsidP="00572AD9">
            <w:pPr>
              <w:spacing w:after="0" w:line="240" w:lineRule="auto"/>
              <w:jc w:val="center"/>
              <w:rPr>
                <w:rFonts w:eastAsia="Times New Roman" w:cs="Calibri"/>
                <w:b/>
                <w:bCs/>
                <w:color w:val="000000"/>
                <w:lang w:eastAsia="en-GB"/>
              </w:rPr>
            </w:pPr>
            <w:r w:rsidRPr="00572AD9">
              <w:rPr>
                <w:rFonts w:eastAsia="Times New Roman" w:cs="Calibri"/>
                <w:b/>
                <w:bCs/>
                <w:color w:val="000000"/>
                <w:lang w:eastAsia="en-GB"/>
              </w:rPr>
              <w:t>58%</w:t>
            </w:r>
          </w:p>
        </w:tc>
      </w:tr>
      <w:tr w:rsidR="00BC6E1F" w:rsidRPr="00B13A2F" w:rsidTr="00AB1003">
        <w:trPr>
          <w:trHeight w:val="600"/>
          <w:jc w:val="center"/>
        </w:trPr>
        <w:tc>
          <w:tcPr>
            <w:tcW w:w="3189" w:type="dxa"/>
            <w:vMerge/>
            <w:tcBorders>
              <w:left w:val="single" w:sz="4" w:space="0" w:color="auto"/>
              <w:right w:val="single" w:sz="4" w:space="0" w:color="auto"/>
            </w:tcBorders>
            <w:shd w:val="clear" w:color="000000" w:fill="C5D9F1"/>
            <w:vAlign w:val="center"/>
            <w:hideMark/>
          </w:tcPr>
          <w:p w:rsidR="00BC6E1F" w:rsidRPr="00572AD9" w:rsidRDefault="00BC6E1F" w:rsidP="00BC6E1F">
            <w:pPr>
              <w:spacing w:after="0" w:line="240" w:lineRule="auto"/>
              <w:rPr>
                <w:rFonts w:eastAsia="Times New Roman" w:cs="Calibri"/>
                <w:b/>
                <w:bCs/>
                <w:color w:val="000000"/>
                <w:lang w:eastAsia="en-GB"/>
              </w:rPr>
            </w:pPr>
          </w:p>
        </w:tc>
        <w:tc>
          <w:tcPr>
            <w:tcW w:w="3673" w:type="dxa"/>
            <w:tcBorders>
              <w:top w:val="nil"/>
              <w:left w:val="nil"/>
              <w:bottom w:val="single" w:sz="4" w:space="0" w:color="auto"/>
              <w:right w:val="single" w:sz="4" w:space="0" w:color="auto"/>
            </w:tcBorders>
            <w:shd w:val="clear" w:color="000000" w:fill="C5D9F1"/>
            <w:vAlign w:val="center"/>
            <w:hideMark/>
          </w:tcPr>
          <w:p w:rsidR="00BC6E1F" w:rsidRPr="00572AD9" w:rsidRDefault="00BC6E1F" w:rsidP="00AE11AD">
            <w:pPr>
              <w:spacing w:after="0" w:line="240" w:lineRule="auto"/>
              <w:rPr>
                <w:rFonts w:eastAsia="Times New Roman" w:cs="Calibri"/>
                <w:b/>
                <w:bCs/>
                <w:color w:val="000000"/>
                <w:lang w:eastAsia="en-GB"/>
              </w:rPr>
            </w:pPr>
            <w:r w:rsidRPr="00572AD9">
              <w:rPr>
                <w:rFonts w:eastAsia="Times New Roman" w:cs="Calibri"/>
                <w:b/>
                <w:bCs/>
                <w:color w:val="000000"/>
                <w:lang w:eastAsia="en-GB"/>
              </w:rPr>
              <w:t>P</w:t>
            </w:r>
            <w:r>
              <w:rPr>
                <w:rFonts w:eastAsia="Times New Roman" w:cs="Calibri"/>
                <w:b/>
                <w:bCs/>
                <w:color w:val="000000"/>
                <w:lang w:eastAsia="en-GB"/>
              </w:rPr>
              <w:t>rotection at b</w:t>
            </w:r>
            <w:r w:rsidRPr="00572AD9">
              <w:rPr>
                <w:rFonts w:eastAsia="Times New Roman" w:cs="Calibri"/>
                <w:b/>
                <w:bCs/>
                <w:color w:val="000000"/>
                <w:lang w:eastAsia="en-GB"/>
              </w:rPr>
              <w:t xml:space="preserve">irth against </w:t>
            </w:r>
            <w:r>
              <w:rPr>
                <w:rFonts w:eastAsia="Times New Roman" w:cs="Calibri"/>
                <w:b/>
                <w:bCs/>
                <w:color w:val="000000"/>
                <w:lang w:eastAsia="en-GB"/>
              </w:rPr>
              <w:t>tetanus</w:t>
            </w:r>
            <w:r w:rsidRPr="00572AD9">
              <w:rPr>
                <w:rFonts w:eastAsia="Times New Roman" w:cs="Calibri"/>
                <w:b/>
                <w:bCs/>
                <w:color w:val="000000"/>
                <w:lang w:eastAsia="en-GB"/>
              </w:rPr>
              <w:t xml:space="preserve"> (WUENIC 201</w:t>
            </w:r>
            <w:r w:rsidR="00AE11AD">
              <w:rPr>
                <w:rFonts w:eastAsia="Times New Roman" w:cs="Calibri"/>
                <w:b/>
                <w:bCs/>
                <w:color w:val="000000"/>
                <w:lang w:eastAsia="en-GB"/>
              </w:rPr>
              <w:t>5</w:t>
            </w:r>
            <w:r w:rsidRPr="00572AD9">
              <w:rPr>
                <w:rFonts w:eastAsia="Times New Roman" w:cs="Calibri"/>
                <w:b/>
                <w:bCs/>
                <w:color w:val="000000"/>
                <w:lang w:eastAsia="en-GB"/>
              </w:rPr>
              <w:t>)</w:t>
            </w:r>
          </w:p>
        </w:tc>
        <w:tc>
          <w:tcPr>
            <w:tcW w:w="2387" w:type="dxa"/>
            <w:tcBorders>
              <w:top w:val="nil"/>
              <w:left w:val="nil"/>
              <w:bottom w:val="single" w:sz="4" w:space="0" w:color="auto"/>
              <w:right w:val="single" w:sz="4" w:space="0" w:color="auto"/>
            </w:tcBorders>
            <w:shd w:val="clear" w:color="000000" w:fill="FFC000"/>
            <w:vAlign w:val="center"/>
            <w:hideMark/>
          </w:tcPr>
          <w:p w:rsidR="00BC6E1F" w:rsidRPr="00572AD9" w:rsidRDefault="00BC6E1F" w:rsidP="00572AD9">
            <w:pPr>
              <w:spacing w:after="0" w:line="240" w:lineRule="auto"/>
              <w:jc w:val="center"/>
              <w:rPr>
                <w:rFonts w:eastAsia="Times New Roman" w:cs="Calibri"/>
                <w:b/>
                <w:bCs/>
                <w:color w:val="000000"/>
                <w:lang w:eastAsia="en-GB"/>
              </w:rPr>
            </w:pPr>
            <w:r w:rsidRPr="00572AD9">
              <w:rPr>
                <w:rFonts w:eastAsia="Times New Roman" w:cs="Calibri"/>
                <w:b/>
                <w:bCs/>
                <w:color w:val="000000"/>
                <w:lang w:eastAsia="en-GB"/>
              </w:rPr>
              <w:t>85%</w:t>
            </w:r>
          </w:p>
        </w:tc>
      </w:tr>
      <w:tr w:rsidR="00BC6E1F" w:rsidRPr="00B13A2F" w:rsidTr="00AB1003">
        <w:trPr>
          <w:trHeight w:val="368"/>
          <w:jc w:val="center"/>
        </w:trPr>
        <w:tc>
          <w:tcPr>
            <w:tcW w:w="3189" w:type="dxa"/>
            <w:vMerge/>
            <w:tcBorders>
              <w:left w:val="single" w:sz="4" w:space="0" w:color="auto"/>
              <w:right w:val="single" w:sz="4" w:space="0" w:color="auto"/>
            </w:tcBorders>
            <w:shd w:val="clear" w:color="000000" w:fill="C5D9F1"/>
            <w:hideMark/>
          </w:tcPr>
          <w:p w:rsidR="00BC6E1F" w:rsidRPr="00572AD9" w:rsidRDefault="00BC6E1F" w:rsidP="00572AD9">
            <w:pPr>
              <w:spacing w:after="0" w:line="240" w:lineRule="auto"/>
              <w:rPr>
                <w:rFonts w:eastAsia="Times New Roman" w:cs="Calibri"/>
                <w:b/>
                <w:bCs/>
                <w:color w:val="000000"/>
                <w:lang w:eastAsia="en-GB"/>
              </w:rPr>
            </w:pPr>
          </w:p>
        </w:tc>
        <w:tc>
          <w:tcPr>
            <w:tcW w:w="3673" w:type="dxa"/>
            <w:tcBorders>
              <w:top w:val="nil"/>
              <w:left w:val="nil"/>
              <w:bottom w:val="single" w:sz="4" w:space="0" w:color="auto"/>
              <w:right w:val="single" w:sz="4" w:space="0" w:color="auto"/>
            </w:tcBorders>
            <w:shd w:val="clear" w:color="000000" w:fill="C5D9F1"/>
            <w:hideMark/>
          </w:tcPr>
          <w:p w:rsidR="00BC6E1F" w:rsidRPr="00572AD9" w:rsidRDefault="00BC6E1F" w:rsidP="00572AD9">
            <w:pPr>
              <w:spacing w:after="0" w:line="240" w:lineRule="auto"/>
              <w:rPr>
                <w:rFonts w:eastAsia="Times New Roman" w:cs="Calibri"/>
                <w:b/>
                <w:bCs/>
                <w:color w:val="000000"/>
                <w:lang w:eastAsia="en-GB"/>
              </w:rPr>
            </w:pPr>
            <w:r w:rsidRPr="00572AD9">
              <w:rPr>
                <w:rFonts w:eastAsia="Times New Roman" w:cs="Calibri"/>
                <w:b/>
                <w:bCs/>
                <w:color w:val="000000"/>
                <w:lang w:eastAsia="en-GB"/>
              </w:rPr>
              <w:t>Last SIAs conducted in the country</w:t>
            </w:r>
          </w:p>
        </w:tc>
        <w:tc>
          <w:tcPr>
            <w:tcW w:w="2387" w:type="dxa"/>
            <w:tcBorders>
              <w:top w:val="nil"/>
              <w:left w:val="nil"/>
              <w:bottom w:val="single" w:sz="4" w:space="0" w:color="auto"/>
              <w:right w:val="single" w:sz="4" w:space="0" w:color="auto"/>
            </w:tcBorders>
            <w:shd w:val="clear" w:color="auto" w:fill="auto"/>
            <w:hideMark/>
          </w:tcPr>
          <w:p w:rsidR="00BC6E1F" w:rsidRPr="00572AD9" w:rsidRDefault="00BC6E1F" w:rsidP="00572AD9">
            <w:pPr>
              <w:spacing w:after="0" w:line="240" w:lineRule="auto"/>
              <w:jc w:val="center"/>
              <w:rPr>
                <w:rFonts w:eastAsia="Times New Roman" w:cs="Calibri"/>
                <w:b/>
                <w:bCs/>
                <w:color w:val="000000"/>
                <w:lang w:eastAsia="en-GB"/>
              </w:rPr>
            </w:pPr>
            <w:r w:rsidRPr="00572AD9">
              <w:rPr>
                <w:rFonts w:eastAsia="Times New Roman" w:cs="Calibri"/>
                <w:b/>
                <w:bCs/>
                <w:color w:val="000000"/>
                <w:lang w:eastAsia="en-GB"/>
              </w:rPr>
              <w:t>N/A</w:t>
            </w:r>
          </w:p>
        </w:tc>
      </w:tr>
      <w:tr w:rsidR="00BC6E1F" w:rsidRPr="00B13A2F" w:rsidTr="00AB1003">
        <w:trPr>
          <w:trHeight w:val="512"/>
          <w:jc w:val="center"/>
        </w:trPr>
        <w:tc>
          <w:tcPr>
            <w:tcW w:w="3189" w:type="dxa"/>
            <w:vMerge/>
            <w:tcBorders>
              <w:left w:val="single" w:sz="4" w:space="0" w:color="auto"/>
              <w:bottom w:val="single" w:sz="4" w:space="0" w:color="auto"/>
              <w:right w:val="single" w:sz="4" w:space="0" w:color="auto"/>
            </w:tcBorders>
            <w:shd w:val="clear" w:color="000000" w:fill="C5D9F1"/>
            <w:vAlign w:val="center"/>
            <w:hideMark/>
          </w:tcPr>
          <w:p w:rsidR="00BC6E1F" w:rsidRPr="00572AD9" w:rsidRDefault="00BC6E1F" w:rsidP="00572AD9">
            <w:pPr>
              <w:spacing w:after="0" w:line="240" w:lineRule="auto"/>
              <w:rPr>
                <w:rFonts w:eastAsia="Times New Roman" w:cs="Calibri"/>
                <w:b/>
                <w:bCs/>
                <w:color w:val="000000"/>
                <w:lang w:eastAsia="en-GB"/>
              </w:rPr>
            </w:pPr>
          </w:p>
        </w:tc>
        <w:tc>
          <w:tcPr>
            <w:tcW w:w="3673" w:type="dxa"/>
            <w:tcBorders>
              <w:top w:val="nil"/>
              <w:left w:val="nil"/>
              <w:bottom w:val="single" w:sz="4" w:space="0" w:color="auto"/>
              <w:right w:val="single" w:sz="4" w:space="0" w:color="auto"/>
            </w:tcBorders>
            <w:shd w:val="clear" w:color="000000" w:fill="C5D9F1"/>
            <w:vAlign w:val="center"/>
            <w:hideMark/>
          </w:tcPr>
          <w:p w:rsidR="00BC6E1F" w:rsidRPr="00572AD9" w:rsidRDefault="00BC6E1F" w:rsidP="00572AD9">
            <w:pPr>
              <w:spacing w:after="0" w:line="240" w:lineRule="auto"/>
              <w:rPr>
                <w:rFonts w:eastAsia="Times New Roman" w:cs="Calibri"/>
                <w:b/>
                <w:bCs/>
                <w:color w:val="000000"/>
                <w:lang w:eastAsia="en-GB"/>
              </w:rPr>
            </w:pPr>
            <w:r w:rsidRPr="00572AD9">
              <w:rPr>
                <w:rFonts w:eastAsia="Times New Roman" w:cs="Calibri"/>
                <w:b/>
                <w:bCs/>
                <w:color w:val="000000"/>
                <w:lang w:eastAsia="en-GB"/>
              </w:rPr>
              <w:t>Elimination validation date</w:t>
            </w:r>
          </w:p>
        </w:tc>
        <w:tc>
          <w:tcPr>
            <w:tcW w:w="2387" w:type="dxa"/>
            <w:tcBorders>
              <w:top w:val="nil"/>
              <w:left w:val="nil"/>
              <w:bottom w:val="single" w:sz="4" w:space="0" w:color="auto"/>
              <w:right w:val="single" w:sz="4" w:space="0" w:color="auto"/>
            </w:tcBorders>
            <w:shd w:val="clear" w:color="000000" w:fill="00B050"/>
            <w:vAlign w:val="center"/>
            <w:hideMark/>
          </w:tcPr>
          <w:p w:rsidR="00BC6E1F" w:rsidRPr="00572AD9" w:rsidRDefault="00BC6E1F" w:rsidP="0027368A">
            <w:pPr>
              <w:spacing w:after="0" w:line="240" w:lineRule="auto"/>
              <w:jc w:val="center"/>
              <w:rPr>
                <w:rFonts w:eastAsia="Times New Roman" w:cs="Calibri"/>
                <w:b/>
                <w:bCs/>
                <w:color w:val="000000"/>
                <w:lang w:eastAsia="en-GB"/>
              </w:rPr>
            </w:pPr>
            <w:r w:rsidRPr="00572AD9">
              <w:rPr>
                <w:rFonts w:eastAsia="Times New Roman" w:cs="Calibri"/>
                <w:b/>
                <w:bCs/>
                <w:color w:val="000000"/>
                <w:lang w:eastAsia="en-GB"/>
              </w:rPr>
              <w:t xml:space="preserve">Validated </w:t>
            </w:r>
            <w:r>
              <w:rPr>
                <w:rFonts w:eastAsia="Times New Roman" w:cs="Calibri"/>
                <w:b/>
                <w:bCs/>
                <w:color w:val="000000"/>
                <w:lang w:eastAsia="en-GB"/>
              </w:rPr>
              <w:t>in 201</w:t>
            </w:r>
            <w:r w:rsidR="0027368A">
              <w:rPr>
                <w:rFonts w:eastAsia="Times New Roman" w:cs="Calibri"/>
                <w:b/>
                <w:bCs/>
                <w:color w:val="000000"/>
                <w:lang w:eastAsia="en-GB"/>
              </w:rPr>
              <w:t>1</w:t>
            </w:r>
          </w:p>
        </w:tc>
      </w:tr>
    </w:tbl>
    <w:p w:rsidR="00572AD9" w:rsidRDefault="00572AD9">
      <w:pPr>
        <w:rPr>
          <w:rFonts w:ascii="Arial" w:hAnsi="Arial"/>
        </w:rPr>
        <w:sectPr w:rsidR="00572AD9" w:rsidSect="00734BA0">
          <w:footerReference w:type="default" r:id="rId9"/>
          <w:type w:val="continuous"/>
          <w:pgSz w:w="11906" w:h="16838"/>
          <w:pgMar w:top="1440" w:right="1440" w:bottom="1440" w:left="1440" w:header="709" w:footer="709" w:gutter="0"/>
          <w:cols w:space="708"/>
          <w:docGrid w:linePitch="360"/>
        </w:sectPr>
      </w:pPr>
    </w:p>
    <w:p w:rsidR="003B4E55" w:rsidRDefault="003B4E55" w:rsidP="003B4E55">
      <w:pPr>
        <w:pStyle w:val="ListParagraph"/>
        <w:numPr>
          <w:ilvl w:val="1"/>
          <w:numId w:val="18"/>
        </w:numPr>
        <w:rPr>
          <w:rFonts w:ascii="Arial" w:hAnsi="Arial"/>
          <w:b/>
        </w:rPr>
      </w:pPr>
      <w:r>
        <w:rPr>
          <w:rFonts w:ascii="Arial" w:hAnsi="Arial"/>
          <w:b/>
        </w:rPr>
        <w:lastRenderedPageBreak/>
        <w:t xml:space="preserve">  </w:t>
      </w:r>
      <w:r w:rsidRPr="009318B8">
        <w:rPr>
          <w:rFonts w:ascii="Arial" w:hAnsi="Arial"/>
          <w:b/>
        </w:rPr>
        <w:t xml:space="preserve">Goal 2 : </w:t>
      </w:r>
      <w:r>
        <w:rPr>
          <w:rFonts w:ascii="Arial" w:hAnsi="Arial"/>
          <w:b/>
        </w:rPr>
        <w:t>Meet global and regional elimination targets</w:t>
      </w:r>
    </w:p>
    <w:p w:rsidR="003B4E55" w:rsidRPr="00805389" w:rsidRDefault="0027368A" w:rsidP="00805389">
      <w:pPr>
        <w:rPr>
          <w:rFonts w:ascii="Arial" w:hAnsi="Arial"/>
          <w:b/>
        </w:rPr>
      </w:pPr>
      <w:r>
        <w:rPr>
          <w:rFonts w:ascii="Arial" w:hAnsi="Arial"/>
          <w:b/>
        </w:rPr>
        <w:t xml:space="preserve">3.2.1 </w:t>
      </w:r>
      <w:r w:rsidR="003B4E55" w:rsidRPr="00805389">
        <w:rPr>
          <w:rFonts w:ascii="Arial" w:hAnsi="Arial"/>
          <w:b/>
        </w:rPr>
        <w:t xml:space="preserve">Achieve maternal and neonatal tetanus elimination </w:t>
      </w:r>
    </w:p>
    <w:p w:rsidR="007C2400" w:rsidRDefault="00FD74AA" w:rsidP="007C2400">
      <w:pPr>
        <w:rPr>
          <w:rFonts w:ascii="Arial" w:hAnsi="Arial"/>
        </w:rPr>
      </w:pPr>
      <w:r>
        <w:rPr>
          <w:rFonts w:ascii="Arial" w:hAnsi="Arial"/>
        </w:rPr>
        <w:t>Uganda received validation for having eliminated MNT in 201</w:t>
      </w:r>
      <w:r w:rsidR="00AF31C8">
        <w:rPr>
          <w:rFonts w:ascii="Arial" w:hAnsi="Arial"/>
        </w:rPr>
        <w:t>1</w:t>
      </w:r>
      <w:r>
        <w:rPr>
          <w:rFonts w:ascii="Arial" w:hAnsi="Arial"/>
        </w:rPr>
        <w:t>. The main strategies the country is employing to sustain elimination consist of:</w:t>
      </w:r>
    </w:p>
    <w:p w:rsidR="00FD74AA" w:rsidRDefault="00FD74AA" w:rsidP="00B61247">
      <w:pPr>
        <w:pStyle w:val="ListParagraph"/>
        <w:numPr>
          <w:ilvl w:val="0"/>
          <w:numId w:val="26"/>
        </w:numPr>
        <w:contextualSpacing w:val="0"/>
        <w:rPr>
          <w:rFonts w:ascii="Arial" w:hAnsi="Arial"/>
        </w:rPr>
      </w:pPr>
      <w:r>
        <w:rPr>
          <w:rFonts w:ascii="Arial" w:hAnsi="Arial"/>
        </w:rPr>
        <w:t>TT immunization of high school girls (15-17 year olds) through annual school-based vaccination campaigns;</w:t>
      </w:r>
    </w:p>
    <w:p w:rsidR="00FD74AA" w:rsidRDefault="00FD74AA" w:rsidP="00B61247">
      <w:pPr>
        <w:pStyle w:val="ListParagraph"/>
        <w:numPr>
          <w:ilvl w:val="0"/>
          <w:numId w:val="26"/>
        </w:numPr>
        <w:contextualSpacing w:val="0"/>
        <w:rPr>
          <w:rFonts w:ascii="Arial" w:hAnsi="Arial"/>
        </w:rPr>
      </w:pPr>
      <w:r>
        <w:rPr>
          <w:rFonts w:ascii="Arial" w:hAnsi="Arial"/>
        </w:rPr>
        <w:t>A strong culture of vaccinating all women who come for antenatal care services (the rates of which have been increasing) with at least two doses of TT</w:t>
      </w:r>
      <w:r w:rsidR="00005239">
        <w:rPr>
          <w:rFonts w:ascii="Arial" w:hAnsi="Arial"/>
        </w:rPr>
        <w:t xml:space="preserve">. </w:t>
      </w:r>
    </w:p>
    <w:p w:rsidR="00005239" w:rsidRPr="00FD74AA" w:rsidRDefault="00005239" w:rsidP="00B61247">
      <w:pPr>
        <w:pStyle w:val="ListParagraph"/>
        <w:numPr>
          <w:ilvl w:val="0"/>
          <w:numId w:val="26"/>
        </w:numPr>
        <w:contextualSpacing w:val="0"/>
        <w:rPr>
          <w:rFonts w:ascii="Arial" w:hAnsi="Arial"/>
        </w:rPr>
      </w:pPr>
      <w:r>
        <w:rPr>
          <w:rFonts w:ascii="Arial" w:hAnsi="Arial"/>
        </w:rPr>
        <w:t xml:space="preserve">Mandating of TT vaccination for all women 18-49 years of age, as well as for all 15-17 year old girls through the new Immunization Act. Parents and schools are held </w:t>
      </w:r>
      <w:r>
        <w:rPr>
          <w:rFonts w:ascii="Arial" w:hAnsi="Arial"/>
        </w:rPr>
        <w:lastRenderedPageBreak/>
        <w:t>responsible for ensuring vaccination of girls and can receive fines or imprisonment if they are not (the same holds true for 18-49 year old women).</w:t>
      </w:r>
    </w:p>
    <w:p w:rsidR="007C2400" w:rsidRDefault="00005239" w:rsidP="00005239">
      <w:pPr>
        <w:rPr>
          <w:rFonts w:ascii="Arial" w:hAnsi="Arial"/>
        </w:rPr>
      </w:pPr>
      <w:r>
        <w:rPr>
          <w:rFonts w:ascii="Arial" w:hAnsi="Arial"/>
        </w:rPr>
        <w:t>The current TT coverage rate</w:t>
      </w:r>
      <w:r w:rsidR="00782C2A">
        <w:rPr>
          <w:rFonts w:ascii="Arial" w:hAnsi="Arial"/>
        </w:rPr>
        <w:t xml:space="preserve"> for two or more doses</w:t>
      </w:r>
      <w:r w:rsidRPr="00B61247">
        <w:rPr>
          <w:rFonts w:ascii="Arial" w:hAnsi="Arial"/>
          <w:color w:val="FF0000"/>
        </w:rPr>
        <w:t xml:space="preserve"> </w:t>
      </w:r>
      <w:r>
        <w:rPr>
          <w:rFonts w:ascii="Arial" w:hAnsi="Arial"/>
        </w:rPr>
        <w:t xml:space="preserve">is 58% among </w:t>
      </w:r>
      <w:r w:rsidR="00AF31C8">
        <w:rPr>
          <w:rFonts w:ascii="Arial" w:hAnsi="Arial"/>
        </w:rPr>
        <w:t>pregnant women</w:t>
      </w:r>
      <w:r>
        <w:rPr>
          <w:rFonts w:ascii="Arial" w:hAnsi="Arial"/>
        </w:rPr>
        <w:t>, while the protection at birth (PAB) rate among infants is 85%.</w:t>
      </w:r>
      <w:r w:rsidR="00C95CCD">
        <w:rPr>
          <w:rFonts w:ascii="Arial" w:hAnsi="Arial"/>
        </w:rPr>
        <w:t xml:space="preserve"> The low TT coverage rate is reportedly due to recording problems rather than to women not being vaccinated, as women who have received the full time doses or only need one more dose when they are pregnant are not often not included in the TT2 coverage reports.</w:t>
      </w:r>
    </w:p>
    <w:p w:rsidR="00B61247" w:rsidRDefault="00B61247" w:rsidP="00005239">
      <w:pPr>
        <w:rPr>
          <w:rFonts w:ascii="Arial" w:hAnsi="Arial"/>
        </w:rPr>
      </w:pPr>
      <w:r>
        <w:rPr>
          <w:rFonts w:ascii="Arial" w:hAnsi="Arial"/>
        </w:rPr>
        <w:t xml:space="preserve">There remains some risk of not sustaining the elimination in some areas of the country, however, </w:t>
      </w:r>
      <w:r w:rsidR="0027368A">
        <w:rPr>
          <w:rFonts w:ascii="Arial" w:hAnsi="Arial"/>
        </w:rPr>
        <w:t>due to weak implementation of case-based NNT surveillance in some districts to confirm whether reported cases are truly NNT. A</w:t>
      </w:r>
      <w:r>
        <w:rPr>
          <w:rFonts w:ascii="Arial" w:hAnsi="Arial"/>
        </w:rPr>
        <w:t xml:space="preserve">t least one district in the 2011 </w:t>
      </w:r>
      <w:r w:rsidR="00BC039B">
        <w:rPr>
          <w:rFonts w:ascii="Arial" w:hAnsi="Arial"/>
        </w:rPr>
        <w:t xml:space="preserve">MNT </w:t>
      </w:r>
      <w:r>
        <w:rPr>
          <w:rFonts w:ascii="Arial" w:hAnsi="Arial"/>
        </w:rPr>
        <w:t>risk assessment report had a rate above 1/1,000 live births.</w:t>
      </w:r>
      <w:r w:rsidR="00BC039B">
        <w:rPr>
          <w:rStyle w:val="FootnoteReference"/>
          <w:rFonts w:ascii="Arial" w:hAnsi="Arial"/>
        </w:rPr>
        <w:footnoteReference w:id="1"/>
      </w:r>
      <w:r>
        <w:rPr>
          <w:rFonts w:ascii="Arial" w:hAnsi="Arial"/>
        </w:rPr>
        <w:t xml:space="preserve"> In addition, the stated policy of ring vaccination around a confirmed case is probably not taking place, according to two informants. A further constraint to high TT coverage rates is that target-age girls not enrolled in school are missed through the school-based program. In addition, health personnel have difficulty calculating PAB rates and require training in this.</w:t>
      </w:r>
    </w:p>
    <w:p w:rsidR="00805389" w:rsidRDefault="00805389" w:rsidP="00005239">
      <w:pPr>
        <w:rPr>
          <w:rFonts w:ascii="Arial" w:hAnsi="Arial"/>
        </w:rPr>
      </w:pPr>
      <w:r>
        <w:rPr>
          <w:rFonts w:ascii="Arial" w:hAnsi="Arial"/>
        </w:rPr>
        <w:t>The following steps can help ensure sustainability of MNT elimination:</w:t>
      </w:r>
    </w:p>
    <w:p w:rsidR="00805389" w:rsidRDefault="00805389" w:rsidP="00805389">
      <w:pPr>
        <w:pStyle w:val="ListParagraph"/>
        <w:numPr>
          <w:ilvl w:val="0"/>
          <w:numId w:val="27"/>
        </w:numPr>
        <w:contextualSpacing w:val="0"/>
        <w:rPr>
          <w:rFonts w:ascii="Arial" w:hAnsi="Arial"/>
        </w:rPr>
      </w:pPr>
      <w:r>
        <w:rPr>
          <w:rFonts w:ascii="Arial" w:hAnsi="Arial"/>
        </w:rPr>
        <w:t>Improve NMT surveillance, including investigating and testing all suspected cases;</w:t>
      </w:r>
    </w:p>
    <w:p w:rsidR="00805389" w:rsidRDefault="00805389" w:rsidP="00805389">
      <w:pPr>
        <w:pStyle w:val="ListParagraph"/>
        <w:numPr>
          <w:ilvl w:val="0"/>
          <w:numId w:val="27"/>
        </w:numPr>
        <w:contextualSpacing w:val="0"/>
        <w:rPr>
          <w:rFonts w:ascii="Arial" w:hAnsi="Arial"/>
        </w:rPr>
      </w:pPr>
      <w:r>
        <w:rPr>
          <w:rFonts w:ascii="Arial" w:hAnsi="Arial"/>
        </w:rPr>
        <w:t>Strengthening and sustaining the school-based TT vaccination program for girls, and extend it to 15-17 year old girls not in school;</w:t>
      </w:r>
    </w:p>
    <w:p w:rsidR="00805389" w:rsidRDefault="00805389" w:rsidP="00805389">
      <w:pPr>
        <w:pStyle w:val="ListParagraph"/>
        <w:numPr>
          <w:ilvl w:val="0"/>
          <w:numId w:val="27"/>
        </w:numPr>
        <w:contextualSpacing w:val="0"/>
        <w:rPr>
          <w:rFonts w:ascii="Arial" w:hAnsi="Arial"/>
        </w:rPr>
      </w:pPr>
      <w:r>
        <w:rPr>
          <w:rFonts w:ascii="Arial" w:hAnsi="Arial"/>
        </w:rPr>
        <w:t xml:space="preserve">Provide additional booster doses (of TT or Td) during childhood and include boys, since there have been </w:t>
      </w:r>
      <w:r w:rsidR="00BC039B">
        <w:rPr>
          <w:rFonts w:ascii="Arial" w:hAnsi="Arial"/>
        </w:rPr>
        <w:t xml:space="preserve">a few </w:t>
      </w:r>
      <w:r>
        <w:rPr>
          <w:rFonts w:ascii="Arial" w:hAnsi="Arial"/>
        </w:rPr>
        <w:t xml:space="preserve">cases in </w:t>
      </w:r>
      <w:r w:rsidR="00BC039B">
        <w:rPr>
          <w:rFonts w:ascii="Arial" w:hAnsi="Arial"/>
        </w:rPr>
        <w:t>young men</w:t>
      </w:r>
      <w:r>
        <w:rPr>
          <w:rFonts w:ascii="Arial" w:hAnsi="Arial"/>
        </w:rPr>
        <w:t xml:space="preserve"> following circumcision. This proposal is currently under discussion within the government.</w:t>
      </w:r>
    </w:p>
    <w:p w:rsidR="0098010F" w:rsidRPr="00E6488A" w:rsidRDefault="0098010F" w:rsidP="0098010F">
      <w:pPr>
        <w:pStyle w:val="ListParagraph"/>
        <w:ind w:left="0"/>
        <w:rPr>
          <w:rFonts w:ascii="Arial" w:hAnsi="Arial"/>
        </w:rPr>
      </w:pPr>
    </w:p>
    <w:p w:rsidR="00960450" w:rsidRPr="00960450" w:rsidRDefault="00960450" w:rsidP="00960450">
      <w:pPr>
        <w:rPr>
          <w:rFonts w:ascii="Arial" w:hAnsi="Arial"/>
        </w:rPr>
        <w:sectPr w:rsidR="00960450" w:rsidRPr="00960450" w:rsidSect="00734BA0">
          <w:type w:val="continuous"/>
          <w:pgSz w:w="11906" w:h="16838"/>
          <w:pgMar w:top="1440" w:right="1440" w:bottom="1440" w:left="1440" w:header="709" w:footer="709" w:gutter="0"/>
          <w:cols w:space="708"/>
          <w:docGrid w:linePitch="360"/>
        </w:sectPr>
      </w:pPr>
    </w:p>
    <w:p w:rsidR="006F219F" w:rsidRDefault="006F219F" w:rsidP="006F219F">
      <w:pPr>
        <w:rPr>
          <w:rFonts w:ascii="Arial" w:hAnsi="Arial"/>
          <w:b/>
          <w:sz w:val="24"/>
        </w:rPr>
      </w:pPr>
      <w:r>
        <w:rPr>
          <w:rFonts w:ascii="Arial" w:hAnsi="Arial"/>
          <w:b/>
          <w:sz w:val="24"/>
        </w:rPr>
        <w:lastRenderedPageBreak/>
        <w:t>ANNEX: Country immunization profile</w:t>
      </w:r>
    </w:p>
    <w:p w:rsidR="00F01C3B" w:rsidRPr="00F01C3B" w:rsidRDefault="006F219F" w:rsidP="00385AF1">
      <w:pPr>
        <w:pStyle w:val="ListParagraph"/>
        <w:numPr>
          <w:ilvl w:val="0"/>
          <w:numId w:val="22"/>
        </w:numPr>
        <w:rPr>
          <w:b/>
        </w:rPr>
      </w:pPr>
      <w:r w:rsidRPr="00D151A4">
        <w:rPr>
          <w:b/>
          <w:bCs/>
        </w:rPr>
        <w:t xml:space="preserve">MNT </w:t>
      </w:r>
    </w:p>
    <w:p w:rsidR="00F01C3B" w:rsidRPr="00F01C3B" w:rsidRDefault="00F01C3B" w:rsidP="00F01C3B">
      <w:pPr>
        <w:pStyle w:val="ListParagraph"/>
        <w:ind w:left="0"/>
        <w:rPr>
          <w:bCs/>
        </w:rPr>
      </w:pPr>
    </w:p>
    <w:p w:rsidR="006F219F" w:rsidRPr="00F01C3B" w:rsidRDefault="00F01C3B" w:rsidP="00F01C3B">
      <w:pPr>
        <w:pStyle w:val="ListParagraph"/>
        <w:ind w:left="0"/>
      </w:pPr>
      <w:r w:rsidRPr="00F01C3B">
        <w:rPr>
          <w:bCs/>
        </w:rPr>
        <w:t xml:space="preserve">MNTE </w:t>
      </w:r>
      <w:r w:rsidR="00385AF1" w:rsidRPr="00F01C3B">
        <w:rPr>
          <w:bCs/>
        </w:rPr>
        <w:t xml:space="preserve">elimination </w:t>
      </w:r>
      <w:r w:rsidRPr="00F01C3B">
        <w:rPr>
          <w:bCs/>
        </w:rPr>
        <w:t xml:space="preserve">was </w:t>
      </w:r>
      <w:r w:rsidR="00385AF1" w:rsidRPr="00F01C3B">
        <w:rPr>
          <w:bCs/>
        </w:rPr>
        <w:t>validated in 2011</w:t>
      </w:r>
      <w:r w:rsidR="006F219F" w:rsidRPr="00F01C3B">
        <w:rPr>
          <w:bCs/>
        </w:rPr>
        <w:t>.</w:t>
      </w:r>
      <w:r w:rsidR="006F219F" w:rsidRPr="00F01C3B">
        <w:t xml:space="preserve"> </w:t>
      </w:r>
    </w:p>
    <w:p w:rsidR="006F219F" w:rsidRDefault="006F219F" w:rsidP="006F219F">
      <w:pPr>
        <w:pStyle w:val="ListParagraph"/>
      </w:pPr>
    </w:p>
    <w:p w:rsidR="006F219F" w:rsidRPr="00D151A4" w:rsidRDefault="001F695A" w:rsidP="006F219F">
      <w:pPr>
        <w:pStyle w:val="ListParagraph"/>
        <w:numPr>
          <w:ilvl w:val="0"/>
          <w:numId w:val="22"/>
        </w:numPr>
        <w:rPr>
          <w:b/>
          <w:bCs/>
        </w:rPr>
      </w:pPr>
      <w:r>
        <w:rPr>
          <w:b/>
          <w:bCs/>
        </w:rPr>
        <w:t>Immunization coverage and e</w:t>
      </w:r>
      <w:r w:rsidR="006F219F" w:rsidRPr="00D151A4">
        <w:rPr>
          <w:b/>
          <w:bCs/>
        </w:rPr>
        <w:t>quity</w:t>
      </w:r>
    </w:p>
    <w:p w:rsidR="007D3409" w:rsidRDefault="0087762F" w:rsidP="007D3409">
      <w:pPr>
        <w:pStyle w:val="Caption"/>
        <w:jc w:val="center"/>
        <w:rPr>
          <w:sz w:val="22"/>
        </w:rPr>
      </w:pPr>
      <w:r>
        <w:rPr>
          <w:bCs w:val="0"/>
          <w:noProof/>
          <w:sz w:val="22"/>
          <w:lang w:eastAsia="en-GB"/>
        </w:rPr>
        <w:drawing>
          <wp:inline distT="0" distB="0" distL="0" distR="0">
            <wp:extent cx="3890645" cy="2837815"/>
            <wp:effectExtent l="0" t="0" r="0" b="635"/>
            <wp:docPr id="1" name="Picture 1" descr="uga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gand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90645" cy="2837815"/>
                    </a:xfrm>
                    <a:prstGeom prst="rect">
                      <a:avLst/>
                    </a:prstGeom>
                    <a:noFill/>
                    <a:ln>
                      <a:noFill/>
                    </a:ln>
                  </pic:spPr>
                </pic:pic>
              </a:graphicData>
            </a:graphic>
          </wp:inline>
        </w:drawing>
      </w:r>
    </w:p>
    <w:p w:rsidR="00E6488A" w:rsidRPr="007E5C55" w:rsidRDefault="0087762F" w:rsidP="007E5C55">
      <w:pPr>
        <w:pStyle w:val="Caption"/>
        <w:jc w:val="center"/>
        <w:rPr>
          <w:sz w:val="22"/>
        </w:rPr>
      </w:pPr>
      <w:r>
        <w:rPr>
          <w:noProof/>
          <w:lang w:eastAsia="en-GB"/>
        </w:rPr>
        <w:drawing>
          <wp:inline distT="0" distB="0" distL="0" distR="0">
            <wp:extent cx="3554095" cy="819785"/>
            <wp:effectExtent l="0" t="0" r="8255" b="0"/>
            <wp:docPr id="2" name="Picture 7" descr="D:\data\GVAP Reports\2016\3. Scrore Cards 2016\jan visualizations DTP3 per country\Punch cards per country\_legend-punch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ata\GVAP Reports\2016\3. Scrore Cards 2016\jan visualizations DTP3 per country\Punch cards per country\_legend-punchcard.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54095" cy="819785"/>
                    </a:xfrm>
                    <a:prstGeom prst="rect">
                      <a:avLst/>
                    </a:prstGeom>
                    <a:noFill/>
                    <a:ln>
                      <a:noFill/>
                    </a:ln>
                  </pic:spPr>
                </pic:pic>
              </a:graphicData>
            </a:graphic>
          </wp:inline>
        </w:drawing>
      </w:r>
    </w:p>
    <w:sectPr w:rsidR="00E6488A" w:rsidRPr="007E5C55" w:rsidSect="0063487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4DA8" w:rsidRDefault="00B84DA8">
      <w:pPr>
        <w:spacing w:after="0" w:line="240" w:lineRule="auto"/>
      </w:pPr>
      <w:r>
        <w:separator/>
      </w:r>
    </w:p>
  </w:endnote>
  <w:endnote w:type="continuationSeparator" w:id="0">
    <w:p w:rsidR="00B84DA8" w:rsidRDefault="00B84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488A" w:rsidRDefault="00E6488A">
    <w:pPr>
      <w:pStyle w:val="Footer"/>
      <w:jc w:val="center"/>
    </w:pPr>
    <w:r>
      <w:fldChar w:fldCharType="begin"/>
    </w:r>
    <w:r>
      <w:instrText xml:space="preserve"> PAGE   \* MERGEFORMAT </w:instrText>
    </w:r>
    <w:r>
      <w:fldChar w:fldCharType="separate"/>
    </w:r>
    <w:r w:rsidR="0087762F">
      <w:rPr>
        <w:noProof/>
      </w:rPr>
      <w:t>1</w:t>
    </w:r>
    <w:r>
      <w:rPr>
        <w:noProof/>
      </w:rPr>
      <w:fldChar w:fldCharType="end"/>
    </w:r>
  </w:p>
  <w:p w:rsidR="00E6488A" w:rsidRDefault="00E6488A" w:rsidP="00641A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4DA8" w:rsidRDefault="00B84DA8">
      <w:pPr>
        <w:spacing w:after="0" w:line="240" w:lineRule="auto"/>
      </w:pPr>
      <w:r>
        <w:separator/>
      </w:r>
    </w:p>
  </w:footnote>
  <w:footnote w:type="continuationSeparator" w:id="0">
    <w:p w:rsidR="00B84DA8" w:rsidRDefault="00B84DA8">
      <w:pPr>
        <w:spacing w:after="0" w:line="240" w:lineRule="auto"/>
      </w:pPr>
      <w:r>
        <w:continuationSeparator/>
      </w:r>
    </w:p>
  </w:footnote>
  <w:footnote w:id="1">
    <w:p w:rsidR="00BC039B" w:rsidRPr="00BC039B" w:rsidRDefault="00BC039B">
      <w:pPr>
        <w:pStyle w:val="FootnoteText"/>
      </w:pPr>
      <w:r>
        <w:rPr>
          <w:rStyle w:val="FootnoteReference"/>
        </w:rPr>
        <w:footnoteRef/>
      </w:r>
      <w:r>
        <w:t xml:space="preserve"> cMYP.</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22BCA"/>
    <w:multiLevelType w:val="hybridMultilevel"/>
    <w:tmpl w:val="60F298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DD3098"/>
    <w:multiLevelType w:val="hybridMultilevel"/>
    <w:tmpl w:val="F3E8D56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7FC0D88"/>
    <w:multiLevelType w:val="hybridMultilevel"/>
    <w:tmpl w:val="92B475DA"/>
    <w:lvl w:ilvl="0" w:tplc="04090005">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8F710BA"/>
    <w:multiLevelType w:val="hybridMultilevel"/>
    <w:tmpl w:val="D80015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09FF2851"/>
    <w:multiLevelType w:val="hybridMultilevel"/>
    <w:tmpl w:val="EB5A7962"/>
    <w:lvl w:ilvl="0" w:tplc="04090019">
      <w:start w:val="2"/>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BFE4796"/>
    <w:multiLevelType w:val="hybridMultilevel"/>
    <w:tmpl w:val="2D6047F6"/>
    <w:lvl w:ilvl="0" w:tplc="04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15201945"/>
    <w:multiLevelType w:val="hybridMultilevel"/>
    <w:tmpl w:val="EE3E514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179F56FE"/>
    <w:multiLevelType w:val="hybridMultilevel"/>
    <w:tmpl w:val="4EFCB3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1EE73830"/>
    <w:multiLevelType w:val="hybridMultilevel"/>
    <w:tmpl w:val="95BE3878"/>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20910D11"/>
    <w:multiLevelType w:val="hybridMultilevel"/>
    <w:tmpl w:val="ECF662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2A3E5941"/>
    <w:multiLevelType w:val="multilevel"/>
    <w:tmpl w:val="A5A40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2AE3068E"/>
    <w:multiLevelType w:val="multilevel"/>
    <w:tmpl w:val="417A48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B3A0448"/>
    <w:multiLevelType w:val="hybridMultilevel"/>
    <w:tmpl w:val="BBAC69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03055F6"/>
    <w:multiLevelType w:val="hybridMultilevel"/>
    <w:tmpl w:val="1E0AADD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295309A"/>
    <w:multiLevelType w:val="hybridMultilevel"/>
    <w:tmpl w:val="6C1CFB2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36F6781"/>
    <w:multiLevelType w:val="multilevel"/>
    <w:tmpl w:val="12F245C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4851C67"/>
    <w:multiLevelType w:val="hybridMultilevel"/>
    <w:tmpl w:val="FA10CC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4D5180B"/>
    <w:multiLevelType w:val="hybridMultilevel"/>
    <w:tmpl w:val="AAA283B2"/>
    <w:lvl w:ilvl="0" w:tplc="10421B90">
      <w:numFmt w:val="bullet"/>
      <w:lvlText w:val="-"/>
      <w:lvlJc w:val="left"/>
      <w:pPr>
        <w:ind w:left="1080" w:hanging="360"/>
      </w:pPr>
      <w:rPr>
        <w:rFonts w:ascii="Arial" w:eastAsia="Calibri"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39AB2663"/>
    <w:multiLevelType w:val="multilevel"/>
    <w:tmpl w:val="A5E0EF8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A9B0E47"/>
    <w:multiLevelType w:val="hybridMultilevel"/>
    <w:tmpl w:val="F146A0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
    <w:nsid w:val="3AA214CF"/>
    <w:multiLevelType w:val="hybridMultilevel"/>
    <w:tmpl w:val="DBBEA92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C251F34"/>
    <w:multiLevelType w:val="hybridMultilevel"/>
    <w:tmpl w:val="77B83EF6"/>
    <w:lvl w:ilvl="0" w:tplc="CC78D78A">
      <w:start w:val="1"/>
      <w:numFmt w:val="lowerLetter"/>
      <w:lvlText w:val="%1."/>
      <w:lvlJc w:val="left"/>
      <w:pPr>
        <w:tabs>
          <w:tab w:val="num" w:pos="720"/>
        </w:tabs>
        <w:ind w:left="720" w:hanging="360"/>
      </w:pPr>
    </w:lvl>
    <w:lvl w:ilvl="1" w:tplc="65FE4AFC">
      <w:start w:val="835"/>
      <w:numFmt w:val="bullet"/>
      <w:lvlText w:val="–"/>
      <w:lvlJc w:val="left"/>
      <w:pPr>
        <w:tabs>
          <w:tab w:val="num" w:pos="1440"/>
        </w:tabs>
        <w:ind w:left="1440" w:hanging="360"/>
      </w:pPr>
      <w:rPr>
        <w:rFonts w:ascii="Arial" w:hAnsi="Arial" w:hint="default"/>
      </w:rPr>
    </w:lvl>
    <w:lvl w:ilvl="2" w:tplc="08F4FAD2">
      <w:start w:val="835"/>
      <w:numFmt w:val="bullet"/>
      <w:lvlText w:val="•"/>
      <w:lvlJc w:val="left"/>
      <w:pPr>
        <w:tabs>
          <w:tab w:val="num" w:pos="2160"/>
        </w:tabs>
        <w:ind w:left="2160" w:hanging="360"/>
      </w:pPr>
      <w:rPr>
        <w:rFonts w:ascii="Arial" w:hAnsi="Arial" w:hint="default"/>
      </w:rPr>
    </w:lvl>
    <w:lvl w:ilvl="3" w:tplc="F1E43FCC" w:tentative="1">
      <w:start w:val="1"/>
      <w:numFmt w:val="lowerLetter"/>
      <w:lvlText w:val="%4."/>
      <w:lvlJc w:val="left"/>
      <w:pPr>
        <w:tabs>
          <w:tab w:val="num" w:pos="2880"/>
        </w:tabs>
        <w:ind w:left="2880" w:hanging="360"/>
      </w:pPr>
    </w:lvl>
    <w:lvl w:ilvl="4" w:tplc="EF30CAAE" w:tentative="1">
      <w:start w:val="1"/>
      <w:numFmt w:val="lowerLetter"/>
      <w:lvlText w:val="%5."/>
      <w:lvlJc w:val="left"/>
      <w:pPr>
        <w:tabs>
          <w:tab w:val="num" w:pos="3600"/>
        </w:tabs>
        <w:ind w:left="3600" w:hanging="360"/>
      </w:pPr>
    </w:lvl>
    <w:lvl w:ilvl="5" w:tplc="1D3C0E56" w:tentative="1">
      <w:start w:val="1"/>
      <w:numFmt w:val="lowerLetter"/>
      <w:lvlText w:val="%6."/>
      <w:lvlJc w:val="left"/>
      <w:pPr>
        <w:tabs>
          <w:tab w:val="num" w:pos="4320"/>
        </w:tabs>
        <w:ind w:left="4320" w:hanging="360"/>
      </w:pPr>
    </w:lvl>
    <w:lvl w:ilvl="6" w:tplc="347E5004" w:tentative="1">
      <w:start w:val="1"/>
      <w:numFmt w:val="lowerLetter"/>
      <w:lvlText w:val="%7."/>
      <w:lvlJc w:val="left"/>
      <w:pPr>
        <w:tabs>
          <w:tab w:val="num" w:pos="5040"/>
        </w:tabs>
        <w:ind w:left="5040" w:hanging="360"/>
      </w:pPr>
    </w:lvl>
    <w:lvl w:ilvl="7" w:tplc="1C181A00" w:tentative="1">
      <w:start w:val="1"/>
      <w:numFmt w:val="lowerLetter"/>
      <w:lvlText w:val="%8."/>
      <w:lvlJc w:val="left"/>
      <w:pPr>
        <w:tabs>
          <w:tab w:val="num" w:pos="5760"/>
        </w:tabs>
        <w:ind w:left="5760" w:hanging="360"/>
      </w:pPr>
    </w:lvl>
    <w:lvl w:ilvl="8" w:tplc="C89A567E" w:tentative="1">
      <w:start w:val="1"/>
      <w:numFmt w:val="lowerLetter"/>
      <w:lvlText w:val="%9."/>
      <w:lvlJc w:val="left"/>
      <w:pPr>
        <w:tabs>
          <w:tab w:val="num" w:pos="6480"/>
        </w:tabs>
        <w:ind w:left="6480" w:hanging="360"/>
      </w:pPr>
    </w:lvl>
  </w:abstractNum>
  <w:abstractNum w:abstractNumId="22">
    <w:nsid w:val="4B960D6B"/>
    <w:multiLevelType w:val="hybridMultilevel"/>
    <w:tmpl w:val="F8A2219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10A3FD3"/>
    <w:multiLevelType w:val="hybridMultilevel"/>
    <w:tmpl w:val="60D2E280"/>
    <w:lvl w:ilvl="0" w:tplc="F75E9D44">
      <w:start w:val="1"/>
      <w:numFmt w:val="lowerLetter"/>
      <w:lvlText w:val="%1."/>
      <w:lvlJc w:val="left"/>
      <w:pPr>
        <w:tabs>
          <w:tab w:val="num" w:pos="720"/>
        </w:tabs>
        <w:ind w:left="720" w:hanging="360"/>
      </w:pPr>
    </w:lvl>
    <w:lvl w:ilvl="1" w:tplc="C09222A4" w:tentative="1">
      <w:start w:val="1"/>
      <w:numFmt w:val="lowerLetter"/>
      <w:lvlText w:val="%2."/>
      <w:lvlJc w:val="left"/>
      <w:pPr>
        <w:tabs>
          <w:tab w:val="num" w:pos="1440"/>
        </w:tabs>
        <w:ind w:left="1440" w:hanging="360"/>
      </w:pPr>
    </w:lvl>
    <w:lvl w:ilvl="2" w:tplc="62F4B0F6" w:tentative="1">
      <w:start w:val="1"/>
      <w:numFmt w:val="lowerLetter"/>
      <w:lvlText w:val="%3."/>
      <w:lvlJc w:val="left"/>
      <w:pPr>
        <w:tabs>
          <w:tab w:val="num" w:pos="2160"/>
        </w:tabs>
        <w:ind w:left="2160" w:hanging="360"/>
      </w:pPr>
    </w:lvl>
    <w:lvl w:ilvl="3" w:tplc="4E0CA842" w:tentative="1">
      <w:start w:val="1"/>
      <w:numFmt w:val="lowerLetter"/>
      <w:lvlText w:val="%4."/>
      <w:lvlJc w:val="left"/>
      <w:pPr>
        <w:tabs>
          <w:tab w:val="num" w:pos="2880"/>
        </w:tabs>
        <w:ind w:left="2880" w:hanging="360"/>
      </w:pPr>
    </w:lvl>
    <w:lvl w:ilvl="4" w:tplc="7F66CE10" w:tentative="1">
      <w:start w:val="1"/>
      <w:numFmt w:val="lowerLetter"/>
      <w:lvlText w:val="%5."/>
      <w:lvlJc w:val="left"/>
      <w:pPr>
        <w:tabs>
          <w:tab w:val="num" w:pos="3600"/>
        </w:tabs>
        <w:ind w:left="3600" w:hanging="360"/>
      </w:pPr>
    </w:lvl>
    <w:lvl w:ilvl="5" w:tplc="C7246AA8" w:tentative="1">
      <w:start w:val="1"/>
      <w:numFmt w:val="lowerLetter"/>
      <w:lvlText w:val="%6."/>
      <w:lvlJc w:val="left"/>
      <w:pPr>
        <w:tabs>
          <w:tab w:val="num" w:pos="4320"/>
        </w:tabs>
        <w:ind w:left="4320" w:hanging="360"/>
      </w:pPr>
    </w:lvl>
    <w:lvl w:ilvl="6" w:tplc="31D4196E" w:tentative="1">
      <w:start w:val="1"/>
      <w:numFmt w:val="lowerLetter"/>
      <w:lvlText w:val="%7."/>
      <w:lvlJc w:val="left"/>
      <w:pPr>
        <w:tabs>
          <w:tab w:val="num" w:pos="5040"/>
        </w:tabs>
        <w:ind w:left="5040" w:hanging="360"/>
      </w:pPr>
    </w:lvl>
    <w:lvl w:ilvl="7" w:tplc="FBCED516" w:tentative="1">
      <w:start w:val="1"/>
      <w:numFmt w:val="lowerLetter"/>
      <w:lvlText w:val="%8."/>
      <w:lvlJc w:val="left"/>
      <w:pPr>
        <w:tabs>
          <w:tab w:val="num" w:pos="5760"/>
        </w:tabs>
        <w:ind w:left="5760" w:hanging="360"/>
      </w:pPr>
    </w:lvl>
    <w:lvl w:ilvl="8" w:tplc="2864C6DA" w:tentative="1">
      <w:start w:val="1"/>
      <w:numFmt w:val="lowerLetter"/>
      <w:lvlText w:val="%9."/>
      <w:lvlJc w:val="left"/>
      <w:pPr>
        <w:tabs>
          <w:tab w:val="num" w:pos="6480"/>
        </w:tabs>
        <w:ind w:left="6480" w:hanging="360"/>
      </w:pPr>
    </w:lvl>
  </w:abstractNum>
  <w:abstractNum w:abstractNumId="24">
    <w:nsid w:val="514B7582"/>
    <w:multiLevelType w:val="hybridMultilevel"/>
    <w:tmpl w:val="9AFEA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27F13EF"/>
    <w:multiLevelType w:val="multilevel"/>
    <w:tmpl w:val="F324700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582970CC"/>
    <w:multiLevelType w:val="hybridMultilevel"/>
    <w:tmpl w:val="334C477E"/>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nsid w:val="5B050937"/>
    <w:multiLevelType w:val="hybridMultilevel"/>
    <w:tmpl w:val="7004DC1E"/>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nsid w:val="612109B1"/>
    <w:multiLevelType w:val="hybridMultilevel"/>
    <w:tmpl w:val="CC8E04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344C4D"/>
    <w:multiLevelType w:val="multilevel"/>
    <w:tmpl w:val="D122AE2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64D05912"/>
    <w:multiLevelType w:val="hybridMultilevel"/>
    <w:tmpl w:val="8CCE2F44"/>
    <w:lvl w:ilvl="0" w:tplc="AC7C927C">
      <w:start w:val="1"/>
      <w:numFmt w:val="lowerLetter"/>
      <w:lvlText w:val="%1."/>
      <w:lvlJc w:val="left"/>
      <w:pPr>
        <w:tabs>
          <w:tab w:val="num" w:pos="720"/>
        </w:tabs>
        <w:ind w:left="720" w:hanging="360"/>
      </w:pPr>
    </w:lvl>
    <w:lvl w:ilvl="1" w:tplc="491AC57C" w:tentative="1">
      <w:start w:val="1"/>
      <w:numFmt w:val="lowerLetter"/>
      <w:lvlText w:val="%2."/>
      <w:lvlJc w:val="left"/>
      <w:pPr>
        <w:tabs>
          <w:tab w:val="num" w:pos="1440"/>
        </w:tabs>
        <w:ind w:left="1440" w:hanging="360"/>
      </w:pPr>
    </w:lvl>
    <w:lvl w:ilvl="2" w:tplc="CA2EF9FC" w:tentative="1">
      <w:start w:val="1"/>
      <w:numFmt w:val="lowerLetter"/>
      <w:lvlText w:val="%3."/>
      <w:lvlJc w:val="left"/>
      <w:pPr>
        <w:tabs>
          <w:tab w:val="num" w:pos="2160"/>
        </w:tabs>
        <w:ind w:left="2160" w:hanging="360"/>
      </w:pPr>
    </w:lvl>
    <w:lvl w:ilvl="3" w:tplc="E204790E" w:tentative="1">
      <w:start w:val="1"/>
      <w:numFmt w:val="lowerLetter"/>
      <w:lvlText w:val="%4."/>
      <w:lvlJc w:val="left"/>
      <w:pPr>
        <w:tabs>
          <w:tab w:val="num" w:pos="2880"/>
        </w:tabs>
        <w:ind w:left="2880" w:hanging="360"/>
      </w:pPr>
    </w:lvl>
    <w:lvl w:ilvl="4" w:tplc="8FE4B9D0" w:tentative="1">
      <w:start w:val="1"/>
      <w:numFmt w:val="lowerLetter"/>
      <w:lvlText w:val="%5."/>
      <w:lvlJc w:val="left"/>
      <w:pPr>
        <w:tabs>
          <w:tab w:val="num" w:pos="3600"/>
        </w:tabs>
        <w:ind w:left="3600" w:hanging="360"/>
      </w:pPr>
    </w:lvl>
    <w:lvl w:ilvl="5" w:tplc="0416FB90" w:tentative="1">
      <w:start w:val="1"/>
      <w:numFmt w:val="lowerLetter"/>
      <w:lvlText w:val="%6."/>
      <w:lvlJc w:val="left"/>
      <w:pPr>
        <w:tabs>
          <w:tab w:val="num" w:pos="4320"/>
        </w:tabs>
        <w:ind w:left="4320" w:hanging="360"/>
      </w:pPr>
    </w:lvl>
    <w:lvl w:ilvl="6" w:tplc="8EF4CA38" w:tentative="1">
      <w:start w:val="1"/>
      <w:numFmt w:val="lowerLetter"/>
      <w:lvlText w:val="%7."/>
      <w:lvlJc w:val="left"/>
      <w:pPr>
        <w:tabs>
          <w:tab w:val="num" w:pos="5040"/>
        </w:tabs>
        <w:ind w:left="5040" w:hanging="360"/>
      </w:pPr>
    </w:lvl>
    <w:lvl w:ilvl="7" w:tplc="6CBA7550" w:tentative="1">
      <w:start w:val="1"/>
      <w:numFmt w:val="lowerLetter"/>
      <w:lvlText w:val="%8."/>
      <w:lvlJc w:val="left"/>
      <w:pPr>
        <w:tabs>
          <w:tab w:val="num" w:pos="5760"/>
        </w:tabs>
        <w:ind w:left="5760" w:hanging="360"/>
      </w:pPr>
    </w:lvl>
    <w:lvl w:ilvl="8" w:tplc="0ECCE49A" w:tentative="1">
      <w:start w:val="1"/>
      <w:numFmt w:val="lowerLetter"/>
      <w:lvlText w:val="%9."/>
      <w:lvlJc w:val="left"/>
      <w:pPr>
        <w:tabs>
          <w:tab w:val="num" w:pos="6480"/>
        </w:tabs>
        <w:ind w:left="6480" w:hanging="360"/>
      </w:pPr>
    </w:lvl>
  </w:abstractNum>
  <w:abstractNum w:abstractNumId="31">
    <w:nsid w:val="665D4B37"/>
    <w:multiLevelType w:val="hybridMultilevel"/>
    <w:tmpl w:val="A5C0474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08C7A5B"/>
    <w:multiLevelType w:val="multilevel"/>
    <w:tmpl w:val="900EF63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724A5E1E"/>
    <w:multiLevelType w:val="multilevel"/>
    <w:tmpl w:val="C11AAA44"/>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72F01F3F"/>
    <w:multiLevelType w:val="hybridMultilevel"/>
    <w:tmpl w:val="F0AC8CE0"/>
    <w:lvl w:ilvl="0" w:tplc="0AEA3742">
      <w:start w:val="1"/>
      <w:numFmt w:val="lowerLetter"/>
      <w:lvlText w:val="%1."/>
      <w:lvlJc w:val="left"/>
      <w:pPr>
        <w:tabs>
          <w:tab w:val="num" w:pos="720"/>
        </w:tabs>
        <w:ind w:left="720" w:hanging="360"/>
      </w:pPr>
    </w:lvl>
    <w:lvl w:ilvl="1" w:tplc="35D24552" w:tentative="1">
      <w:start w:val="1"/>
      <w:numFmt w:val="lowerLetter"/>
      <w:lvlText w:val="%2."/>
      <w:lvlJc w:val="left"/>
      <w:pPr>
        <w:tabs>
          <w:tab w:val="num" w:pos="1440"/>
        </w:tabs>
        <w:ind w:left="1440" w:hanging="360"/>
      </w:pPr>
    </w:lvl>
    <w:lvl w:ilvl="2" w:tplc="B9CEC44A" w:tentative="1">
      <w:start w:val="1"/>
      <w:numFmt w:val="lowerLetter"/>
      <w:lvlText w:val="%3."/>
      <w:lvlJc w:val="left"/>
      <w:pPr>
        <w:tabs>
          <w:tab w:val="num" w:pos="2160"/>
        </w:tabs>
        <w:ind w:left="2160" w:hanging="360"/>
      </w:pPr>
    </w:lvl>
    <w:lvl w:ilvl="3" w:tplc="D34A7FE2" w:tentative="1">
      <w:start w:val="1"/>
      <w:numFmt w:val="lowerLetter"/>
      <w:lvlText w:val="%4."/>
      <w:lvlJc w:val="left"/>
      <w:pPr>
        <w:tabs>
          <w:tab w:val="num" w:pos="2880"/>
        </w:tabs>
        <w:ind w:left="2880" w:hanging="360"/>
      </w:pPr>
    </w:lvl>
    <w:lvl w:ilvl="4" w:tplc="8BFA7378" w:tentative="1">
      <w:start w:val="1"/>
      <w:numFmt w:val="lowerLetter"/>
      <w:lvlText w:val="%5."/>
      <w:lvlJc w:val="left"/>
      <w:pPr>
        <w:tabs>
          <w:tab w:val="num" w:pos="3600"/>
        </w:tabs>
        <w:ind w:left="3600" w:hanging="360"/>
      </w:pPr>
    </w:lvl>
    <w:lvl w:ilvl="5" w:tplc="43BCEA14" w:tentative="1">
      <w:start w:val="1"/>
      <w:numFmt w:val="lowerLetter"/>
      <w:lvlText w:val="%6."/>
      <w:lvlJc w:val="left"/>
      <w:pPr>
        <w:tabs>
          <w:tab w:val="num" w:pos="4320"/>
        </w:tabs>
        <w:ind w:left="4320" w:hanging="360"/>
      </w:pPr>
    </w:lvl>
    <w:lvl w:ilvl="6" w:tplc="C3F62F62" w:tentative="1">
      <w:start w:val="1"/>
      <w:numFmt w:val="lowerLetter"/>
      <w:lvlText w:val="%7."/>
      <w:lvlJc w:val="left"/>
      <w:pPr>
        <w:tabs>
          <w:tab w:val="num" w:pos="5040"/>
        </w:tabs>
        <w:ind w:left="5040" w:hanging="360"/>
      </w:pPr>
    </w:lvl>
    <w:lvl w:ilvl="7" w:tplc="0FCEC840" w:tentative="1">
      <w:start w:val="1"/>
      <w:numFmt w:val="lowerLetter"/>
      <w:lvlText w:val="%8."/>
      <w:lvlJc w:val="left"/>
      <w:pPr>
        <w:tabs>
          <w:tab w:val="num" w:pos="5760"/>
        </w:tabs>
        <w:ind w:left="5760" w:hanging="360"/>
      </w:pPr>
    </w:lvl>
    <w:lvl w:ilvl="8" w:tplc="FD5A1B24" w:tentative="1">
      <w:start w:val="1"/>
      <w:numFmt w:val="lowerLetter"/>
      <w:lvlText w:val="%9."/>
      <w:lvlJc w:val="left"/>
      <w:pPr>
        <w:tabs>
          <w:tab w:val="num" w:pos="6480"/>
        </w:tabs>
        <w:ind w:left="6480" w:hanging="360"/>
      </w:pPr>
    </w:lvl>
  </w:abstractNum>
  <w:abstractNum w:abstractNumId="35">
    <w:nsid w:val="750809DB"/>
    <w:multiLevelType w:val="hybridMultilevel"/>
    <w:tmpl w:val="A34C097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8716A93"/>
    <w:multiLevelType w:val="multilevel"/>
    <w:tmpl w:val="C46CE1B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7B8A3DE2"/>
    <w:multiLevelType w:val="hybridMultilevel"/>
    <w:tmpl w:val="956020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C120FF5"/>
    <w:multiLevelType w:val="hybridMultilevel"/>
    <w:tmpl w:val="AAAAC672"/>
    <w:lvl w:ilvl="0" w:tplc="9872F6A8">
      <w:start w:val="1"/>
      <w:numFmt w:val="lowerLetter"/>
      <w:lvlText w:val="%1."/>
      <w:lvlJc w:val="left"/>
      <w:pPr>
        <w:tabs>
          <w:tab w:val="num" w:pos="720"/>
        </w:tabs>
        <w:ind w:left="720" w:hanging="360"/>
      </w:pPr>
    </w:lvl>
    <w:lvl w:ilvl="1" w:tplc="570002C6" w:tentative="1">
      <w:start w:val="1"/>
      <w:numFmt w:val="lowerLetter"/>
      <w:lvlText w:val="%2."/>
      <w:lvlJc w:val="left"/>
      <w:pPr>
        <w:tabs>
          <w:tab w:val="num" w:pos="1440"/>
        </w:tabs>
        <w:ind w:left="1440" w:hanging="360"/>
      </w:pPr>
    </w:lvl>
    <w:lvl w:ilvl="2" w:tplc="E7044478" w:tentative="1">
      <w:start w:val="1"/>
      <w:numFmt w:val="lowerLetter"/>
      <w:lvlText w:val="%3."/>
      <w:lvlJc w:val="left"/>
      <w:pPr>
        <w:tabs>
          <w:tab w:val="num" w:pos="2160"/>
        </w:tabs>
        <w:ind w:left="2160" w:hanging="360"/>
      </w:pPr>
    </w:lvl>
    <w:lvl w:ilvl="3" w:tplc="21B6B786" w:tentative="1">
      <w:start w:val="1"/>
      <w:numFmt w:val="lowerLetter"/>
      <w:lvlText w:val="%4."/>
      <w:lvlJc w:val="left"/>
      <w:pPr>
        <w:tabs>
          <w:tab w:val="num" w:pos="2880"/>
        </w:tabs>
        <w:ind w:left="2880" w:hanging="360"/>
      </w:pPr>
    </w:lvl>
    <w:lvl w:ilvl="4" w:tplc="1B560EC0" w:tentative="1">
      <w:start w:val="1"/>
      <w:numFmt w:val="lowerLetter"/>
      <w:lvlText w:val="%5."/>
      <w:lvlJc w:val="left"/>
      <w:pPr>
        <w:tabs>
          <w:tab w:val="num" w:pos="3600"/>
        </w:tabs>
        <w:ind w:left="3600" w:hanging="360"/>
      </w:pPr>
    </w:lvl>
    <w:lvl w:ilvl="5" w:tplc="1B60A3DC" w:tentative="1">
      <w:start w:val="1"/>
      <w:numFmt w:val="lowerLetter"/>
      <w:lvlText w:val="%6."/>
      <w:lvlJc w:val="left"/>
      <w:pPr>
        <w:tabs>
          <w:tab w:val="num" w:pos="4320"/>
        </w:tabs>
        <w:ind w:left="4320" w:hanging="360"/>
      </w:pPr>
    </w:lvl>
    <w:lvl w:ilvl="6" w:tplc="A0AA011E" w:tentative="1">
      <w:start w:val="1"/>
      <w:numFmt w:val="lowerLetter"/>
      <w:lvlText w:val="%7."/>
      <w:lvlJc w:val="left"/>
      <w:pPr>
        <w:tabs>
          <w:tab w:val="num" w:pos="5040"/>
        </w:tabs>
        <w:ind w:left="5040" w:hanging="360"/>
      </w:pPr>
    </w:lvl>
    <w:lvl w:ilvl="7" w:tplc="38DA9660" w:tentative="1">
      <w:start w:val="1"/>
      <w:numFmt w:val="lowerLetter"/>
      <w:lvlText w:val="%8."/>
      <w:lvlJc w:val="left"/>
      <w:pPr>
        <w:tabs>
          <w:tab w:val="num" w:pos="5760"/>
        </w:tabs>
        <w:ind w:left="5760" w:hanging="360"/>
      </w:pPr>
    </w:lvl>
    <w:lvl w:ilvl="8" w:tplc="6EC27BF0" w:tentative="1">
      <w:start w:val="1"/>
      <w:numFmt w:val="lowerLetter"/>
      <w:lvlText w:val="%9."/>
      <w:lvlJc w:val="left"/>
      <w:pPr>
        <w:tabs>
          <w:tab w:val="num" w:pos="6480"/>
        </w:tabs>
        <w:ind w:left="6480" w:hanging="360"/>
      </w:pPr>
    </w:lvl>
  </w:abstractNum>
  <w:abstractNum w:abstractNumId="39">
    <w:nsid w:val="7E2B1B49"/>
    <w:multiLevelType w:val="hybridMultilevel"/>
    <w:tmpl w:val="D5048FF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EE615B6"/>
    <w:multiLevelType w:val="hybridMultilevel"/>
    <w:tmpl w:val="2132F91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7"/>
  </w:num>
  <w:num w:numId="3">
    <w:abstractNumId w:val="5"/>
  </w:num>
  <w:num w:numId="4">
    <w:abstractNumId w:val="16"/>
  </w:num>
  <w:num w:numId="5">
    <w:abstractNumId w:val="26"/>
  </w:num>
  <w:num w:numId="6">
    <w:abstractNumId w:val="3"/>
  </w:num>
  <w:num w:numId="7">
    <w:abstractNumId w:val="9"/>
  </w:num>
  <w:num w:numId="8">
    <w:abstractNumId w:val="24"/>
  </w:num>
  <w:num w:numId="9">
    <w:abstractNumId w:val="7"/>
  </w:num>
  <w:num w:numId="10">
    <w:abstractNumId w:val="37"/>
  </w:num>
  <w:num w:numId="11">
    <w:abstractNumId w:val="34"/>
  </w:num>
  <w:num w:numId="12">
    <w:abstractNumId w:val="21"/>
  </w:num>
  <w:num w:numId="13">
    <w:abstractNumId w:val="30"/>
  </w:num>
  <w:num w:numId="14">
    <w:abstractNumId w:val="23"/>
  </w:num>
  <w:num w:numId="15">
    <w:abstractNumId w:val="38"/>
  </w:num>
  <w:num w:numId="16">
    <w:abstractNumId w:val="15"/>
  </w:num>
  <w:num w:numId="17">
    <w:abstractNumId w:val="25"/>
  </w:num>
  <w:num w:numId="18">
    <w:abstractNumId w:val="18"/>
  </w:num>
  <w:num w:numId="19">
    <w:abstractNumId w:val="40"/>
  </w:num>
  <w:num w:numId="20">
    <w:abstractNumId w:val="2"/>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2"/>
  </w:num>
  <w:num w:numId="24">
    <w:abstractNumId w:val="39"/>
  </w:num>
  <w:num w:numId="25">
    <w:abstractNumId w:val="20"/>
  </w:num>
  <w:num w:numId="26">
    <w:abstractNumId w:val="31"/>
  </w:num>
  <w:num w:numId="27">
    <w:abstractNumId w:val="14"/>
  </w:num>
  <w:num w:numId="28">
    <w:abstractNumId w:val="4"/>
  </w:num>
  <w:num w:numId="29">
    <w:abstractNumId w:val="8"/>
  </w:num>
  <w:num w:numId="30">
    <w:abstractNumId w:val="27"/>
  </w:num>
  <w:num w:numId="31">
    <w:abstractNumId w:val="13"/>
  </w:num>
  <w:num w:numId="32">
    <w:abstractNumId w:val="11"/>
  </w:num>
  <w:num w:numId="33">
    <w:abstractNumId w:val="29"/>
  </w:num>
  <w:num w:numId="34">
    <w:abstractNumId w:val="28"/>
  </w:num>
  <w:num w:numId="35">
    <w:abstractNumId w:val="22"/>
  </w:num>
  <w:num w:numId="36">
    <w:abstractNumId w:val="35"/>
  </w:num>
  <w:num w:numId="37">
    <w:abstractNumId w:val="0"/>
  </w:num>
  <w:num w:numId="38">
    <w:abstractNumId w:val="36"/>
  </w:num>
  <w:num w:numId="39">
    <w:abstractNumId w:val="33"/>
  </w:num>
  <w:num w:numId="40">
    <w:abstractNumId w:val="1"/>
  </w:num>
  <w:num w:numId="41">
    <w:abstractNumId w:val="12"/>
  </w:num>
  <w:num w:numId="42">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179"/>
    <w:rsid w:val="0000352E"/>
    <w:rsid w:val="00005239"/>
    <w:rsid w:val="0002156C"/>
    <w:rsid w:val="00052693"/>
    <w:rsid w:val="0006192C"/>
    <w:rsid w:val="00066111"/>
    <w:rsid w:val="0007442D"/>
    <w:rsid w:val="00090336"/>
    <w:rsid w:val="00096E70"/>
    <w:rsid w:val="00097B01"/>
    <w:rsid w:val="000A4394"/>
    <w:rsid w:val="000C2C44"/>
    <w:rsid w:val="000E3D3E"/>
    <w:rsid w:val="001067B7"/>
    <w:rsid w:val="00163179"/>
    <w:rsid w:val="0018360B"/>
    <w:rsid w:val="00192CE6"/>
    <w:rsid w:val="001B0097"/>
    <w:rsid w:val="001B541B"/>
    <w:rsid w:val="001C1193"/>
    <w:rsid w:val="001C1E4D"/>
    <w:rsid w:val="001C3946"/>
    <w:rsid w:val="001C5026"/>
    <w:rsid w:val="001F2D8D"/>
    <w:rsid w:val="001F695A"/>
    <w:rsid w:val="00211848"/>
    <w:rsid w:val="002258E3"/>
    <w:rsid w:val="002327A5"/>
    <w:rsid w:val="00232D9A"/>
    <w:rsid w:val="002654C3"/>
    <w:rsid w:val="00267F0A"/>
    <w:rsid w:val="002716CC"/>
    <w:rsid w:val="0027368A"/>
    <w:rsid w:val="0028043B"/>
    <w:rsid w:val="002818D0"/>
    <w:rsid w:val="00281CEF"/>
    <w:rsid w:val="00292589"/>
    <w:rsid w:val="002B3BCF"/>
    <w:rsid w:val="002B73D6"/>
    <w:rsid w:val="002C0BCF"/>
    <w:rsid w:val="002C65B5"/>
    <w:rsid w:val="002D3C3D"/>
    <w:rsid w:val="002D61F5"/>
    <w:rsid w:val="002D762A"/>
    <w:rsid w:val="002F1749"/>
    <w:rsid w:val="002F20C9"/>
    <w:rsid w:val="00347756"/>
    <w:rsid w:val="00354BF5"/>
    <w:rsid w:val="00357361"/>
    <w:rsid w:val="00365AB4"/>
    <w:rsid w:val="00370616"/>
    <w:rsid w:val="00371B50"/>
    <w:rsid w:val="00373BA5"/>
    <w:rsid w:val="00385AF1"/>
    <w:rsid w:val="003B4E55"/>
    <w:rsid w:val="003B6F84"/>
    <w:rsid w:val="003D0373"/>
    <w:rsid w:val="003D0BC3"/>
    <w:rsid w:val="003D24BB"/>
    <w:rsid w:val="003D6679"/>
    <w:rsid w:val="003E30EC"/>
    <w:rsid w:val="003E3AFC"/>
    <w:rsid w:val="003F4825"/>
    <w:rsid w:val="004013B6"/>
    <w:rsid w:val="00412E93"/>
    <w:rsid w:val="00413925"/>
    <w:rsid w:val="00432B70"/>
    <w:rsid w:val="004333B5"/>
    <w:rsid w:val="00436537"/>
    <w:rsid w:val="00441EDC"/>
    <w:rsid w:val="00457E0A"/>
    <w:rsid w:val="00460FC0"/>
    <w:rsid w:val="004826EF"/>
    <w:rsid w:val="00492F98"/>
    <w:rsid w:val="004A0122"/>
    <w:rsid w:val="004A203B"/>
    <w:rsid w:val="004A394A"/>
    <w:rsid w:val="004B1494"/>
    <w:rsid w:val="004B1E23"/>
    <w:rsid w:val="004B5B75"/>
    <w:rsid w:val="004C353D"/>
    <w:rsid w:val="004C6880"/>
    <w:rsid w:val="004D307D"/>
    <w:rsid w:val="004F6777"/>
    <w:rsid w:val="00500171"/>
    <w:rsid w:val="005002BB"/>
    <w:rsid w:val="0050564C"/>
    <w:rsid w:val="005133F8"/>
    <w:rsid w:val="00513BF2"/>
    <w:rsid w:val="00522DB6"/>
    <w:rsid w:val="00530FEA"/>
    <w:rsid w:val="00532476"/>
    <w:rsid w:val="00534013"/>
    <w:rsid w:val="00572AD9"/>
    <w:rsid w:val="005737AD"/>
    <w:rsid w:val="0057783D"/>
    <w:rsid w:val="0058000D"/>
    <w:rsid w:val="00586763"/>
    <w:rsid w:val="00591618"/>
    <w:rsid w:val="005B6B29"/>
    <w:rsid w:val="005C6F1C"/>
    <w:rsid w:val="005D52E5"/>
    <w:rsid w:val="005F0283"/>
    <w:rsid w:val="005F74EB"/>
    <w:rsid w:val="00600D0F"/>
    <w:rsid w:val="006321C4"/>
    <w:rsid w:val="00634879"/>
    <w:rsid w:val="0063770B"/>
    <w:rsid w:val="006410AE"/>
    <w:rsid w:val="00641572"/>
    <w:rsid w:val="00641AEE"/>
    <w:rsid w:val="00677182"/>
    <w:rsid w:val="006842AB"/>
    <w:rsid w:val="00696E6A"/>
    <w:rsid w:val="006A05E4"/>
    <w:rsid w:val="006A269E"/>
    <w:rsid w:val="006A4380"/>
    <w:rsid w:val="006C334B"/>
    <w:rsid w:val="006C5F9A"/>
    <w:rsid w:val="006D0B40"/>
    <w:rsid w:val="006D7CA5"/>
    <w:rsid w:val="006F2132"/>
    <w:rsid w:val="006F219F"/>
    <w:rsid w:val="007033F7"/>
    <w:rsid w:val="00716827"/>
    <w:rsid w:val="00724435"/>
    <w:rsid w:val="00734BA0"/>
    <w:rsid w:val="0076408F"/>
    <w:rsid w:val="00767749"/>
    <w:rsid w:val="007709E9"/>
    <w:rsid w:val="00770EEA"/>
    <w:rsid w:val="00774C59"/>
    <w:rsid w:val="00782C2A"/>
    <w:rsid w:val="0079008F"/>
    <w:rsid w:val="00797196"/>
    <w:rsid w:val="007A3008"/>
    <w:rsid w:val="007A35F6"/>
    <w:rsid w:val="007B053A"/>
    <w:rsid w:val="007B7B71"/>
    <w:rsid w:val="007C10B9"/>
    <w:rsid w:val="007C2400"/>
    <w:rsid w:val="007C5F79"/>
    <w:rsid w:val="007D16A4"/>
    <w:rsid w:val="007D2844"/>
    <w:rsid w:val="007D2AA9"/>
    <w:rsid w:val="007D3409"/>
    <w:rsid w:val="007D7DC8"/>
    <w:rsid w:val="007E0DEE"/>
    <w:rsid w:val="007E1D0A"/>
    <w:rsid w:val="007E50D9"/>
    <w:rsid w:val="007E5C55"/>
    <w:rsid w:val="007F0729"/>
    <w:rsid w:val="00805389"/>
    <w:rsid w:val="008053B7"/>
    <w:rsid w:val="008062DF"/>
    <w:rsid w:val="008105B2"/>
    <w:rsid w:val="00812E29"/>
    <w:rsid w:val="00824C6B"/>
    <w:rsid w:val="00825812"/>
    <w:rsid w:val="0083568C"/>
    <w:rsid w:val="00835BBC"/>
    <w:rsid w:val="00856B69"/>
    <w:rsid w:val="00862516"/>
    <w:rsid w:val="00863F77"/>
    <w:rsid w:val="00865907"/>
    <w:rsid w:val="0087762F"/>
    <w:rsid w:val="00883C0A"/>
    <w:rsid w:val="00894DF4"/>
    <w:rsid w:val="008A1C67"/>
    <w:rsid w:val="008A70DC"/>
    <w:rsid w:val="008A7BEC"/>
    <w:rsid w:val="008B3034"/>
    <w:rsid w:val="008C1347"/>
    <w:rsid w:val="008C64BB"/>
    <w:rsid w:val="008E4926"/>
    <w:rsid w:val="008E7AA0"/>
    <w:rsid w:val="008F4F49"/>
    <w:rsid w:val="008F69E2"/>
    <w:rsid w:val="009318B8"/>
    <w:rsid w:val="00933AAE"/>
    <w:rsid w:val="009563E8"/>
    <w:rsid w:val="00960450"/>
    <w:rsid w:val="0098010F"/>
    <w:rsid w:val="009A5026"/>
    <w:rsid w:val="009B091D"/>
    <w:rsid w:val="009C09D8"/>
    <w:rsid w:val="009C5F7F"/>
    <w:rsid w:val="009D32E5"/>
    <w:rsid w:val="009E1E59"/>
    <w:rsid w:val="009E5202"/>
    <w:rsid w:val="009E5E09"/>
    <w:rsid w:val="00A11AC1"/>
    <w:rsid w:val="00A1775D"/>
    <w:rsid w:val="00A233ED"/>
    <w:rsid w:val="00A44D74"/>
    <w:rsid w:val="00A56EBF"/>
    <w:rsid w:val="00A75FEA"/>
    <w:rsid w:val="00A77C6F"/>
    <w:rsid w:val="00A821A2"/>
    <w:rsid w:val="00AA67AB"/>
    <w:rsid w:val="00AB1003"/>
    <w:rsid w:val="00AE11AD"/>
    <w:rsid w:val="00AE5D37"/>
    <w:rsid w:val="00AE7557"/>
    <w:rsid w:val="00AF31C8"/>
    <w:rsid w:val="00AF3E7B"/>
    <w:rsid w:val="00AF7C4D"/>
    <w:rsid w:val="00B11D26"/>
    <w:rsid w:val="00B13423"/>
    <w:rsid w:val="00B13A2F"/>
    <w:rsid w:val="00B17114"/>
    <w:rsid w:val="00B218CC"/>
    <w:rsid w:val="00B37105"/>
    <w:rsid w:val="00B4470F"/>
    <w:rsid w:val="00B61247"/>
    <w:rsid w:val="00B84DA8"/>
    <w:rsid w:val="00BA2589"/>
    <w:rsid w:val="00BB5F62"/>
    <w:rsid w:val="00BC039B"/>
    <w:rsid w:val="00BC6E1F"/>
    <w:rsid w:val="00BD25D9"/>
    <w:rsid w:val="00BD47CC"/>
    <w:rsid w:val="00BD72BB"/>
    <w:rsid w:val="00BF14CF"/>
    <w:rsid w:val="00BF4CFA"/>
    <w:rsid w:val="00C000F1"/>
    <w:rsid w:val="00C03FFE"/>
    <w:rsid w:val="00C15E8C"/>
    <w:rsid w:val="00C2602F"/>
    <w:rsid w:val="00C27BB5"/>
    <w:rsid w:val="00C400A7"/>
    <w:rsid w:val="00C679C0"/>
    <w:rsid w:val="00C67C9D"/>
    <w:rsid w:val="00C8156B"/>
    <w:rsid w:val="00C82C17"/>
    <w:rsid w:val="00C95CCD"/>
    <w:rsid w:val="00CA4529"/>
    <w:rsid w:val="00CA465F"/>
    <w:rsid w:val="00CA4698"/>
    <w:rsid w:val="00CA7D81"/>
    <w:rsid w:val="00CC7611"/>
    <w:rsid w:val="00CD1366"/>
    <w:rsid w:val="00CD3FD9"/>
    <w:rsid w:val="00CF0E45"/>
    <w:rsid w:val="00CF23E9"/>
    <w:rsid w:val="00D00342"/>
    <w:rsid w:val="00D00DC6"/>
    <w:rsid w:val="00D0293C"/>
    <w:rsid w:val="00D05442"/>
    <w:rsid w:val="00D151A4"/>
    <w:rsid w:val="00D17551"/>
    <w:rsid w:val="00D27E92"/>
    <w:rsid w:val="00D30DD8"/>
    <w:rsid w:val="00D732C7"/>
    <w:rsid w:val="00D9435D"/>
    <w:rsid w:val="00D9563B"/>
    <w:rsid w:val="00DB46DE"/>
    <w:rsid w:val="00DB7347"/>
    <w:rsid w:val="00DC3E5F"/>
    <w:rsid w:val="00DC5960"/>
    <w:rsid w:val="00DC6AC7"/>
    <w:rsid w:val="00DD2B4F"/>
    <w:rsid w:val="00E11B99"/>
    <w:rsid w:val="00E1686A"/>
    <w:rsid w:val="00E2660D"/>
    <w:rsid w:val="00E3004C"/>
    <w:rsid w:val="00E3264D"/>
    <w:rsid w:val="00E34D87"/>
    <w:rsid w:val="00E37109"/>
    <w:rsid w:val="00E5103C"/>
    <w:rsid w:val="00E578A3"/>
    <w:rsid w:val="00E6488A"/>
    <w:rsid w:val="00E72094"/>
    <w:rsid w:val="00E86411"/>
    <w:rsid w:val="00E935C8"/>
    <w:rsid w:val="00E963B9"/>
    <w:rsid w:val="00EA1528"/>
    <w:rsid w:val="00EC5704"/>
    <w:rsid w:val="00EC678F"/>
    <w:rsid w:val="00ED0BD7"/>
    <w:rsid w:val="00EE1233"/>
    <w:rsid w:val="00EE1747"/>
    <w:rsid w:val="00EF28C5"/>
    <w:rsid w:val="00F01C3B"/>
    <w:rsid w:val="00F06C80"/>
    <w:rsid w:val="00F1695C"/>
    <w:rsid w:val="00F215A2"/>
    <w:rsid w:val="00F31093"/>
    <w:rsid w:val="00F41E81"/>
    <w:rsid w:val="00F539CA"/>
    <w:rsid w:val="00F577A7"/>
    <w:rsid w:val="00F63D60"/>
    <w:rsid w:val="00F76419"/>
    <w:rsid w:val="00F81B65"/>
    <w:rsid w:val="00F85BA5"/>
    <w:rsid w:val="00F9232C"/>
    <w:rsid w:val="00F96B80"/>
    <w:rsid w:val="00FB6476"/>
    <w:rsid w:val="00FD688B"/>
    <w:rsid w:val="00FD74A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SimSun"/>
      <w:lang w:eastAsia="zh-CN"/>
    </w:rPr>
  </w:style>
  <w:style w:type="character" w:customStyle="1" w:styleId="FooterChar">
    <w:name w:val="Footer Char"/>
    <w:link w:val="Footer"/>
    <w:uiPriority w:val="99"/>
    <w:rsid w:val="00513BF2"/>
    <w:rPr>
      <w:rFonts w:eastAsia="SimSun"/>
      <w:lang w:eastAsia="zh-CN"/>
    </w:rPr>
  </w:style>
  <w:style w:type="table" w:styleId="TableGrid">
    <w:name w:val="Table Grid"/>
    <w:basedOn w:val="TableNormal"/>
    <w:uiPriority w:val="59"/>
    <w:rsid w:val="00513BF2"/>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13BF2"/>
    <w:rPr>
      <w:rFonts w:ascii="Tahoma" w:hAnsi="Tahoma" w:cs="Tahoma"/>
      <w:sz w:val="16"/>
      <w:szCs w:val="16"/>
    </w:rPr>
  </w:style>
  <w:style w:type="character" w:styleId="FollowedHyperlink">
    <w:name w:val="FollowedHyperlink"/>
    <w:uiPriority w:val="99"/>
    <w:semiHidden/>
    <w:unhideWhenUsed/>
    <w:rsid w:val="00513BF2"/>
    <w:rPr>
      <w:color w:val="800080"/>
      <w:u w:val="single"/>
    </w:rPr>
  </w:style>
  <w:style w:type="character" w:styleId="CommentReference">
    <w:name w:val="annotation reference"/>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F1695C"/>
    <w:pPr>
      <w:spacing w:after="0" w:line="240" w:lineRule="auto"/>
    </w:pPr>
    <w:rPr>
      <w:sz w:val="20"/>
      <w:szCs w:val="20"/>
    </w:rPr>
  </w:style>
  <w:style w:type="character" w:customStyle="1" w:styleId="FootnoteTextChar">
    <w:name w:val="Footnote Text Char"/>
    <w:link w:val="FootnoteText"/>
    <w:uiPriority w:val="99"/>
    <w:semiHidden/>
    <w:rsid w:val="00F1695C"/>
    <w:rPr>
      <w:sz w:val="20"/>
      <w:szCs w:val="20"/>
    </w:rPr>
  </w:style>
  <w:style w:type="character" w:styleId="FootnoteReference">
    <w:name w:val="footnote reference"/>
    <w:uiPriority w:val="99"/>
    <w:semiHidden/>
    <w:unhideWhenUsed/>
    <w:rsid w:val="00F1695C"/>
    <w:rPr>
      <w:vertAlign w:val="superscript"/>
    </w:rPr>
  </w:style>
  <w:style w:type="paragraph" w:styleId="Caption">
    <w:name w:val="caption"/>
    <w:basedOn w:val="Normal"/>
    <w:next w:val="Normal"/>
    <w:uiPriority w:val="35"/>
    <w:unhideWhenUsed/>
    <w:qFormat/>
    <w:rsid w:val="00F01C3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SimSun"/>
      <w:lang w:eastAsia="zh-CN"/>
    </w:rPr>
  </w:style>
  <w:style w:type="character" w:customStyle="1" w:styleId="FooterChar">
    <w:name w:val="Footer Char"/>
    <w:link w:val="Footer"/>
    <w:uiPriority w:val="99"/>
    <w:rsid w:val="00513BF2"/>
    <w:rPr>
      <w:rFonts w:eastAsia="SimSun"/>
      <w:lang w:eastAsia="zh-CN"/>
    </w:rPr>
  </w:style>
  <w:style w:type="table" w:styleId="TableGrid">
    <w:name w:val="Table Grid"/>
    <w:basedOn w:val="TableNormal"/>
    <w:uiPriority w:val="59"/>
    <w:rsid w:val="00513BF2"/>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13BF2"/>
    <w:rPr>
      <w:rFonts w:ascii="Tahoma" w:hAnsi="Tahoma" w:cs="Tahoma"/>
      <w:sz w:val="16"/>
      <w:szCs w:val="16"/>
    </w:rPr>
  </w:style>
  <w:style w:type="character" w:styleId="FollowedHyperlink">
    <w:name w:val="FollowedHyperlink"/>
    <w:uiPriority w:val="99"/>
    <w:semiHidden/>
    <w:unhideWhenUsed/>
    <w:rsid w:val="00513BF2"/>
    <w:rPr>
      <w:color w:val="800080"/>
      <w:u w:val="single"/>
    </w:rPr>
  </w:style>
  <w:style w:type="character" w:styleId="CommentReference">
    <w:name w:val="annotation reference"/>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F1695C"/>
    <w:pPr>
      <w:spacing w:after="0" w:line="240" w:lineRule="auto"/>
    </w:pPr>
    <w:rPr>
      <w:sz w:val="20"/>
      <w:szCs w:val="20"/>
    </w:rPr>
  </w:style>
  <w:style w:type="character" w:customStyle="1" w:styleId="FootnoteTextChar">
    <w:name w:val="Footnote Text Char"/>
    <w:link w:val="FootnoteText"/>
    <w:uiPriority w:val="99"/>
    <w:semiHidden/>
    <w:rsid w:val="00F1695C"/>
    <w:rPr>
      <w:sz w:val="20"/>
      <w:szCs w:val="20"/>
    </w:rPr>
  </w:style>
  <w:style w:type="character" w:styleId="FootnoteReference">
    <w:name w:val="footnote reference"/>
    <w:uiPriority w:val="99"/>
    <w:semiHidden/>
    <w:unhideWhenUsed/>
    <w:rsid w:val="00F1695C"/>
    <w:rPr>
      <w:vertAlign w:val="superscript"/>
    </w:rPr>
  </w:style>
  <w:style w:type="paragraph" w:styleId="Caption">
    <w:name w:val="caption"/>
    <w:basedOn w:val="Normal"/>
    <w:next w:val="Normal"/>
    <w:uiPriority w:val="35"/>
    <w:unhideWhenUsed/>
    <w:qFormat/>
    <w:rsid w:val="00F01C3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553530">
      <w:bodyDiv w:val="1"/>
      <w:marLeft w:val="0"/>
      <w:marRight w:val="0"/>
      <w:marTop w:val="0"/>
      <w:marBottom w:val="0"/>
      <w:divBdr>
        <w:top w:val="none" w:sz="0" w:space="0" w:color="auto"/>
        <w:left w:val="none" w:sz="0" w:space="0" w:color="auto"/>
        <w:bottom w:val="none" w:sz="0" w:space="0" w:color="auto"/>
        <w:right w:val="none" w:sz="0" w:space="0" w:color="auto"/>
      </w:divBdr>
    </w:div>
    <w:div w:id="479274181">
      <w:bodyDiv w:val="1"/>
      <w:marLeft w:val="0"/>
      <w:marRight w:val="0"/>
      <w:marTop w:val="0"/>
      <w:marBottom w:val="0"/>
      <w:divBdr>
        <w:top w:val="none" w:sz="0" w:space="0" w:color="auto"/>
        <w:left w:val="none" w:sz="0" w:space="0" w:color="auto"/>
        <w:bottom w:val="none" w:sz="0" w:space="0" w:color="auto"/>
        <w:right w:val="none" w:sz="0" w:space="0" w:color="auto"/>
      </w:divBdr>
    </w:div>
    <w:div w:id="555971470">
      <w:bodyDiv w:val="1"/>
      <w:marLeft w:val="0"/>
      <w:marRight w:val="0"/>
      <w:marTop w:val="0"/>
      <w:marBottom w:val="0"/>
      <w:divBdr>
        <w:top w:val="none" w:sz="0" w:space="0" w:color="auto"/>
        <w:left w:val="none" w:sz="0" w:space="0" w:color="auto"/>
        <w:bottom w:val="none" w:sz="0" w:space="0" w:color="auto"/>
        <w:right w:val="none" w:sz="0" w:space="0" w:color="auto"/>
      </w:divBdr>
      <w:divsChild>
        <w:div w:id="1290817122">
          <w:marLeft w:val="806"/>
          <w:marRight w:val="0"/>
          <w:marTop w:val="86"/>
          <w:marBottom w:val="0"/>
          <w:divBdr>
            <w:top w:val="none" w:sz="0" w:space="0" w:color="auto"/>
            <w:left w:val="none" w:sz="0" w:space="0" w:color="auto"/>
            <w:bottom w:val="none" w:sz="0" w:space="0" w:color="auto"/>
            <w:right w:val="none" w:sz="0" w:space="0" w:color="auto"/>
          </w:divBdr>
        </w:div>
      </w:divsChild>
    </w:div>
    <w:div w:id="599725068">
      <w:bodyDiv w:val="1"/>
      <w:marLeft w:val="0"/>
      <w:marRight w:val="0"/>
      <w:marTop w:val="0"/>
      <w:marBottom w:val="0"/>
      <w:divBdr>
        <w:top w:val="none" w:sz="0" w:space="0" w:color="auto"/>
        <w:left w:val="none" w:sz="0" w:space="0" w:color="auto"/>
        <w:bottom w:val="none" w:sz="0" w:space="0" w:color="auto"/>
        <w:right w:val="none" w:sz="0" w:space="0" w:color="auto"/>
      </w:divBdr>
      <w:divsChild>
        <w:div w:id="224100292">
          <w:marLeft w:val="0"/>
          <w:marRight w:val="0"/>
          <w:marTop w:val="0"/>
          <w:marBottom w:val="0"/>
          <w:divBdr>
            <w:top w:val="none" w:sz="0" w:space="0" w:color="auto"/>
            <w:left w:val="none" w:sz="0" w:space="0" w:color="auto"/>
            <w:bottom w:val="none" w:sz="0" w:space="0" w:color="auto"/>
            <w:right w:val="none" w:sz="0" w:space="0" w:color="auto"/>
          </w:divBdr>
        </w:div>
        <w:div w:id="287786343">
          <w:marLeft w:val="0"/>
          <w:marRight w:val="0"/>
          <w:marTop w:val="0"/>
          <w:marBottom w:val="0"/>
          <w:divBdr>
            <w:top w:val="none" w:sz="0" w:space="0" w:color="auto"/>
            <w:left w:val="none" w:sz="0" w:space="0" w:color="auto"/>
            <w:bottom w:val="none" w:sz="0" w:space="0" w:color="auto"/>
            <w:right w:val="none" w:sz="0" w:space="0" w:color="auto"/>
          </w:divBdr>
        </w:div>
        <w:div w:id="345906336">
          <w:marLeft w:val="0"/>
          <w:marRight w:val="0"/>
          <w:marTop w:val="0"/>
          <w:marBottom w:val="0"/>
          <w:divBdr>
            <w:top w:val="none" w:sz="0" w:space="0" w:color="auto"/>
            <w:left w:val="none" w:sz="0" w:space="0" w:color="auto"/>
            <w:bottom w:val="none" w:sz="0" w:space="0" w:color="auto"/>
            <w:right w:val="none" w:sz="0" w:space="0" w:color="auto"/>
          </w:divBdr>
        </w:div>
        <w:div w:id="424228582">
          <w:marLeft w:val="0"/>
          <w:marRight w:val="0"/>
          <w:marTop w:val="0"/>
          <w:marBottom w:val="0"/>
          <w:divBdr>
            <w:top w:val="none" w:sz="0" w:space="0" w:color="auto"/>
            <w:left w:val="none" w:sz="0" w:space="0" w:color="auto"/>
            <w:bottom w:val="none" w:sz="0" w:space="0" w:color="auto"/>
            <w:right w:val="none" w:sz="0" w:space="0" w:color="auto"/>
          </w:divBdr>
        </w:div>
        <w:div w:id="764106792">
          <w:marLeft w:val="0"/>
          <w:marRight w:val="0"/>
          <w:marTop w:val="0"/>
          <w:marBottom w:val="0"/>
          <w:divBdr>
            <w:top w:val="none" w:sz="0" w:space="0" w:color="auto"/>
            <w:left w:val="none" w:sz="0" w:space="0" w:color="auto"/>
            <w:bottom w:val="none" w:sz="0" w:space="0" w:color="auto"/>
            <w:right w:val="none" w:sz="0" w:space="0" w:color="auto"/>
          </w:divBdr>
        </w:div>
        <w:div w:id="988099662">
          <w:marLeft w:val="0"/>
          <w:marRight w:val="0"/>
          <w:marTop w:val="0"/>
          <w:marBottom w:val="0"/>
          <w:divBdr>
            <w:top w:val="none" w:sz="0" w:space="0" w:color="auto"/>
            <w:left w:val="none" w:sz="0" w:space="0" w:color="auto"/>
            <w:bottom w:val="none" w:sz="0" w:space="0" w:color="auto"/>
            <w:right w:val="none" w:sz="0" w:space="0" w:color="auto"/>
          </w:divBdr>
        </w:div>
        <w:div w:id="1054112521">
          <w:marLeft w:val="0"/>
          <w:marRight w:val="0"/>
          <w:marTop w:val="0"/>
          <w:marBottom w:val="0"/>
          <w:divBdr>
            <w:top w:val="none" w:sz="0" w:space="0" w:color="auto"/>
            <w:left w:val="none" w:sz="0" w:space="0" w:color="auto"/>
            <w:bottom w:val="none" w:sz="0" w:space="0" w:color="auto"/>
            <w:right w:val="none" w:sz="0" w:space="0" w:color="auto"/>
          </w:divBdr>
        </w:div>
        <w:div w:id="1193763961">
          <w:marLeft w:val="0"/>
          <w:marRight w:val="0"/>
          <w:marTop w:val="0"/>
          <w:marBottom w:val="0"/>
          <w:divBdr>
            <w:top w:val="none" w:sz="0" w:space="0" w:color="auto"/>
            <w:left w:val="none" w:sz="0" w:space="0" w:color="auto"/>
            <w:bottom w:val="none" w:sz="0" w:space="0" w:color="auto"/>
            <w:right w:val="none" w:sz="0" w:space="0" w:color="auto"/>
          </w:divBdr>
        </w:div>
      </w:divsChild>
    </w:div>
    <w:div w:id="675498362">
      <w:bodyDiv w:val="1"/>
      <w:marLeft w:val="0"/>
      <w:marRight w:val="0"/>
      <w:marTop w:val="0"/>
      <w:marBottom w:val="0"/>
      <w:divBdr>
        <w:top w:val="none" w:sz="0" w:space="0" w:color="auto"/>
        <w:left w:val="none" w:sz="0" w:space="0" w:color="auto"/>
        <w:bottom w:val="none" w:sz="0" w:space="0" w:color="auto"/>
        <w:right w:val="none" w:sz="0" w:space="0" w:color="auto"/>
      </w:divBdr>
      <w:divsChild>
        <w:div w:id="1681589683">
          <w:marLeft w:val="806"/>
          <w:marRight w:val="0"/>
          <w:marTop w:val="72"/>
          <w:marBottom w:val="0"/>
          <w:divBdr>
            <w:top w:val="none" w:sz="0" w:space="0" w:color="auto"/>
            <w:left w:val="none" w:sz="0" w:space="0" w:color="auto"/>
            <w:bottom w:val="none" w:sz="0" w:space="0" w:color="auto"/>
            <w:right w:val="none" w:sz="0" w:space="0" w:color="auto"/>
          </w:divBdr>
        </w:div>
      </w:divsChild>
    </w:div>
    <w:div w:id="794712550">
      <w:bodyDiv w:val="1"/>
      <w:marLeft w:val="0"/>
      <w:marRight w:val="0"/>
      <w:marTop w:val="0"/>
      <w:marBottom w:val="0"/>
      <w:divBdr>
        <w:top w:val="none" w:sz="0" w:space="0" w:color="auto"/>
        <w:left w:val="none" w:sz="0" w:space="0" w:color="auto"/>
        <w:bottom w:val="none" w:sz="0" w:space="0" w:color="auto"/>
        <w:right w:val="none" w:sz="0" w:space="0" w:color="auto"/>
      </w:divBdr>
      <w:divsChild>
        <w:div w:id="67962385">
          <w:marLeft w:val="1440"/>
          <w:marRight w:val="0"/>
          <w:marTop w:val="67"/>
          <w:marBottom w:val="0"/>
          <w:divBdr>
            <w:top w:val="none" w:sz="0" w:space="0" w:color="auto"/>
            <w:left w:val="none" w:sz="0" w:space="0" w:color="auto"/>
            <w:bottom w:val="none" w:sz="0" w:space="0" w:color="auto"/>
            <w:right w:val="none" w:sz="0" w:space="0" w:color="auto"/>
          </w:divBdr>
        </w:div>
        <w:div w:id="170728940">
          <w:marLeft w:val="1440"/>
          <w:marRight w:val="0"/>
          <w:marTop w:val="67"/>
          <w:marBottom w:val="0"/>
          <w:divBdr>
            <w:top w:val="none" w:sz="0" w:space="0" w:color="auto"/>
            <w:left w:val="none" w:sz="0" w:space="0" w:color="auto"/>
            <w:bottom w:val="none" w:sz="0" w:space="0" w:color="auto"/>
            <w:right w:val="none" w:sz="0" w:space="0" w:color="auto"/>
          </w:divBdr>
        </w:div>
        <w:div w:id="422722681">
          <w:marLeft w:val="1800"/>
          <w:marRight w:val="0"/>
          <w:marTop w:val="48"/>
          <w:marBottom w:val="0"/>
          <w:divBdr>
            <w:top w:val="none" w:sz="0" w:space="0" w:color="auto"/>
            <w:left w:val="none" w:sz="0" w:space="0" w:color="auto"/>
            <w:bottom w:val="none" w:sz="0" w:space="0" w:color="auto"/>
            <w:right w:val="none" w:sz="0" w:space="0" w:color="auto"/>
          </w:divBdr>
        </w:div>
        <w:div w:id="537400086">
          <w:marLeft w:val="806"/>
          <w:marRight w:val="0"/>
          <w:marTop w:val="72"/>
          <w:marBottom w:val="0"/>
          <w:divBdr>
            <w:top w:val="none" w:sz="0" w:space="0" w:color="auto"/>
            <w:left w:val="none" w:sz="0" w:space="0" w:color="auto"/>
            <w:bottom w:val="none" w:sz="0" w:space="0" w:color="auto"/>
            <w:right w:val="none" w:sz="0" w:space="0" w:color="auto"/>
          </w:divBdr>
        </w:div>
        <w:div w:id="656344529">
          <w:marLeft w:val="1800"/>
          <w:marRight w:val="0"/>
          <w:marTop w:val="48"/>
          <w:marBottom w:val="0"/>
          <w:divBdr>
            <w:top w:val="none" w:sz="0" w:space="0" w:color="auto"/>
            <w:left w:val="none" w:sz="0" w:space="0" w:color="auto"/>
            <w:bottom w:val="none" w:sz="0" w:space="0" w:color="auto"/>
            <w:right w:val="none" w:sz="0" w:space="0" w:color="auto"/>
          </w:divBdr>
        </w:div>
        <w:div w:id="903029954">
          <w:marLeft w:val="1440"/>
          <w:marRight w:val="0"/>
          <w:marTop w:val="67"/>
          <w:marBottom w:val="0"/>
          <w:divBdr>
            <w:top w:val="none" w:sz="0" w:space="0" w:color="auto"/>
            <w:left w:val="none" w:sz="0" w:space="0" w:color="auto"/>
            <w:bottom w:val="none" w:sz="0" w:space="0" w:color="auto"/>
            <w:right w:val="none" w:sz="0" w:space="0" w:color="auto"/>
          </w:divBdr>
        </w:div>
        <w:div w:id="1098331056">
          <w:marLeft w:val="1440"/>
          <w:marRight w:val="0"/>
          <w:marTop w:val="67"/>
          <w:marBottom w:val="0"/>
          <w:divBdr>
            <w:top w:val="none" w:sz="0" w:space="0" w:color="auto"/>
            <w:left w:val="none" w:sz="0" w:space="0" w:color="auto"/>
            <w:bottom w:val="none" w:sz="0" w:space="0" w:color="auto"/>
            <w:right w:val="none" w:sz="0" w:space="0" w:color="auto"/>
          </w:divBdr>
        </w:div>
        <w:div w:id="1137256038">
          <w:marLeft w:val="1440"/>
          <w:marRight w:val="0"/>
          <w:marTop w:val="67"/>
          <w:marBottom w:val="0"/>
          <w:divBdr>
            <w:top w:val="none" w:sz="0" w:space="0" w:color="auto"/>
            <w:left w:val="none" w:sz="0" w:space="0" w:color="auto"/>
            <w:bottom w:val="none" w:sz="0" w:space="0" w:color="auto"/>
            <w:right w:val="none" w:sz="0" w:space="0" w:color="auto"/>
          </w:divBdr>
        </w:div>
        <w:div w:id="1356351019">
          <w:marLeft w:val="806"/>
          <w:marRight w:val="0"/>
          <w:marTop w:val="72"/>
          <w:marBottom w:val="0"/>
          <w:divBdr>
            <w:top w:val="none" w:sz="0" w:space="0" w:color="auto"/>
            <w:left w:val="none" w:sz="0" w:space="0" w:color="auto"/>
            <w:bottom w:val="none" w:sz="0" w:space="0" w:color="auto"/>
            <w:right w:val="none" w:sz="0" w:space="0" w:color="auto"/>
          </w:divBdr>
        </w:div>
        <w:div w:id="1544249065">
          <w:marLeft w:val="1440"/>
          <w:marRight w:val="0"/>
          <w:marTop w:val="67"/>
          <w:marBottom w:val="0"/>
          <w:divBdr>
            <w:top w:val="none" w:sz="0" w:space="0" w:color="auto"/>
            <w:left w:val="none" w:sz="0" w:space="0" w:color="auto"/>
            <w:bottom w:val="none" w:sz="0" w:space="0" w:color="auto"/>
            <w:right w:val="none" w:sz="0" w:space="0" w:color="auto"/>
          </w:divBdr>
        </w:div>
        <w:div w:id="1708874776">
          <w:marLeft w:val="1166"/>
          <w:marRight w:val="0"/>
          <w:marTop w:val="58"/>
          <w:marBottom w:val="0"/>
          <w:divBdr>
            <w:top w:val="none" w:sz="0" w:space="0" w:color="auto"/>
            <w:left w:val="none" w:sz="0" w:space="0" w:color="auto"/>
            <w:bottom w:val="none" w:sz="0" w:space="0" w:color="auto"/>
            <w:right w:val="none" w:sz="0" w:space="0" w:color="auto"/>
          </w:divBdr>
        </w:div>
        <w:div w:id="1718311960">
          <w:marLeft w:val="1440"/>
          <w:marRight w:val="0"/>
          <w:marTop w:val="67"/>
          <w:marBottom w:val="0"/>
          <w:divBdr>
            <w:top w:val="none" w:sz="0" w:space="0" w:color="auto"/>
            <w:left w:val="none" w:sz="0" w:space="0" w:color="auto"/>
            <w:bottom w:val="none" w:sz="0" w:space="0" w:color="auto"/>
            <w:right w:val="none" w:sz="0" w:space="0" w:color="auto"/>
          </w:divBdr>
        </w:div>
        <w:div w:id="1796099052">
          <w:marLeft w:val="1440"/>
          <w:marRight w:val="0"/>
          <w:marTop w:val="67"/>
          <w:marBottom w:val="0"/>
          <w:divBdr>
            <w:top w:val="none" w:sz="0" w:space="0" w:color="auto"/>
            <w:left w:val="none" w:sz="0" w:space="0" w:color="auto"/>
            <w:bottom w:val="none" w:sz="0" w:space="0" w:color="auto"/>
            <w:right w:val="none" w:sz="0" w:space="0" w:color="auto"/>
          </w:divBdr>
        </w:div>
        <w:div w:id="1819572505">
          <w:marLeft w:val="1440"/>
          <w:marRight w:val="0"/>
          <w:marTop w:val="67"/>
          <w:marBottom w:val="0"/>
          <w:divBdr>
            <w:top w:val="none" w:sz="0" w:space="0" w:color="auto"/>
            <w:left w:val="none" w:sz="0" w:space="0" w:color="auto"/>
            <w:bottom w:val="none" w:sz="0" w:space="0" w:color="auto"/>
            <w:right w:val="none" w:sz="0" w:space="0" w:color="auto"/>
          </w:divBdr>
        </w:div>
        <w:div w:id="1991013543">
          <w:marLeft w:val="806"/>
          <w:marRight w:val="0"/>
          <w:marTop w:val="72"/>
          <w:marBottom w:val="0"/>
          <w:divBdr>
            <w:top w:val="none" w:sz="0" w:space="0" w:color="auto"/>
            <w:left w:val="none" w:sz="0" w:space="0" w:color="auto"/>
            <w:bottom w:val="none" w:sz="0" w:space="0" w:color="auto"/>
            <w:right w:val="none" w:sz="0" w:space="0" w:color="auto"/>
          </w:divBdr>
        </w:div>
      </w:divsChild>
    </w:div>
    <w:div w:id="913247913">
      <w:bodyDiv w:val="1"/>
      <w:marLeft w:val="0"/>
      <w:marRight w:val="0"/>
      <w:marTop w:val="0"/>
      <w:marBottom w:val="0"/>
      <w:divBdr>
        <w:top w:val="none" w:sz="0" w:space="0" w:color="auto"/>
        <w:left w:val="none" w:sz="0" w:space="0" w:color="auto"/>
        <w:bottom w:val="none" w:sz="0" w:space="0" w:color="auto"/>
        <w:right w:val="none" w:sz="0" w:space="0" w:color="auto"/>
      </w:divBdr>
    </w:div>
    <w:div w:id="1025712083">
      <w:bodyDiv w:val="1"/>
      <w:marLeft w:val="0"/>
      <w:marRight w:val="0"/>
      <w:marTop w:val="0"/>
      <w:marBottom w:val="0"/>
      <w:divBdr>
        <w:top w:val="none" w:sz="0" w:space="0" w:color="auto"/>
        <w:left w:val="none" w:sz="0" w:space="0" w:color="auto"/>
        <w:bottom w:val="none" w:sz="0" w:space="0" w:color="auto"/>
        <w:right w:val="none" w:sz="0" w:space="0" w:color="auto"/>
      </w:divBdr>
    </w:div>
    <w:div w:id="1199659044">
      <w:bodyDiv w:val="1"/>
      <w:marLeft w:val="0"/>
      <w:marRight w:val="0"/>
      <w:marTop w:val="0"/>
      <w:marBottom w:val="0"/>
      <w:divBdr>
        <w:top w:val="none" w:sz="0" w:space="0" w:color="auto"/>
        <w:left w:val="none" w:sz="0" w:space="0" w:color="auto"/>
        <w:bottom w:val="none" w:sz="0" w:space="0" w:color="auto"/>
        <w:right w:val="none" w:sz="0" w:space="0" w:color="auto"/>
      </w:divBdr>
      <w:divsChild>
        <w:div w:id="1955867629">
          <w:marLeft w:val="806"/>
          <w:marRight w:val="0"/>
          <w:marTop w:val="86"/>
          <w:marBottom w:val="0"/>
          <w:divBdr>
            <w:top w:val="none" w:sz="0" w:space="0" w:color="auto"/>
            <w:left w:val="none" w:sz="0" w:space="0" w:color="auto"/>
            <w:bottom w:val="none" w:sz="0" w:space="0" w:color="auto"/>
            <w:right w:val="none" w:sz="0" w:space="0" w:color="auto"/>
          </w:divBdr>
        </w:div>
      </w:divsChild>
    </w:div>
    <w:div w:id="1262033174">
      <w:bodyDiv w:val="1"/>
      <w:marLeft w:val="0"/>
      <w:marRight w:val="0"/>
      <w:marTop w:val="0"/>
      <w:marBottom w:val="0"/>
      <w:divBdr>
        <w:top w:val="none" w:sz="0" w:space="0" w:color="auto"/>
        <w:left w:val="none" w:sz="0" w:space="0" w:color="auto"/>
        <w:bottom w:val="none" w:sz="0" w:space="0" w:color="auto"/>
        <w:right w:val="none" w:sz="0" w:space="0" w:color="auto"/>
      </w:divBdr>
      <w:divsChild>
        <w:div w:id="1593852598">
          <w:marLeft w:val="806"/>
          <w:marRight w:val="0"/>
          <w:marTop w:val="86"/>
          <w:marBottom w:val="0"/>
          <w:divBdr>
            <w:top w:val="none" w:sz="0" w:space="0" w:color="auto"/>
            <w:left w:val="none" w:sz="0" w:space="0" w:color="auto"/>
            <w:bottom w:val="none" w:sz="0" w:space="0" w:color="auto"/>
            <w:right w:val="none" w:sz="0" w:space="0" w:color="auto"/>
          </w:divBdr>
        </w:div>
      </w:divsChild>
    </w:div>
    <w:div w:id="1484076944">
      <w:bodyDiv w:val="1"/>
      <w:marLeft w:val="0"/>
      <w:marRight w:val="0"/>
      <w:marTop w:val="0"/>
      <w:marBottom w:val="0"/>
      <w:divBdr>
        <w:top w:val="none" w:sz="0" w:space="0" w:color="auto"/>
        <w:left w:val="none" w:sz="0" w:space="0" w:color="auto"/>
        <w:bottom w:val="none" w:sz="0" w:space="0" w:color="auto"/>
        <w:right w:val="none" w:sz="0" w:space="0" w:color="auto"/>
      </w:divBdr>
      <w:divsChild>
        <w:div w:id="406656945">
          <w:marLeft w:val="0"/>
          <w:marRight w:val="0"/>
          <w:marTop w:val="0"/>
          <w:marBottom w:val="0"/>
          <w:divBdr>
            <w:top w:val="none" w:sz="0" w:space="0" w:color="auto"/>
            <w:left w:val="none" w:sz="0" w:space="0" w:color="auto"/>
            <w:bottom w:val="none" w:sz="0" w:space="0" w:color="auto"/>
            <w:right w:val="none" w:sz="0" w:space="0" w:color="auto"/>
          </w:divBdr>
        </w:div>
        <w:div w:id="1775131186">
          <w:marLeft w:val="0"/>
          <w:marRight w:val="0"/>
          <w:marTop w:val="0"/>
          <w:marBottom w:val="0"/>
          <w:divBdr>
            <w:top w:val="none" w:sz="0" w:space="0" w:color="auto"/>
            <w:left w:val="none" w:sz="0" w:space="0" w:color="auto"/>
            <w:bottom w:val="none" w:sz="0" w:space="0" w:color="auto"/>
            <w:right w:val="none" w:sz="0" w:space="0" w:color="auto"/>
          </w:divBdr>
        </w:div>
      </w:divsChild>
    </w:div>
    <w:div w:id="1647929035">
      <w:bodyDiv w:val="1"/>
      <w:marLeft w:val="0"/>
      <w:marRight w:val="0"/>
      <w:marTop w:val="0"/>
      <w:marBottom w:val="0"/>
      <w:divBdr>
        <w:top w:val="none" w:sz="0" w:space="0" w:color="auto"/>
        <w:left w:val="none" w:sz="0" w:space="0" w:color="auto"/>
        <w:bottom w:val="none" w:sz="0" w:space="0" w:color="auto"/>
        <w:right w:val="none" w:sz="0" w:space="0" w:color="auto"/>
      </w:divBdr>
      <w:divsChild>
        <w:div w:id="59450289">
          <w:marLeft w:val="1440"/>
          <w:marRight w:val="0"/>
          <w:marTop w:val="72"/>
          <w:marBottom w:val="0"/>
          <w:divBdr>
            <w:top w:val="none" w:sz="0" w:space="0" w:color="auto"/>
            <w:left w:val="none" w:sz="0" w:space="0" w:color="auto"/>
            <w:bottom w:val="none" w:sz="0" w:space="0" w:color="auto"/>
            <w:right w:val="none" w:sz="0" w:space="0" w:color="auto"/>
          </w:divBdr>
        </w:div>
        <w:div w:id="249778000">
          <w:marLeft w:val="1440"/>
          <w:marRight w:val="0"/>
          <w:marTop w:val="72"/>
          <w:marBottom w:val="0"/>
          <w:divBdr>
            <w:top w:val="none" w:sz="0" w:space="0" w:color="auto"/>
            <w:left w:val="none" w:sz="0" w:space="0" w:color="auto"/>
            <w:bottom w:val="none" w:sz="0" w:space="0" w:color="auto"/>
            <w:right w:val="none" w:sz="0" w:space="0" w:color="auto"/>
          </w:divBdr>
        </w:div>
        <w:div w:id="640765785">
          <w:marLeft w:val="1440"/>
          <w:marRight w:val="0"/>
          <w:marTop w:val="72"/>
          <w:marBottom w:val="0"/>
          <w:divBdr>
            <w:top w:val="none" w:sz="0" w:space="0" w:color="auto"/>
            <w:left w:val="none" w:sz="0" w:space="0" w:color="auto"/>
            <w:bottom w:val="none" w:sz="0" w:space="0" w:color="auto"/>
            <w:right w:val="none" w:sz="0" w:space="0" w:color="auto"/>
          </w:divBdr>
        </w:div>
        <w:div w:id="711423899">
          <w:marLeft w:val="1440"/>
          <w:marRight w:val="0"/>
          <w:marTop w:val="72"/>
          <w:marBottom w:val="0"/>
          <w:divBdr>
            <w:top w:val="none" w:sz="0" w:space="0" w:color="auto"/>
            <w:left w:val="none" w:sz="0" w:space="0" w:color="auto"/>
            <w:bottom w:val="none" w:sz="0" w:space="0" w:color="auto"/>
            <w:right w:val="none" w:sz="0" w:space="0" w:color="auto"/>
          </w:divBdr>
        </w:div>
        <w:div w:id="805007211">
          <w:marLeft w:val="1440"/>
          <w:marRight w:val="0"/>
          <w:marTop w:val="72"/>
          <w:marBottom w:val="0"/>
          <w:divBdr>
            <w:top w:val="none" w:sz="0" w:space="0" w:color="auto"/>
            <w:left w:val="none" w:sz="0" w:space="0" w:color="auto"/>
            <w:bottom w:val="none" w:sz="0" w:space="0" w:color="auto"/>
            <w:right w:val="none" w:sz="0" w:space="0" w:color="auto"/>
          </w:divBdr>
        </w:div>
        <w:div w:id="1248463691">
          <w:marLeft w:val="1440"/>
          <w:marRight w:val="0"/>
          <w:marTop w:val="72"/>
          <w:marBottom w:val="0"/>
          <w:divBdr>
            <w:top w:val="none" w:sz="0" w:space="0" w:color="auto"/>
            <w:left w:val="none" w:sz="0" w:space="0" w:color="auto"/>
            <w:bottom w:val="none" w:sz="0" w:space="0" w:color="auto"/>
            <w:right w:val="none" w:sz="0" w:space="0" w:color="auto"/>
          </w:divBdr>
        </w:div>
        <w:div w:id="1315992192">
          <w:marLeft w:val="1440"/>
          <w:marRight w:val="0"/>
          <w:marTop w:val="72"/>
          <w:marBottom w:val="0"/>
          <w:divBdr>
            <w:top w:val="none" w:sz="0" w:space="0" w:color="auto"/>
            <w:left w:val="none" w:sz="0" w:space="0" w:color="auto"/>
            <w:bottom w:val="none" w:sz="0" w:space="0" w:color="auto"/>
            <w:right w:val="none" w:sz="0" w:space="0" w:color="auto"/>
          </w:divBdr>
        </w:div>
        <w:div w:id="1560943314">
          <w:marLeft w:val="1440"/>
          <w:marRight w:val="0"/>
          <w:marTop w:val="72"/>
          <w:marBottom w:val="0"/>
          <w:divBdr>
            <w:top w:val="none" w:sz="0" w:space="0" w:color="auto"/>
            <w:left w:val="none" w:sz="0" w:space="0" w:color="auto"/>
            <w:bottom w:val="none" w:sz="0" w:space="0" w:color="auto"/>
            <w:right w:val="none" w:sz="0" w:space="0" w:color="auto"/>
          </w:divBdr>
        </w:div>
        <w:div w:id="1580023067">
          <w:marLeft w:val="806"/>
          <w:marRight w:val="0"/>
          <w:marTop w:val="86"/>
          <w:marBottom w:val="0"/>
          <w:divBdr>
            <w:top w:val="none" w:sz="0" w:space="0" w:color="auto"/>
            <w:left w:val="none" w:sz="0" w:space="0" w:color="auto"/>
            <w:bottom w:val="none" w:sz="0" w:space="0" w:color="auto"/>
            <w:right w:val="none" w:sz="0" w:space="0" w:color="auto"/>
          </w:divBdr>
        </w:div>
        <w:div w:id="1695112895">
          <w:marLeft w:val="806"/>
          <w:marRight w:val="0"/>
          <w:marTop w:val="86"/>
          <w:marBottom w:val="0"/>
          <w:divBdr>
            <w:top w:val="none" w:sz="0" w:space="0" w:color="auto"/>
            <w:left w:val="none" w:sz="0" w:space="0" w:color="auto"/>
            <w:bottom w:val="none" w:sz="0" w:space="0" w:color="auto"/>
            <w:right w:val="none" w:sz="0" w:space="0" w:color="auto"/>
          </w:divBdr>
        </w:div>
        <w:div w:id="2050450190">
          <w:marLeft w:val="806"/>
          <w:marRight w:val="0"/>
          <w:marTop w:val="86"/>
          <w:marBottom w:val="0"/>
          <w:divBdr>
            <w:top w:val="none" w:sz="0" w:space="0" w:color="auto"/>
            <w:left w:val="none" w:sz="0" w:space="0" w:color="auto"/>
            <w:bottom w:val="none" w:sz="0" w:space="0" w:color="auto"/>
            <w:right w:val="none" w:sz="0" w:space="0" w:color="auto"/>
          </w:divBdr>
        </w:div>
      </w:divsChild>
    </w:div>
    <w:div w:id="1829439182">
      <w:bodyDiv w:val="1"/>
      <w:marLeft w:val="0"/>
      <w:marRight w:val="0"/>
      <w:marTop w:val="0"/>
      <w:marBottom w:val="0"/>
      <w:divBdr>
        <w:top w:val="none" w:sz="0" w:space="0" w:color="auto"/>
        <w:left w:val="none" w:sz="0" w:space="0" w:color="auto"/>
        <w:bottom w:val="none" w:sz="0" w:space="0" w:color="auto"/>
        <w:right w:val="none" w:sz="0" w:space="0" w:color="auto"/>
      </w:divBdr>
    </w:div>
    <w:div w:id="1868442160">
      <w:bodyDiv w:val="1"/>
      <w:marLeft w:val="0"/>
      <w:marRight w:val="0"/>
      <w:marTop w:val="0"/>
      <w:marBottom w:val="0"/>
      <w:divBdr>
        <w:top w:val="none" w:sz="0" w:space="0" w:color="auto"/>
        <w:left w:val="none" w:sz="0" w:space="0" w:color="auto"/>
        <w:bottom w:val="none" w:sz="0" w:space="0" w:color="auto"/>
        <w:right w:val="none" w:sz="0" w:space="0" w:color="auto"/>
      </w:divBdr>
    </w:div>
    <w:div w:id="1978560774">
      <w:bodyDiv w:val="1"/>
      <w:marLeft w:val="0"/>
      <w:marRight w:val="0"/>
      <w:marTop w:val="0"/>
      <w:marBottom w:val="0"/>
      <w:divBdr>
        <w:top w:val="none" w:sz="0" w:space="0" w:color="auto"/>
        <w:left w:val="none" w:sz="0" w:space="0" w:color="auto"/>
        <w:bottom w:val="none" w:sz="0" w:space="0" w:color="auto"/>
        <w:right w:val="none" w:sz="0" w:space="0" w:color="auto"/>
      </w:divBdr>
    </w:div>
    <w:div w:id="2012104710">
      <w:bodyDiv w:val="1"/>
      <w:marLeft w:val="0"/>
      <w:marRight w:val="0"/>
      <w:marTop w:val="0"/>
      <w:marBottom w:val="0"/>
      <w:divBdr>
        <w:top w:val="none" w:sz="0" w:space="0" w:color="auto"/>
        <w:left w:val="none" w:sz="0" w:space="0" w:color="auto"/>
        <w:bottom w:val="none" w:sz="0" w:space="0" w:color="auto"/>
        <w:right w:val="none" w:sz="0" w:space="0" w:color="auto"/>
      </w:divBdr>
      <w:divsChild>
        <w:div w:id="197591574">
          <w:marLeft w:val="0"/>
          <w:marRight w:val="0"/>
          <w:marTop w:val="0"/>
          <w:marBottom w:val="0"/>
          <w:divBdr>
            <w:top w:val="none" w:sz="0" w:space="0" w:color="auto"/>
            <w:left w:val="none" w:sz="0" w:space="0" w:color="auto"/>
            <w:bottom w:val="none" w:sz="0" w:space="0" w:color="auto"/>
            <w:right w:val="none" w:sz="0" w:space="0" w:color="auto"/>
          </w:divBdr>
        </w:div>
        <w:div w:id="238447066">
          <w:marLeft w:val="0"/>
          <w:marRight w:val="0"/>
          <w:marTop w:val="0"/>
          <w:marBottom w:val="0"/>
          <w:divBdr>
            <w:top w:val="none" w:sz="0" w:space="0" w:color="auto"/>
            <w:left w:val="none" w:sz="0" w:space="0" w:color="auto"/>
            <w:bottom w:val="none" w:sz="0" w:space="0" w:color="auto"/>
            <w:right w:val="none" w:sz="0" w:space="0" w:color="auto"/>
          </w:divBdr>
        </w:div>
        <w:div w:id="266012378">
          <w:marLeft w:val="0"/>
          <w:marRight w:val="0"/>
          <w:marTop w:val="0"/>
          <w:marBottom w:val="0"/>
          <w:divBdr>
            <w:top w:val="none" w:sz="0" w:space="0" w:color="auto"/>
            <w:left w:val="none" w:sz="0" w:space="0" w:color="auto"/>
            <w:bottom w:val="none" w:sz="0" w:space="0" w:color="auto"/>
            <w:right w:val="none" w:sz="0" w:space="0" w:color="auto"/>
          </w:divBdr>
        </w:div>
        <w:div w:id="541287128">
          <w:marLeft w:val="0"/>
          <w:marRight w:val="0"/>
          <w:marTop w:val="0"/>
          <w:marBottom w:val="0"/>
          <w:divBdr>
            <w:top w:val="none" w:sz="0" w:space="0" w:color="auto"/>
            <w:left w:val="none" w:sz="0" w:space="0" w:color="auto"/>
            <w:bottom w:val="none" w:sz="0" w:space="0" w:color="auto"/>
            <w:right w:val="none" w:sz="0" w:space="0" w:color="auto"/>
          </w:divBdr>
        </w:div>
        <w:div w:id="1641611561">
          <w:marLeft w:val="0"/>
          <w:marRight w:val="0"/>
          <w:marTop w:val="0"/>
          <w:marBottom w:val="0"/>
          <w:divBdr>
            <w:top w:val="none" w:sz="0" w:space="0" w:color="auto"/>
            <w:left w:val="none" w:sz="0" w:space="0" w:color="auto"/>
            <w:bottom w:val="none" w:sz="0" w:space="0" w:color="auto"/>
            <w:right w:val="none" w:sz="0" w:space="0" w:color="auto"/>
          </w:divBdr>
        </w:div>
        <w:div w:id="1760953440">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0B933FC0-A20C-44E3-A890-F694B9652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478</Words>
  <Characters>2730</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World Health Organization</Company>
  <LinksUpToDate>false</LinksUpToDate>
  <CharactersWithSpaces>3202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SENOUCI, Kamel</dc:creator>
  <cp:lastModifiedBy>MAFUNGA, Neddy</cp:lastModifiedBy>
  <cp:revision>2</cp:revision>
  <cp:lastPrinted>2016-06-28T07:36:00Z</cp:lastPrinted>
  <dcterms:created xsi:type="dcterms:W3CDTF">2016-08-26T10:50:00Z</dcterms:created>
  <dcterms:modified xsi:type="dcterms:W3CDTF">2016-08-26T10:50:00Z</dcterms:modified>
</cp:coreProperties>
</file>