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781E" w:rsidRPr="007E781E" w:rsidRDefault="007E781E" w:rsidP="00961CAE">
      <w:pPr>
        <w:spacing w:line="240" w:lineRule="auto"/>
        <w:rPr>
          <w:rFonts w:ascii="Tahoma" w:hAnsi="Tahoma" w:cs="Tahoma"/>
          <w:b/>
          <w:bCs/>
          <w:color w:val="FF0000"/>
        </w:rPr>
      </w:pPr>
      <w:r w:rsidRPr="007E781E">
        <w:rPr>
          <w:rFonts w:ascii="Tahoma" w:hAnsi="Tahoma" w:cs="Tahoma"/>
          <w:b/>
          <w:bCs/>
          <w:color w:val="FF0000"/>
        </w:rPr>
        <w:t>Front page</w:t>
      </w:r>
    </w:p>
    <w:p w:rsidR="00FD19E2" w:rsidRPr="007E781E" w:rsidRDefault="000A0BA5" w:rsidP="00961CAE">
      <w:pPr>
        <w:spacing w:line="240" w:lineRule="auto"/>
        <w:rPr>
          <w:rFonts w:ascii="Tahoma" w:hAnsi="Tahoma" w:cs="Tahoma"/>
          <w:b/>
          <w:bCs/>
        </w:rPr>
      </w:pPr>
      <w:r w:rsidRPr="007E781E">
        <w:rPr>
          <w:rFonts w:ascii="Tahoma" w:hAnsi="Tahoma" w:cs="Tahoma"/>
          <w:b/>
          <w:bCs/>
        </w:rPr>
        <w:t>STATUS OF HEPATITIS B</w:t>
      </w:r>
    </w:p>
    <w:p w:rsidR="000A0BA5" w:rsidRPr="007E781E" w:rsidRDefault="000A0BA5" w:rsidP="00961CAE">
      <w:pPr>
        <w:spacing w:line="240" w:lineRule="auto"/>
        <w:rPr>
          <w:rFonts w:ascii="Tahoma" w:hAnsi="Tahoma" w:cs="Tahoma"/>
          <w:b/>
          <w:bCs/>
          <w:sz w:val="21"/>
          <w:szCs w:val="21"/>
          <w:lang w:val="en-GB"/>
        </w:rPr>
      </w:pPr>
      <w:r w:rsidRPr="007E781E">
        <w:rPr>
          <w:rFonts w:ascii="Tahoma" w:hAnsi="Tahoma" w:cs="Tahoma"/>
          <w:b/>
          <w:bCs/>
        </w:rPr>
        <w:t>FIRST FIVE YEARS OF LIFE – A CRITICAL TIME TO PREVENT CHRONIC HEPATITIS B INFECTION</w:t>
      </w:r>
    </w:p>
    <w:p w:rsidR="000A0BA5" w:rsidRPr="007E781E" w:rsidRDefault="000A0BA5" w:rsidP="000A0BA5">
      <w:pPr>
        <w:rPr>
          <w:rFonts w:ascii="Tahoma" w:hAnsi="Tahoma" w:cs="Tahoma"/>
          <w:b/>
          <w:bCs/>
          <w:sz w:val="21"/>
          <w:szCs w:val="21"/>
          <w:lang w:val="en-GB"/>
        </w:rPr>
      </w:pPr>
      <w:r w:rsidRPr="007E781E">
        <w:rPr>
          <w:rFonts w:ascii="Tahoma" w:hAnsi="Tahoma" w:cs="Tahoma"/>
          <w:b/>
          <w:bCs/>
          <w:sz w:val="21"/>
          <w:szCs w:val="21"/>
          <w:lang w:val="en-GB"/>
        </w:rPr>
        <w:t>Goal</w:t>
      </w:r>
    </w:p>
    <w:p w:rsidR="000A0BA5" w:rsidRDefault="000A0BA5" w:rsidP="007E781E">
      <w:pPr>
        <w:spacing w:line="240" w:lineRule="auto"/>
        <w:rPr>
          <w:rFonts w:ascii="Tahoma" w:hAnsi="Tahoma" w:cs="Tahoma"/>
          <w:sz w:val="21"/>
          <w:szCs w:val="21"/>
          <w:lang w:val="en-GB"/>
        </w:rPr>
      </w:pPr>
      <w:r w:rsidRPr="007E781E">
        <w:rPr>
          <w:rFonts w:ascii="Tahoma" w:hAnsi="Tahoma" w:cs="Tahoma"/>
          <w:sz w:val="21"/>
          <w:szCs w:val="21"/>
          <w:lang w:val="en-GB"/>
        </w:rPr>
        <w:t>In May 2016, the World Health Assembly endorsed the Global Health Sector Strategy (GHSS) on viral hepatitis 2016–2021. The GHSS calls for the elimination of viral hepatitis as a public health threat by 2030 (reducing new infections by 90% and mortality by 65%).</w:t>
      </w:r>
    </w:p>
    <w:p w:rsidR="007E781E" w:rsidRPr="007E781E" w:rsidRDefault="007E781E" w:rsidP="007E781E">
      <w:pPr>
        <w:spacing w:line="240" w:lineRule="auto"/>
        <w:rPr>
          <w:rFonts w:ascii="Tahoma" w:hAnsi="Tahoma" w:cs="Tahoma"/>
          <w:sz w:val="21"/>
          <w:szCs w:val="21"/>
          <w:lang w:val="en-GB"/>
        </w:rPr>
      </w:pPr>
      <w:r w:rsidRPr="007E781E">
        <w:rPr>
          <w:rFonts w:ascii="Tahoma" w:hAnsi="Tahoma" w:cs="Tahoma"/>
          <w:sz w:val="21"/>
          <w:szCs w:val="21"/>
          <w:lang w:val="en-GB"/>
        </w:rPr>
        <w:t xml:space="preserve">Most of the burden of disease from </w:t>
      </w:r>
      <w:r>
        <w:rPr>
          <w:rFonts w:ascii="Tahoma" w:hAnsi="Tahoma" w:cs="Tahoma"/>
          <w:sz w:val="21"/>
          <w:szCs w:val="21"/>
          <w:lang w:val="en-GB"/>
        </w:rPr>
        <w:t>hepatitis B virus (</w:t>
      </w:r>
      <w:r w:rsidRPr="007E781E">
        <w:rPr>
          <w:rFonts w:ascii="Tahoma" w:hAnsi="Tahoma" w:cs="Tahoma"/>
          <w:sz w:val="21"/>
          <w:szCs w:val="21"/>
          <w:lang w:val="en-GB"/>
        </w:rPr>
        <w:t>HBV</w:t>
      </w:r>
      <w:r>
        <w:rPr>
          <w:rFonts w:ascii="Tahoma" w:hAnsi="Tahoma" w:cs="Tahoma"/>
          <w:sz w:val="21"/>
          <w:szCs w:val="21"/>
          <w:lang w:val="en-GB"/>
        </w:rPr>
        <w:t>)</w:t>
      </w:r>
      <w:r w:rsidRPr="007E781E">
        <w:rPr>
          <w:rFonts w:ascii="Tahoma" w:hAnsi="Tahoma" w:cs="Tahoma"/>
          <w:sz w:val="21"/>
          <w:szCs w:val="21"/>
          <w:lang w:val="en-GB"/>
        </w:rPr>
        <w:t xml:space="preserve"> infection comes from infections acquired before the age of 5 years. Therefore, prevention of HBV infection focuses on children under 5 years of age. The United Nations selected the cumulative incidence of chronic HBV infection at 5 years of age as an indicator of the Sustainable Development Goal target for “combating hepatitis” . This indicator is measured indirectly through the proportion of children 5 years of age who have developed</w:t>
      </w:r>
      <w:r>
        <w:rPr>
          <w:rFonts w:ascii="Tahoma" w:hAnsi="Tahoma" w:cs="Tahoma"/>
          <w:sz w:val="21"/>
          <w:szCs w:val="21"/>
          <w:lang w:val="en-GB"/>
        </w:rPr>
        <w:t xml:space="preserve"> </w:t>
      </w:r>
      <w:r w:rsidRPr="007E781E">
        <w:rPr>
          <w:rFonts w:ascii="Tahoma" w:hAnsi="Tahoma" w:cs="Tahoma"/>
          <w:sz w:val="21"/>
          <w:szCs w:val="21"/>
          <w:lang w:val="en-GB"/>
        </w:rPr>
        <w:t>chronic HBV infection (i.e. the proportion that tests positive for a marker of infection called hepatitis B surface antigen [HBsAg]).</w:t>
      </w:r>
    </w:p>
    <w:p w:rsidR="000A0BA5" w:rsidRPr="007E781E" w:rsidRDefault="000A0BA5" w:rsidP="007E781E">
      <w:pPr>
        <w:spacing w:line="240" w:lineRule="auto"/>
        <w:rPr>
          <w:rFonts w:ascii="Tahoma" w:hAnsi="Tahoma" w:cs="Tahoma"/>
          <w:b/>
          <w:bCs/>
          <w:sz w:val="21"/>
          <w:szCs w:val="21"/>
          <w:lang w:val="en-GB"/>
        </w:rPr>
      </w:pPr>
      <w:r w:rsidRPr="007E781E">
        <w:rPr>
          <w:rFonts w:ascii="Tahoma" w:hAnsi="Tahoma" w:cs="Tahoma"/>
          <w:b/>
          <w:bCs/>
          <w:sz w:val="21"/>
          <w:szCs w:val="21"/>
          <w:lang w:val="en-GB"/>
        </w:rPr>
        <w:t xml:space="preserve">Hepatitis </w:t>
      </w:r>
      <w:r w:rsidR="007E781E" w:rsidRPr="007E781E">
        <w:rPr>
          <w:rFonts w:ascii="Tahoma" w:hAnsi="Tahoma" w:cs="Tahoma"/>
          <w:b/>
          <w:bCs/>
          <w:sz w:val="21"/>
          <w:szCs w:val="21"/>
          <w:lang w:val="en-GB"/>
        </w:rPr>
        <w:t>B</w:t>
      </w:r>
      <w:r w:rsidRPr="007E781E">
        <w:rPr>
          <w:rFonts w:ascii="Tahoma" w:hAnsi="Tahoma" w:cs="Tahoma"/>
          <w:b/>
          <w:bCs/>
          <w:sz w:val="21"/>
          <w:szCs w:val="21"/>
          <w:lang w:val="en-GB"/>
        </w:rPr>
        <w:t xml:space="preserve"> </w:t>
      </w:r>
      <w:r w:rsidR="007E781E">
        <w:rPr>
          <w:rFonts w:ascii="Tahoma" w:hAnsi="Tahoma" w:cs="Tahoma"/>
          <w:b/>
          <w:bCs/>
          <w:sz w:val="21"/>
          <w:szCs w:val="21"/>
          <w:lang w:val="en-GB"/>
        </w:rPr>
        <w:t xml:space="preserve">HBsAg </w:t>
      </w:r>
      <w:r w:rsidRPr="007E781E">
        <w:rPr>
          <w:rFonts w:ascii="Tahoma" w:hAnsi="Tahoma" w:cs="Tahoma"/>
          <w:b/>
          <w:bCs/>
          <w:sz w:val="21"/>
          <w:szCs w:val="21"/>
          <w:lang w:val="en-GB"/>
        </w:rPr>
        <w:t>estimates</w:t>
      </w:r>
      <w:r w:rsidR="007E781E" w:rsidRPr="007E781E">
        <w:rPr>
          <w:rFonts w:ascii="Tahoma" w:hAnsi="Tahoma" w:cs="Tahoma"/>
          <w:b/>
          <w:bCs/>
          <w:sz w:val="21"/>
          <w:szCs w:val="21"/>
          <w:lang w:val="en-GB"/>
        </w:rPr>
        <w:t>, a</w:t>
      </w:r>
      <w:r w:rsidRPr="007E781E">
        <w:rPr>
          <w:rFonts w:ascii="Tahoma" w:hAnsi="Tahoma" w:cs="Tahoma"/>
          <w:b/>
          <w:bCs/>
          <w:sz w:val="21"/>
          <w:szCs w:val="21"/>
          <w:lang w:val="en-GB"/>
        </w:rPr>
        <w:t xml:space="preserve"> baseline towards the</w:t>
      </w:r>
      <w:r w:rsidR="007E781E" w:rsidRPr="007E781E">
        <w:rPr>
          <w:rFonts w:ascii="Tahoma" w:hAnsi="Tahoma" w:cs="Tahoma"/>
          <w:b/>
          <w:bCs/>
          <w:sz w:val="21"/>
          <w:szCs w:val="21"/>
          <w:lang w:val="en-GB"/>
        </w:rPr>
        <w:t xml:space="preserve"> elimination </w:t>
      </w:r>
      <w:r w:rsidRPr="007E781E">
        <w:rPr>
          <w:rFonts w:ascii="Tahoma" w:hAnsi="Tahoma" w:cs="Tahoma"/>
          <w:b/>
          <w:bCs/>
          <w:sz w:val="21"/>
          <w:szCs w:val="21"/>
          <w:lang w:val="en-GB"/>
        </w:rPr>
        <w:t>targets.</w:t>
      </w:r>
    </w:p>
    <w:p w:rsidR="00B570A8" w:rsidRPr="007E781E" w:rsidRDefault="00961CAE" w:rsidP="0001427B">
      <w:pPr>
        <w:spacing w:line="240" w:lineRule="auto"/>
        <w:rPr>
          <w:rFonts w:ascii="Tahoma" w:hAnsi="Tahoma" w:cs="Tahoma"/>
          <w:sz w:val="21"/>
          <w:szCs w:val="21"/>
          <w:lang w:val="en-GB"/>
        </w:rPr>
      </w:pPr>
      <w:r w:rsidRPr="007E781E">
        <w:rPr>
          <w:rFonts w:ascii="Tahoma" w:hAnsi="Tahoma" w:cs="Tahoma"/>
          <w:sz w:val="21"/>
          <w:szCs w:val="21"/>
          <w:lang w:val="en-GB"/>
        </w:rPr>
        <w:t>This dashboard shows the HBsAg prevalence estimates at global, regional and country level and how they have changed since</w:t>
      </w:r>
      <w:r w:rsidR="0001427B" w:rsidRPr="007E781E">
        <w:rPr>
          <w:rFonts w:ascii="Tahoma" w:hAnsi="Tahoma" w:cs="Tahoma"/>
          <w:sz w:val="21"/>
          <w:szCs w:val="21"/>
          <w:lang w:val="en-GB"/>
        </w:rPr>
        <w:t xml:space="preserve"> hepatitis B</w:t>
      </w:r>
      <w:r w:rsidRPr="007E781E">
        <w:rPr>
          <w:rFonts w:ascii="Tahoma" w:hAnsi="Tahoma" w:cs="Tahoma"/>
          <w:sz w:val="21"/>
          <w:szCs w:val="21"/>
          <w:lang w:val="en-GB"/>
        </w:rPr>
        <w:t xml:space="preserve"> vaccination was introduced.</w:t>
      </w:r>
    </w:p>
    <w:p w:rsidR="00AB10C1" w:rsidRPr="007E781E" w:rsidRDefault="00961CAE" w:rsidP="00AB10C1">
      <w:pPr>
        <w:pStyle w:val="NormalWeb"/>
        <w:spacing w:after="0" w:line="240" w:lineRule="auto"/>
        <w:rPr>
          <w:rFonts w:ascii="Tahoma" w:eastAsiaTheme="minorEastAsia" w:hAnsi="Tahoma" w:cs="Tahoma"/>
          <w:sz w:val="21"/>
          <w:szCs w:val="21"/>
          <w:lang w:val="en-GB" w:eastAsia="fr-FR"/>
        </w:rPr>
      </w:pPr>
      <w:r w:rsidRPr="007E781E">
        <w:rPr>
          <w:rFonts w:ascii="Tahoma" w:eastAsiaTheme="minorEastAsia" w:hAnsi="Tahoma" w:cs="Tahoma"/>
          <w:sz w:val="21"/>
          <w:szCs w:val="21"/>
          <w:lang w:val="en-GB" w:eastAsia="fr-FR"/>
        </w:rPr>
        <w:t xml:space="preserve">This dataset represents the best estimates for the hepatitis </w:t>
      </w:r>
      <w:r w:rsidR="0001427B" w:rsidRPr="007E781E">
        <w:rPr>
          <w:rFonts w:ascii="Tahoma" w:eastAsiaTheme="minorEastAsia" w:hAnsi="Tahoma" w:cs="Tahoma"/>
          <w:sz w:val="21"/>
          <w:szCs w:val="21"/>
          <w:lang w:val="en-GB" w:eastAsia="fr-FR"/>
        </w:rPr>
        <w:t>B</w:t>
      </w:r>
      <w:r w:rsidRPr="007E781E">
        <w:rPr>
          <w:rFonts w:ascii="Tahoma" w:eastAsiaTheme="minorEastAsia" w:hAnsi="Tahoma" w:cs="Tahoma"/>
          <w:sz w:val="21"/>
          <w:szCs w:val="21"/>
          <w:lang w:val="en-GB" w:eastAsia="fr-FR"/>
        </w:rPr>
        <w:t xml:space="preserve"> surface antigen indicator </w:t>
      </w:r>
      <w:r w:rsidR="0001427B" w:rsidRPr="007E781E">
        <w:rPr>
          <w:rFonts w:ascii="Tahoma" w:eastAsiaTheme="minorEastAsia" w:hAnsi="Tahoma" w:cs="Tahoma"/>
          <w:sz w:val="21"/>
          <w:szCs w:val="21"/>
          <w:lang w:val="en-GB" w:eastAsia="fr-FR"/>
        </w:rPr>
        <w:t>and</w:t>
      </w:r>
      <w:r w:rsidRPr="007E781E">
        <w:rPr>
          <w:rFonts w:ascii="Tahoma" w:eastAsiaTheme="minorEastAsia" w:hAnsi="Tahoma" w:cs="Tahoma"/>
          <w:sz w:val="21"/>
          <w:szCs w:val="21"/>
          <w:lang w:val="en-GB" w:eastAsia="fr-FR"/>
        </w:rPr>
        <w:t xml:space="preserve"> aim</w:t>
      </w:r>
      <w:r w:rsidR="0001427B" w:rsidRPr="007E781E">
        <w:rPr>
          <w:rFonts w:ascii="Tahoma" w:eastAsiaTheme="minorEastAsia" w:hAnsi="Tahoma" w:cs="Tahoma"/>
          <w:sz w:val="21"/>
          <w:szCs w:val="21"/>
          <w:lang w:val="en-GB" w:eastAsia="fr-FR"/>
        </w:rPr>
        <w:t>s to facilitate</w:t>
      </w:r>
      <w:r w:rsidRPr="007E781E">
        <w:rPr>
          <w:rFonts w:ascii="Tahoma" w:eastAsiaTheme="minorEastAsia" w:hAnsi="Tahoma" w:cs="Tahoma"/>
          <w:sz w:val="21"/>
          <w:szCs w:val="21"/>
          <w:lang w:val="en-GB" w:eastAsia="fr-FR"/>
        </w:rPr>
        <w:t xml:space="preserve"> comparability across countries and</w:t>
      </w:r>
      <w:r w:rsidR="0001427B" w:rsidRPr="007E781E">
        <w:rPr>
          <w:rFonts w:ascii="Tahoma" w:eastAsiaTheme="minorEastAsia" w:hAnsi="Tahoma" w:cs="Tahoma"/>
          <w:sz w:val="21"/>
          <w:szCs w:val="21"/>
          <w:lang w:val="en-GB" w:eastAsia="fr-FR"/>
        </w:rPr>
        <w:t xml:space="preserve"> over</w:t>
      </w:r>
      <w:r w:rsidRPr="007E781E">
        <w:rPr>
          <w:rFonts w:ascii="Tahoma" w:eastAsiaTheme="minorEastAsia" w:hAnsi="Tahoma" w:cs="Tahoma"/>
          <w:sz w:val="21"/>
          <w:szCs w:val="21"/>
          <w:lang w:val="en-GB" w:eastAsia="fr-FR"/>
        </w:rPr>
        <w:t xml:space="preserve"> time. </w:t>
      </w:r>
    </w:p>
    <w:p w:rsidR="00AB10C1" w:rsidRPr="007E781E" w:rsidRDefault="00AB10C1" w:rsidP="007E781E">
      <w:pPr>
        <w:pStyle w:val="NormalWeb"/>
        <w:spacing w:after="0" w:line="240" w:lineRule="auto"/>
        <w:rPr>
          <w:rFonts w:ascii="Tahoma" w:eastAsiaTheme="minorEastAsia" w:hAnsi="Tahoma" w:cs="Tahoma"/>
          <w:sz w:val="21"/>
          <w:szCs w:val="21"/>
          <w:lang w:val="en-GB" w:eastAsia="fr-FR"/>
        </w:rPr>
      </w:pPr>
      <w:r w:rsidRPr="007E781E">
        <w:rPr>
          <w:rFonts w:ascii="Tahoma" w:eastAsiaTheme="minorEastAsia" w:hAnsi="Tahoma" w:cs="Tahoma"/>
          <w:sz w:val="21"/>
          <w:szCs w:val="21"/>
          <w:lang w:val="en-GB" w:eastAsia="fr-FR"/>
        </w:rPr>
        <w:t>The</w:t>
      </w:r>
      <w:r w:rsidR="007E781E" w:rsidRPr="007E781E">
        <w:rPr>
          <w:rFonts w:ascii="Tahoma" w:eastAsiaTheme="minorEastAsia" w:hAnsi="Tahoma" w:cs="Tahoma"/>
          <w:sz w:val="21"/>
          <w:szCs w:val="21"/>
          <w:lang w:val="en-GB" w:eastAsia="fr-FR"/>
        </w:rPr>
        <w:t xml:space="preserve"> estimates </w:t>
      </w:r>
      <w:r w:rsidR="0001427B" w:rsidRPr="007E781E">
        <w:rPr>
          <w:rFonts w:ascii="Tahoma" w:eastAsiaTheme="minorEastAsia" w:hAnsi="Tahoma" w:cs="Tahoma"/>
          <w:sz w:val="21"/>
          <w:szCs w:val="21"/>
          <w:lang w:val="en-GB" w:eastAsia="fr-FR"/>
        </w:rPr>
        <w:t xml:space="preserve">are </w:t>
      </w:r>
      <w:r w:rsidR="00961CAE" w:rsidRPr="007E781E">
        <w:rPr>
          <w:rFonts w:ascii="Tahoma" w:eastAsiaTheme="minorEastAsia" w:hAnsi="Tahoma" w:cs="Tahoma"/>
          <w:sz w:val="21"/>
          <w:szCs w:val="21"/>
          <w:lang w:val="en-GB" w:eastAsia="fr-FR"/>
        </w:rPr>
        <w:t xml:space="preserve">not always the same as </w:t>
      </w:r>
      <w:r w:rsidR="007E781E" w:rsidRPr="007E781E">
        <w:rPr>
          <w:rFonts w:ascii="Tahoma" w:eastAsiaTheme="minorEastAsia" w:hAnsi="Tahoma" w:cs="Tahoma"/>
          <w:sz w:val="21"/>
          <w:szCs w:val="21"/>
          <w:lang w:val="en-GB" w:eastAsia="fr-FR"/>
        </w:rPr>
        <w:t xml:space="preserve">the </w:t>
      </w:r>
      <w:r w:rsidR="00961CAE" w:rsidRPr="007E781E">
        <w:rPr>
          <w:rFonts w:ascii="Tahoma" w:eastAsiaTheme="minorEastAsia" w:hAnsi="Tahoma" w:cs="Tahoma"/>
          <w:sz w:val="21"/>
          <w:szCs w:val="21"/>
          <w:lang w:val="en-GB" w:eastAsia="fr-FR"/>
        </w:rPr>
        <w:t xml:space="preserve">official national estimates, </w:t>
      </w:r>
      <w:r w:rsidR="0001427B" w:rsidRPr="007E781E">
        <w:rPr>
          <w:rFonts w:ascii="Tahoma" w:eastAsiaTheme="minorEastAsia" w:hAnsi="Tahoma" w:cs="Tahoma"/>
          <w:sz w:val="21"/>
          <w:szCs w:val="21"/>
          <w:lang w:val="en-GB" w:eastAsia="fr-FR"/>
        </w:rPr>
        <w:t xml:space="preserve">because of </w:t>
      </w:r>
      <w:r w:rsidR="007E781E" w:rsidRPr="007E781E">
        <w:rPr>
          <w:rFonts w:ascii="Tahoma" w:eastAsiaTheme="minorEastAsia" w:hAnsi="Tahoma" w:cs="Tahoma"/>
          <w:sz w:val="21"/>
          <w:szCs w:val="21"/>
          <w:lang w:val="en-GB" w:eastAsia="fr-FR"/>
        </w:rPr>
        <w:t xml:space="preserve">the use of </w:t>
      </w:r>
      <w:r w:rsidR="0001427B" w:rsidRPr="007E781E">
        <w:rPr>
          <w:rFonts w:ascii="Tahoma" w:eastAsiaTheme="minorEastAsia" w:hAnsi="Tahoma" w:cs="Tahoma"/>
          <w:sz w:val="21"/>
          <w:szCs w:val="21"/>
          <w:lang w:val="en-GB" w:eastAsia="fr-FR"/>
        </w:rPr>
        <w:t>different</w:t>
      </w:r>
      <w:r w:rsidR="007E781E" w:rsidRPr="007E781E">
        <w:rPr>
          <w:rFonts w:ascii="Tahoma" w:eastAsiaTheme="minorEastAsia" w:hAnsi="Tahoma" w:cs="Tahoma"/>
          <w:sz w:val="21"/>
          <w:szCs w:val="21"/>
          <w:lang w:val="en-GB" w:eastAsia="fr-FR"/>
        </w:rPr>
        <w:t xml:space="preserve"> </w:t>
      </w:r>
      <w:r w:rsidR="0001427B" w:rsidRPr="007E781E">
        <w:rPr>
          <w:rFonts w:ascii="Tahoma" w:eastAsiaTheme="minorEastAsia" w:hAnsi="Tahoma" w:cs="Tahoma"/>
          <w:sz w:val="21"/>
          <w:szCs w:val="21"/>
          <w:lang w:val="en-GB" w:eastAsia="fr-FR"/>
        </w:rPr>
        <w:t xml:space="preserve">methodologies and data sources. </w:t>
      </w:r>
      <w:r w:rsidRPr="007E781E">
        <w:rPr>
          <w:rFonts w:ascii="Tahoma" w:eastAsiaTheme="minorEastAsia" w:hAnsi="Tahoma" w:cs="Tahoma"/>
          <w:sz w:val="21"/>
          <w:szCs w:val="21"/>
          <w:lang w:val="en-GB" w:eastAsia="fr-FR"/>
        </w:rPr>
        <w:t xml:space="preserve">Estimates are </w:t>
      </w:r>
      <w:r w:rsidR="007E781E" w:rsidRPr="007E781E">
        <w:rPr>
          <w:rFonts w:ascii="Tahoma" w:eastAsiaTheme="minorEastAsia" w:hAnsi="Tahoma" w:cs="Tahoma"/>
          <w:sz w:val="21"/>
          <w:szCs w:val="21"/>
          <w:lang w:val="en-GB" w:eastAsia="fr-FR"/>
        </w:rPr>
        <w:t xml:space="preserve">provided </w:t>
      </w:r>
      <w:r w:rsidRPr="007E781E">
        <w:rPr>
          <w:rFonts w:ascii="Tahoma" w:eastAsiaTheme="minorEastAsia" w:hAnsi="Tahoma" w:cs="Tahoma"/>
          <w:sz w:val="21"/>
          <w:szCs w:val="21"/>
          <w:lang w:val="en-GB" w:eastAsia="fr-FR"/>
        </w:rPr>
        <w:t>for 194 WHO Member States. The analysis was carried out for the age groups 0-5 years and for the general population.</w:t>
      </w:r>
      <w:r w:rsidR="000A0BA5" w:rsidRPr="007E781E">
        <w:rPr>
          <w:rFonts w:ascii="Tahoma" w:eastAsiaTheme="minorEastAsia" w:hAnsi="Tahoma" w:cs="Tahoma"/>
          <w:sz w:val="21"/>
          <w:szCs w:val="21"/>
          <w:lang w:val="en-GB" w:eastAsia="fr-FR"/>
        </w:rPr>
        <w:t xml:space="preserve"> Due to scarcity of data from some countries, the estimates are more robust at global and regional level than at country level, therefore, we suggest countries focus on the 95% Credible Intervals and not only on the reported point estimates.</w:t>
      </w:r>
    </w:p>
    <w:p w:rsidR="00AB10C1" w:rsidRPr="007E781E" w:rsidRDefault="00AB10C1" w:rsidP="00AB10C1">
      <w:pPr>
        <w:pStyle w:val="NormalWeb"/>
        <w:spacing w:after="0" w:line="240" w:lineRule="auto"/>
        <w:rPr>
          <w:rFonts w:ascii="Tahoma" w:eastAsiaTheme="minorEastAsia" w:hAnsi="Tahoma" w:cs="Tahoma"/>
          <w:sz w:val="21"/>
          <w:szCs w:val="21"/>
          <w:lang w:val="en-GB" w:eastAsia="fr-FR"/>
        </w:rPr>
      </w:pPr>
    </w:p>
    <w:p w:rsidR="000A0BA5" w:rsidRPr="007E781E" w:rsidRDefault="00AB10C1" w:rsidP="000A0BA5">
      <w:pPr>
        <w:pStyle w:val="NormalWeb"/>
        <w:spacing w:after="0" w:line="240" w:lineRule="auto"/>
        <w:rPr>
          <w:rFonts w:ascii="Tahoma" w:eastAsiaTheme="minorEastAsia" w:hAnsi="Tahoma" w:cs="Tahoma"/>
          <w:sz w:val="21"/>
          <w:szCs w:val="21"/>
          <w:lang w:val="en-GB" w:eastAsia="fr-FR"/>
        </w:rPr>
      </w:pPr>
      <w:r w:rsidRPr="007E781E">
        <w:rPr>
          <w:rFonts w:ascii="Tahoma" w:eastAsiaTheme="minorEastAsia" w:hAnsi="Tahoma" w:cs="Tahoma"/>
          <w:sz w:val="21"/>
          <w:szCs w:val="21"/>
          <w:lang w:val="en-GB" w:eastAsia="fr-FR"/>
        </w:rPr>
        <w:t>WHO’s estimates uses a methodology reviewed by the Immunization and Vaccines Related Implementation Research Advisory Committee (IVIR-AC) and presented to the Strategic Advisory Group of Experts (SAGE). These estimates have been documented following the Guidelines for Accurate and Transparent Health Estimates Reporting (GATHER). More detailed information on quality of data sources and methods, as well as estimated uncertainty intervals, is provided in the Global Hepatitis Report  2017, the WHO Immunization surveillance, assessment and monitoring system and in other referenced sources.</w:t>
      </w:r>
    </w:p>
    <w:p w:rsidR="0001427B" w:rsidRPr="007E781E" w:rsidRDefault="00961CAE" w:rsidP="000A0BA5">
      <w:pPr>
        <w:pStyle w:val="NormalWeb"/>
        <w:spacing w:after="0" w:line="240" w:lineRule="auto"/>
        <w:rPr>
          <w:rFonts w:ascii="Tahoma" w:eastAsiaTheme="minorEastAsia" w:hAnsi="Tahoma" w:cs="Tahoma"/>
          <w:sz w:val="21"/>
          <w:szCs w:val="21"/>
          <w:lang w:val="en-GB" w:eastAsia="fr-FR"/>
        </w:rPr>
      </w:pPr>
      <w:r w:rsidRPr="007E781E">
        <w:rPr>
          <w:rFonts w:ascii="Tahoma" w:eastAsiaTheme="minorEastAsia" w:hAnsi="Tahoma" w:cs="Tahoma"/>
          <w:sz w:val="21"/>
          <w:szCs w:val="21"/>
          <w:lang w:val="en-GB" w:eastAsia="fr-FR"/>
        </w:rPr>
        <w:t>WHO provide</w:t>
      </w:r>
      <w:r w:rsidR="00AB10C1" w:rsidRPr="007E781E">
        <w:rPr>
          <w:rFonts w:ascii="Tahoma" w:eastAsiaTheme="minorEastAsia" w:hAnsi="Tahoma" w:cs="Tahoma"/>
          <w:sz w:val="21"/>
          <w:szCs w:val="21"/>
          <w:lang w:val="en-GB" w:eastAsia="fr-FR"/>
        </w:rPr>
        <w:t>d</w:t>
      </w:r>
      <w:r w:rsidRPr="007E781E">
        <w:rPr>
          <w:rFonts w:ascii="Tahoma" w:eastAsiaTheme="minorEastAsia" w:hAnsi="Tahoma" w:cs="Tahoma"/>
          <w:sz w:val="21"/>
          <w:szCs w:val="21"/>
          <w:lang w:val="en-GB" w:eastAsia="fr-FR"/>
        </w:rPr>
        <w:t xml:space="preserve"> Member States the opportunity to review and comment on data and estimates as part of </w:t>
      </w:r>
      <w:r w:rsidR="0001427B" w:rsidRPr="007E781E">
        <w:rPr>
          <w:rFonts w:ascii="Tahoma" w:eastAsiaTheme="minorEastAsia" w:hAnsi="Tahoma" w:cs="Tahoma"/>
          <w:sz w:val="21"/>
          <w:szCs w:val="21"/>
          <w:lang w:val="en-GB" w:eastAsia="fr-FR"/>
        </w:rPr>
        <w:t>the so called country consultation process.</w:t>
      </w:r>
    </w:p>
    <w:p w:rsidR="00022CB0" w:rsidRPr="007E781E" w:rsidRDefault="00022CB0" w:rsidP="0001427B">
      <w:pPr>
        <w:pStyle w:val="NormalWeb"/>
        <w:spacing w:after="0" w:line="240" w:lineRule="auto"/>
        <w:rPr>
          <w:rFonts w:ascii="Tahoma" w:eastAsiaTheme="minorEastAsia" w:hAnsi="Tahoma" w:cs="Tahoma"/>
          <w:sz w:val="21"/>
          <w:szCs w:val="21"/>
          <w:lang w:val="en-GB" w:eastAsia="fr-FR"/>
        </w:rPr>
      </w:pPr>
    </w:p>
    <w:p w:rsidR="0001427B" w:rsidRPr="007E781E" w:rsidRDefault="007B5CA5" w:rsidP="007B5CA5">
      <w:pPr>
        <w:pStyle w:val="NormalWeb"/>
        <w:spacing w:after="0" w:line="240" w:lineRule="auto"/>
        <w:rPr>
          <w:rFonts w:ascii="Tahoma" w:eastAsiaTheme="minorEastAsia" w:hAnsi="Tahoma" w:cs="Tahoma"/>
          <w:sz w:val="21"/>
          <w:szCs w:val="21"/>
          <w:lang w:val="en-GB" w:eastAsia="fr-FR"/>
        </w:rPr>
      </w:pPr>
      <w:r w:rsidRPr="007E781E">
        <w:rPr>
          <w:rFonts w:ascii="Tahoma" w:eastAsiaTheme="minorEastAsia" w:hAnsi="Tahoma" w:cs="Tahoma"/>
          <w:sz w:val="21"/>
          <w:szCs w:val="21"/>
          <w:lang w:val="en-GB" w:eastAsia="fr-FR"/>
        </w:rPr>
        <w:t>The d</w:t>
      </w:r>
      <w:r w:rsidR="00961CAE" w:rsidRPr="007E781E">
        <w:rPr>
          <w:rFonts w:ascii="Tahoma" w:eastAsiaTheme="minorEastAsia" w:hAnsi="Tahoma" w:cs="Tahoma"/>
          <w:sz w:val="21"/>
          <w:szCs w:val="21"/>
          <w:lang w:val="en-GB" w:eastAsia="fr-FR"/>
        </w:rPr>
        <w:t xml:space="preserve">atabase last update </w:t>
      </w:r>
      <w:r w:rsidRPr="007E781E">
        <w:rPr>
          <w:rFonts w:ascii="Tahoma" w:eastAsiaTheme="minorEastAsia" w:hAnsi="Tahoma" w:cs="Tahoma"/>
          <w:sz w:val="21"/>
          <w:szCs w:val="21"/>
          <w:lang w:val="en-GB" w:eastAsia="fr-FR"/>
        </w:rPr>
        <w:t xml:space="preserve">was </w:t>
      </w:r>
      <w:r w:rsidR="00961CAE" w:rsidRPr="007E781E">
        <w:rPr>
          <w:rFonts w:ascii="Tahoma" w:eastAsiaTheme="minorEastAsia" w:hAnsi="Tahoma" w:cs="Tahoma"/>
          <w:sz w:val="21"/>
          <w:szCs w:val="21"/>
          <w:lang w:val="en-GB" w:eastAsia="fr-FR"/>
        </w:rPr>
        <w:t>23 March 2017.</w:t>
      </w:r>
      <w:r w:rsidR="00022CB0" w:rsidRPr="007E781E">
        <w:rPr>
          <w:rFonts w:ascii="Tahoma" w:eastAsiaTheme="minorEastAsia" w:hAnsi="Tahoma" w:cs="Tahoma"/>
          <w:sz w:val="21"/>
          <w:szCs w:val="21"/>
          <w:lang w:val="en-GB" w:eastAsia="fr-FR"/>
        </w:rPr>
        <w:t xml:space="preserve"> </w:t>
      </w:r>
    </w:p>
    <w:p w:rsidR="00022CB0" w:rsidRPr="007E781E" w:rsidRDefault="0001427B" w:rsidP="000A0BA5">
      <w:pPr>
        <w:pStyle w:val="NormalWeb"/>
        <w:spacing w:after="0" w:line="240" w:lineRule="auto"/>
        <w:rPr>
          <w:rFonts w:ascii="Tahoma" w:eastAsiaTheme="minorEastAsia" w:hAnsi="Tahoma" w:cs="Tahoma"/>
          <w:sz w:val="21"/>
          <w:szCs w:val="21"/>
          <w:lang w:val="en-GB" w:eastAsia="fr-FR"/>
        </w:rPr>
      </w:pPr>
      <w:r w:rsidRPr="007E781E">
        <w:rPr>
          <w:rFonts w:ascii="Tahoma" w:eastAsiaTheme="minorEastAsia" w:hAnsi="Tahoma" w:cs="Tahoma"/>
          <w:sz w:val="21"/>
          <w:szCs w:val="21"/>
          <w:lang w:val="en-GB" w:eastAsia="fr-FR"/>
        </w:rPr>
        <w:t xml:space="preserve">Estimates will be updated as more recent or revised data become available, or when there are changes to the methodology being used. </w:t>
      </w:r>
      <w:r w:rsidR="00022CB0" w:rsidRPr="007E781E">
        <w:rPr>
          <w:rFonts w:ascii="Tahoma" w:eastAsiaTheme="minorEastAsia" w:hAnsi="Tahoma" w:cs="Tahoma"/>
          <w:sz w:val="21"/>
          <w:szCs w:val="21"/>
          <w:lang w:val="en-GB" w:eastAsia="fr-FR"/>
        </w:rPr>
        <w:t xml:space="preserve">Next scheduled update </w:t>
      </w:r>
      <w:r w:rsidR="007B5CA5" w:rsidRPr="007E781E">
        <w:rPr>
          <w:rFonts w:ascii="Tahoma" w:eastAsiaTheme="minorEastAsia" w:hAnsi="Tahoma" w:cs="Tahoma"/>
          <w:sz w:val="21"/>
          <w:szCs w:val="21"/>
          <w:lang w:val="en-GB" w:eastAsia="fr-FR"/>
        </w:rPr>
        <w:t xml:space="preserve">will be in </w:t>
      </w:r>
      <w:r w:rsidR="00022CB0" w:rsidRPr="007E781E">
        <w:rPr>
          <w:rFonts w:ascii="Tahoma" w:eastAsiaTheme="minorEastAsia" w:hAnsi="Tahoma" w:cs="Tahoma"/>
          <w:sz w:val="21"/>
          <w:szCs w:val="21"/>
          <w:lang w:val="en-GB" w:eastAsia="fr-FR"/>
        </w:rPr>
        <w:t>Q1 2018. Member States</w:t>
      </w:r>
      <w:r w:rsidR="007B5CA5" w:rsidRPr="007E781E">
        <w:rPr>
          <w:rFonts w:ascii="Tahoma" w:eastAsiaTheme="minorEastAsia" w:hAnsi="Tahoma" w:cs="Tahoma"/>
          <w:sz w:val="21"/>
          <w:szCs w:val="21"/>
          <w:lang w:val="en-GB" w:eastAsia="fr-FR"/>
        </w:rPr>
        <w:t>, civil society, country and regional offices</w:t>
      </w:r>
      <w:r w:rsidR="00022CB0" w:rsidRPr="007E781E">
        <w:rPr>
          <w:rFonts w:ascii="Tahoma" w:eastAsiaTheme="minorEastAsia" w:hAnsi="Tahoma" w:cs="Tahoma"/>
          <w:sz w:val="21"/>
          <w:szCs w:val="21"/>
          <w:lang w:val="en-GB" w:eastAsia="fr-FR"/>
        </w:rPr>
        <w:t xml:space="preserve"> that wish to contribute to </w:t>
      </w:r>
      <w:r w:rsidR="007B5CA5" w:rsidRPr="007E781E">
        <w:rPr>
          <w:rFonts w:ascii="Tahoma" w:eastAsiaTheme="minorEastAsia" w:hAnsi="Tahoma" w:cs="Tahoma"/>
          <w:sz w:val="21"/>
          <w:szCs w:val="21"/>
          <w:lang w:val="en-GB" w:eastAsia="fr-FR"/>
        </w:rPr>
        <w:t xml:space="preserve">improve the seroprevalence </w:t>
      </w:r>
      <w:r w:rsidR="000A0BA5" w:rsidRPr="007E781E">
        <w:rPr>
          <w:rFonts w:ascii="Tahoma" w:eastAsiaTheme="minorEastAsia" w:hAnsi="Tahoma" w:cs="Tahoma"/>
          <w:sz w:val="21"/>
          <w:szCs w:val="21"/>
          <w:lang w:val="en-GB" w:eastAsia="fr-FR"/>
        </w:rPr>
        <w:t>database</w:t>
      </w:r>
      <w:r w:rsidR="007B5CA5" w:rsidRPr="007E781E">
        <w:rPr>
          <w:rFonts w:ascii="Tahoma" w:eastAsiaTheme="minorEastAsia" w:hAnsi="Tahoma" w:cs="Tahoma"/>
          <w:sz w:val="21"/>
          <w:szCs w:val="21"/>
          <w:lang w:val="en-GB" w:eastAsia="fr-FR"/>
        </w:rPr>
        <w:t xml:space="preserve"> </w:t>
      </w:r>
      <w:r w:rsidR="00022CB0" w:rsidRPr="007E781E">
        <w:rPr>
          <w:rFonts w:ascii="Tahoma" w:eastAsiaTheme="minorEastAsia" w:hAnsi="Tahoma" w:cs="Tahoma"/>
          <w:sz w:val="21"/>
          <w:szCs w:val="21"/>
          <w:lang w:val="en-GB" w:eastAsia="fr-FR"/>
        </w:rPr>
        <w:t xml:space="preserve">can send their potential eligible </w:t>
      </w:r>
      <w:r w:rsidR="007B5CA5" w:rsidRPr="007E781E">
        <w:rPr>
          <w:rFonts w:ascii="Tahoma" w:eastAsiaTheme="minorEastAsia" w:hAnsi="Tahoma" w:cs="Tahoma"/>
          <w:sz w:val="21"/>
          <w:szCs w:val="21"/>
          <w:lang w:val="en-GB" w:eastAsia="fr-FR"/>
        </w:rPr>
        <w:t xml:space="preserve">published and unpublished </w:t>
      </w:r>
      <w:r w:rsidR="000A0BA5" w:rsidRPr="007E781E">
        <w:rPr>
          <w:rFonts w:ascii="Tahoma" w:eastAsiaTheme="minorEastAsia" w:hAnsi="Tahoma" w:cs="Tahoma"/>
          <w:sz w:val="21"/>
          <w:szCs w:val="21"/>
          <w:lang w:val="en-GB" w:eastAsia="fr-FR"/>
        </w:rPr>
        <w:t>reports on surface antigen prevalence</w:t>
      </w:r>
      <w:r w:rsidR="00022CB0" w:rsidRPr="007E781E">
        <w:rPr>
          <w:rFonts w:ascii="Tahoma" w:eastAsiaTheme="minorEastAsia" w:hAnsi="Tahoma" w:cs="Tahoma"/>
          <w:sz w:val="21"/>
          <w:szCs w:val="21"/>
          <w:lang w:val="en-GB" w:eastAsia="fr-FR"/>
        </w:rPr>
        <w:t xml:space="preserve"> to the following email: </w:t>
      </w:r>
      <w:hyperlink r:id="rId6" w:history="1">
        <w:r w:rsidR="00022CB0" w:rsidRPr="007E781E">
          <w:rPr>
            <w:rStyle w:val="Hyperlink"/>
            <w:rFonts w:ascii="Tahoma" w:eastAsiaTheme="minorEastAsia" w:hAnsi="Tahoma" w:cs="Tahoma"/>
            <w:sz w:val="21"/>
            <w:szCs w:val="21"/>
            <w:lang w:val="en-GB" w:eastAsia="fr-FR"/>
          </w:rPr>
          <w:t>VaccineResearch@who.int</w:t>
        </w:r>
      </w:hyperlink>
      <w:r w:rsidR="00022CB0" w:rsidRPr="007E781E">
        <w:rPr>
          <w:rFonts w:ascii="Tahoma" w:eastAsiaTheme="minorEastAsia" w:hAnsi="Tahoma" w:cs="Tahoma"/>
          <w:sz w:val="21"/>
          <w:szCs w:val="21"/>
          <w:lang w:val="en-GB" w:eastAsia="fr-FR"/>
        </w:rPr>
        <w:t xml:space="preserve"> </w:t>
      </w:r>
      <w:r w:rsidR="00022CB0" w:rsidRPr="007E781E">
        <w:rPr>
          <w:rFonts w:ascii="Tahoma" w:eastAsiaTheme="minorEastAsia" w:hAnsi="Tahoma" w:cs="Tahoma"/>
          <w:b/>
          <w:bCs/>
          <w:sz w:val="21"/>
          <w:szCs w:val="21"/>
          <w:lang w:val="en-GB" w:eastAsia="fr-FR"/>
        </w:rPr>
        <w:t xml:space="preserve">until </w:t>
      </w:r>
      <w:r w:rsidR="007B5CA5" w:rsidRPr="007E781E">
        <w:rPr>
          <w:rFonts w:ascii="Tahoma" w:eastAsiaTheme="minorEastAsia" w:hAnsi="Tahoma" w:cs="Tahoma"/>
          <w:b/>
          <w:bCs/>
          <w:sz w:val="21"/>
          <w:szCs w:val="21"/>
          <w:lang w:val="en-GB" w:eastAsia="fr-FR"/>
        </w:rPr>
        <w:t>October 15, 2017</w:t>
      </w:r>
      <w:r w:rsidR="007B5CA5" w:rsidRPr="007E781E">
        <w:rPr>
          <w:rFonts w:ascii="Tahoma" w:eastAsiaTheme="minorEastAsia" w:hAnsi="Tahoma" w:cs="Tahoma"/>
          <w:sz w:val="21"/>
          <w:szCs w:val="21"/>
          <w:lang w:val="en-GB" w:eastAsia="fr-FR"/>
        </w:rPr>
        <w:t>. They will be screened according to the inclusion</w:t>
      </w:r>
      <w:r w:rsidRPr="007E781E">
        <w:rPr>
          <w:rFonts w:ascii="Tahoma" w:eastAsiaTheme="minorEastAsia" w:hAnsi="Tahoma" w:cs="Tahoma"/>
          <w:sz w:val="21"/>
          <w:szCs w:val="21"/>
          <w:lang w:val="en-GB" w:eastAsia="fr-FR"/>
        </w:rPr>
        <w:t xml:space="preserve"> criteria of the review </w:t>
      </w:r>
      <w:r w:rsidR="007B5CA5" w:rsidRPr="007E781E">
        <w:rPr>
          <w:rFonts w:ascii="Tahoma" w:eastAsiaTheme="minorEastAsia" w:hAnsi="Tahoma" w:cs="Tahoma"/>
          <w:sz w:val="21"/>
          <w:szCs w:val="21"/>
          <w:lang w:val="en-GB" w:eastAsia="fr-FR"/>
        </w:rPr>
        <w:t xml:space="preserve">. Potential contributions received after this date will </w:t>
      </w:r>
      <w:r w:rsidR="000A0BA5" w:rsidRPr="007E781E">
        <w:rPr>
          <w:rFonts w:ascii="Tahoma" w:eastAsiaTheme="minorEastAsia" w:hAnsi="Tahoma" w:cs="Tahoma"/>
          <w:sz w:val="21"/>
          <w:szCs w:val="21"/>
          <w:lang w:val="en-GB" w:eastAsia="fr-FR"/>
        </w:rPr>
        <w:t xml:space="preserve">be </w:t>
      </w:r>
      <w:r w:rsidR="007B5CA5" w:rsidRPr="007E781E">
        <w:rPr>
          <w:rFonts w:ascii="Tahoma" w:eastAsiaTheme="minorEastAsia" w:hAnsi="Tahoma" w:cs="Tahoma"/>
          <w:sz w:val="21"/>
          <w:szCs w:val="21"/>
          <w:lang w:val="en-GB" w:eastAsia="fr-FR"/>
        </w:rPr>
        <w:t xml:space="preserve">considered in the next update </w:t>
      </w:r>
      <w:r w:rsidR="002F2D3A" w:rsidRPr="007E781E">
        <w:rPr>
          <w:rFonts w:ascii="Tahoma" w:eastAsiaTheme="minorEastAsia" w:hAnsi="Tahoma" w:cs="Tahoma"/>
          <w:sz w:val="21"/>
          <w:szCs w:val="21"/>
          <w:lang w:val="en-GB" w:eastAsia="fr-FR"/>
        </w:rPr>
        <w:t>exercise</w:t>
      </w:r>
      <w:r w:rsidR="007B5CA5" w:rsidRPr="007E781E">
        <w:rPr>
          <w:rFonts w:ascii="Tahoma" w:eastAsiaTheme="minorEastAsia" w:hAnsi="Tahoma" w:cs="Tahoma"/>
          <w:sz w:val="21"/>
          <w:szCs w:val="21"/>
          <w:lang w:val="en-GB" w:eastAsia="fr-FR"/>
        </w:rPr>
        <w:t>.</w:t>
      </w:r>
    </w:p>
    <w:p w:rsidR="00961CAE" w:rsidRPr="007E781E" w:rsidRDefault="00961CAE" w:rsidP="00961CAE">
      <w:pPr>
        <w:pStyle w:val="NormalWeb"/>
        <w:spacing w:after="0" w:line="240" w:lineRule="auto"/>
        <w:rPr>
          <w:rFonts w:ascii="Tahoma" w:eastAsiaTheme="minorEastAsia" w:hAnsi="Tahoma" w:cs="Tahoma"/>
          <w:sz w:val="21"/>
          <w:szCs w:val="21"/>
          <w:lang w:val="en-GB" w:eastAsia="fr-FR"/>
        </w:rPr>
      </w:pPr>
    </w:p>
    <w:p w:rsidR="00961CAE" w:rsidRDefault="00D13E32" w:rsidP="00961CAE">
      <w:pPr>
        <w:pStyle w:val="NormalWeb"/>
        <w:spacing w:after="0" w:line="240" w:lineRule="auto"/>
        <w:rPr>
          <w:rFonts w:ascii="Tahoma" w:eastAsiaTheme="minorEastAsia" w:hAnsi="Tahoma" w:cs="Tahoma"/>
          <w:sz w:val="21"/>
          <w:szCs w:val="21"/>
          <w:lang w:val="en-GB" w:eastAsia="fr-FR"/>
        </w:rPr>
      </w:pPr>
      <w:r>
        <w:rPr>
          <w:rFonts w:ascii="Tahoma" w:eastAsiaTheme="minorEastAsia" w:hAnsi="Tahoma" w:cs="Tahoma"/>
          <w:sz w:val="21"/>
          <w:szCs w:val="21"/>
          <w:lang w:val="en-GB" w:eastAsia="fr-FR"/>
        </w:rPr>
        <w:t>Interactive map here</w:t>
      </w:r>
    </w:p>
    <w:p w:rsidR="007E781E" w:rsidRDefault="007E781E">
      <w:pPr>
        <w:rPr>
          <w:rFonts w:ascii="Tahoma" w:hAnsi="Tahoma" w:cs="Tahoma"/>
          <w:b/>
          <w:bCs/>
          <w:sz w:val="21"/>
          <w:szCs w:val="21"/>
          <w:lang w:val="en-GB"/>
        </w:rPr>
      </w:pPr>
      <w:r w:rsidRPr="007E781E">
        <w:rPr>
          <w:rFonts w:ascii="Tahoma" w:hAnsi="Tahoma" w:cs="Tahoma"/>
          <w:b/>
          <w:bCs/>
          <w:color w:val="FF0000"/>
          <w:sz w:val="21"/>
          <w:szCs w:val="21"/>
          <w:lang w:val="en-GB"/>
        </w:rPr>
        <w:t>End of front page</w:t>
      </w:r>
      <w:r>
        <w:rPr>
          <w:rFonts w:ascii="Tahoma" w:hAnsi="Tahoma" w:cs="Tahoma"/>
          <w:b/>
          <w:bCs/>
          <w:sz w:val="21"/>
          <w:szCs w:val="21"/>
          <w:lang w:val="en-GB"/>
        </w:rPr>
        <w:br w:type="page"/>
      </w:r>
    </w:p>
    <w:p w:rsidR="00D13E32" w:rsidRPr="007E781E" w:rsidRDefault="00D13E32" w:rsidP="00D13E32">
      <w:pPr>
        <w:rPr>
          <w:rFonts w:ascii="Tahoma" w:hAnsi="Tahoma" w:cs="Tahoma"/>
          <w:b/>
          <w:bCs/>
          <w:sz w:val="21"/>
          <w:szCs w:val="21"/>
          <w:lang w:val="en-GB"/>
        </w:rPr>
      </w:pPr>
      <w:r>
        <w:rPr>
          <w:rFonts w:ascii="Tahoma" w:hAnsi="Tahoma" w:cs="Tahoma"/>
          <w:b/>
          <w:bCs/>
          <w:sz w:val="21"/>
          <w:szCs w:val="21"/>
          <w:lang w:val="en-GB"/>
        </w:rPr>
        <w:lastRenderedPageBreak/>
        <w:t xml:space="preserve">Global Health Sector </w:t>
      </w:r>
      <w:r w:rsidRPr="007E781E">
        <w:rPr>
          <w:rFonts w:ascii="Tahoma" w:hAnsi="Tahoma" w:cs="Tahoma"/>
          <w:b/>
          <w:bCs/>
          <w:sz w:val="21"/>
          <w:szCs w:val="21"/>
          <w:lang w:val="en-GB"/>
        </w:rPr>
        <w:t>Strategy</w:t>
      </w:r>
      <w:r>
        <w:rPr>
          <w:rFonts w:ascii="Tahoma" w:hAnsi="Tahoma" w:cs="Tahoma"/>
          <w:b/>
          <w:bCs/>
          <w:sz w:val="21"/>
          <w:szCs w:val="21"/>
          <w:lang w:val="en-GB"/>
        </w:rPr>
        <w:t xml:space="preserve"> on viral hepatitis</w:t>
      </w:r>
    </w:p>
    <w:p w:rsidR="00B546B0" w:rsidRPr="00B546B0" w:rsidRDefault="00B546B0" w:rsidP="00B546B0">
      <w:pPr>
        <w:spacing w:after="0" w:line="240" w:lineRule="auto"/>
        <w:rPr>
          <w:rFonts w:ascii="Tahoma" w:hAnsi="Tahoma" w:cs="Tahoma"/>
          <w:lang w:val="en-GB"/>
        </w:rPr>
      </w:pPr>
      <w:r w:rsidRPr="00B546B0">
        <w:rPr>
          <w:rFonts w:ascii="Tahoma" w:hAnsi="Tahoma" w:cs="Tahoma"/>
          <w:lang w:val="en-GB"/>
        </w:rPr>
        <w:t>The strategy includes both impact (incidence and mortality) and</w:t>
      </w:r>
      <w:r>
        <w:rPr>
          <w:rFonts w:ascii="Tahoma" w:hAnsi="Tahoma" w:cs="Tahoma"/>
          <w:lang w:val="en-GB"/>
        </w:rPr>
        <w:t xml:space="preserve"> service coverage target</w:t>
      </w:r>
      <w:r w:rsidRPr="00B546B0">
        <w:rPr>
          <w:rFonts w:ascii="Tahoma" w:hAnsi="Tahoma" w:cs="Tahoma"/>
          <w:lang w:val="en-GB"/>
        </w:rPr>
        <w:t>. By 2020, five million people</w:t>
      </w:r>
      <w:r>
        <w:rPr>
          <w:rFonts w:ascii="Tahoma" w:hAnsi="Tahoma" w:cs="Tahoma"/>
          <w:lang w:val="en-GB"/>
        </w:rPr>
        <w:t xml:space="preserve"> </w:t>
      </w:r>
      <w:r w:rsidRPr="00B546B0">
        <w:rPr>
          <w:rFonts w:ascii="Tahoma" w:hAnsi="Tahoma" w:cs="Tahoma"/>
          <w:lang w:val="en-GB"/>
        </w:rPr>
        <w:t>will be receiving treatment for chronic hepatitis B virus infection</w:t>
      </w:r>
      <w:r>
        <w:rPr>
          <w:rFonts w:ascii="Tahoma" w:hAnsi="Tahoma" w:cs="Tahoma"/>
          <w:lang w:val="en-GB"/>
        </w:rPr>
        <w:t xml:space="preserve"> </w:t>
      </w:r>
      <w:r w:rsidRPr="00B546B0">
        <w:rPr>
          <w:rFonts w:ascii="Tahoma" w:hAnsi="Tahoma" w:cs="Tahoma"/>
          <w:lang w:val="en-GB"/>
        </w:rPr>
        <w:t>and the number of new cases of chronic hepatitis</w:t>
      </w:r>
      <w:r>
        <w:rPr>
          <w:rFonts w:ascii="Tahoma" w:hAnsi="Tahoma" w:cs="Tahoma"/>
          <w:lang w:val="en-GB"/>
        </w:rPr>
        <w:t xml:space="preserve"> </w:t>
      </w:r>
      <w:r w:rsidRPr="00B546B0">
        <w:rPr>
          <w:rFonts w:ascii="Tahoma" w:hAnsi="Tahoma" w:cs="Tahoma"/>
          <w:lang w:val="en-GB"/>
        </w:rPr>
        <w:t>infection would have been reduced by 30% compared with the</w:t>
      </w:r>
      <w:r>
        <w:rPr>
          <w:rFonts w:ascii="Tahoma" w:hAnsi="Tahoma" w:cs="Tahoma"/>
          <w:lang w:val="en-GB"/>
        </w:rPr>
        <w:t xml:space="preserve"> </w:t>
      </w:r>
      <w:r w:rsidRPr="00B546B0">
        <w:rPr>
          <w:rFonts w:ascii="Tahoma" w:hAnsi="Tahoma" w:cs="Tahoma"/>
          <w:lang w:val="en-GB"/>
        </w:rPr>
        <w:t>number of new cases in 2015. By 2030, the incidence of chronic</w:t>
      </w:r>
    </w:p>
    <w:p w:rsidR="00B546B0" w:rsidRDefault="00B546B0" w:rsidP="00B546B0">
      <w:pPr>
        <w:spacing w:after="0" w:line="240" w:lineRule="auto"/>
        <w:rPr>
          <w:rFonts w:ascii="Tahoma" w:hAnsi="Tahoma" w:cs="Tahoma"/>
          <w:lang w:val="en-GB"/>
        </w:rPr>
      </w:pPr>
      <w:r w:rsidRPr="00B546B0">
        <w:rPr>
          <w:rFonts w:ascii="Tahoma" w:hAnsi="Tahoma" w:cs="Tahoma"/>
          <w:lang w:val="en-GB"/>
        </w:rPr>
        <w:t>hepatitis infection will have been reduced by 90% and there</w:t>
      </w:r>
      <w:r>
        <w:rPr>
          <w:rFonts w:ascii="Tahoma" w:hAnsi="Tahoma" w:cs="Tahoma"/>
          <w:lang w:val="en-GB"/>
        </w:rPr>
        <w:t xml:space="preserve"> </w:t>
      </w:r>
      <w:r w:rsidRPr="00B546B0">
        <w:rPr>
          <w:rFonts w:ascii="Tahoma" w:hAnsi="Tahoma" w:cs="Tahoma"/>
          <w:lang w:val="en-GB"/>
        </w:rPr>
        <w:t>will be universal access to key prevention and treatment services.</w:t>
      </w:r>
    </w:p>
    <w:p w:rsidR="00D12947" w:rsidRPr="00D12947" w:rsidRDefault="00D12947" w:rsidP="00D12947">
      <w:pPr>
        <w:spacing w:after="0" w:line="240" w:lineRule="auto"/>
        <w:rPr>
          <w:rFonts w:ascii="Tahoma" w:hAnsi="Tahoma" w:cs="Tahoma"/>
          <w:lang w:val="en-GB"/>
        </w:rPr>
      </w:pPr>
      <w:r w:rsidRPr="00D12947">
        <w:rPr>
          <w:rFonts w:ascii="Tahoma" w:hAnsi="Tahoma" w:cs="Tahoma"/>
          <w:lang w:val="en-GB"/>
        </w:rPr>
        <w:t>An early win in the global response to viral hepatitis was achieved through</w:t>
      </w:r>
      <w:r>
        <w:rPr>
          <w:rFonts w:ascii="Tahoma" w:hAnsi="Tahoma" w:cs="Tahoma"/>
          <w:lang w:val="en-GB"/>
        </w:rPr>
        <w:t xml:space="preserve"> </w:t>
      </w:r>
      <w:r w:rsidRPr="00D12947">
        <w:rPr>
          <w:rFonts w:ascii="Tahoma" w:hAnsi="Tahoma" w:cs="Tahoma"/>
          <w:lang w:val="en-GB"/>
        </w:rPr>
        <w:t xml:space="preserve">the effective scaling up of hepatitis B vaccine. </w:t>
      </w:r>
      <w:r w:rsidRPr="00A06CA4">
        <w:rPr>
          <w:rFonts w:ascii="Tahoma" w:hAnsi="Tahoma" w:cs="Tahoma"/>
          <w:lang w:val="en-GB"/>
        </w:rPr>
        <w:t xml:space="preserve">WHO recommends that all infants receive the hepatitis B vaccine as soon as possible after birth, preferably within 24 hours. </w:t>
      </w:r>
      <w:r w:rsidRPr="00B546B0">
        <w:rPr>
          <w:rFonts w:ascii="Tahoma" w:hAnsi="Tahoma" w:cs="Tahoma"/>
          <w:lang w:val="en-GB"/>
        </w:rPr>
        <w:t>Birth-dose vaccination is a key intervention for prevention of hepatitis B virus infection in infants. However, its delivery can be a challenge in communities where a large proportion of births occur outside of health facilities. As a result, global coverage is only around 38%</w:t>
      </w:r>
      <w:r w:rsidRPr="00D12947">
        <w:rPr>
          <w:rFonts w:ascii="Tahoma" w:hAnsi="Tahoma" w:cs="Tahoma"/>
          <w:lang w:val="en-GB"/>
        </w:rPr>
        <w:t xml:space="preserve"> In 2015, global coverage</w:t>
      </w:r>
      <w:r>
        <w:rPr>
          <w:rFonts w:ascii="Tahoma" w:hAnsi="Tahoma" w:cs="Tahoma"/>
          <w:lang w:val="en-GB"/>
        </w:rPr>
        <w:t xml:space="preserve"> </w:t>
      </w:r>
      <w:r w:rsidRPr="00D12947">
        <w:rPr>
          <w:rFonts w:ascii="Tahoma" w:hAnsi="Tahoma" w:cs="Tahoma"/>
          <w:lang w:val="en-GB"/>
        </w:rPr>
        <w:t>with the three doses of hepatitis B vaccine in infancy reached 84%.</w:t>
      </w:r>
      <w:r>
        <w:rPr>
          <w:rFonts w:ascii="Tahoma" w:hAnsi="Tahoma" w:cs="Tahoma"/>
          <w:lang w:val="en-GB"/>
        </w:rPr>
        <w:t xml:space="preserve"> </w:t>
      </w:r>
      <w:r w:rsidRPr="00D12947">
        <w:rPr>
          <w:rFonts w:ascii="Tahoma" w:hAnsi="Tahoma" w:cs="Tahoma"/>
          <w:lang w:val="en-GB"/>
        </w:rPr>
        <w:t>This has substantially reduced HBV transmission in the first five years</w:t>
      </w:r>
      <w:r>
        <w:rPr>
          <w:rFonts w:ascii="Tahoma" w:hAnsi="Tahoma" w:cs="Tahoma"/>
          <w:lang w:val="en-GB"/>
        </w:rPr>
        <w:t xml:space="preserve"> </w:t>
      </w:r>
      <w:r w:rsidRPr="00D12947">
        <w:rPr>
          <w:rFonts w:ascii="Tahoma" w:hAnsi="Tahoma" w:cs="Tahoma"/>
          <w:lang w:val="en-GB"/>
        </w:rPr>
        <w:t>of life, as reflected by the reduction in HBV prevalence among children</w:t>
      </w:r>
      <w:r>
        <w:rPr>
          <w:rFonts w:ascii="Tahoma" w:hAnsi="Tahoma" w:cs="Tahoma"/>
          <w:lang w:val="en-GB"/>
        </w:rPr>
        <w:t xml:space="preserve"> </w:t>
      </w:r>
      <w:r w:rsidRPr="00D12947">
        <w:rPr>
          <w:rFonts w:ascii="Tahoma" w:hAnsi="Tahoma" w:cs="Tahoma"/>
          <w:lang w:val="en-GB"/>
        </w:rPr>
        <w:t>to</w:t>
      </w:r>
      <w:r>
        <w:rPr>
          <w:rFonts w:ascii="Tahoma" w:hAnsi="Tahoma" w:cs="Tahoma"/>
          <w:lang w:val="en-GB"/>
        </w:rPr>
        <w:t xml:space="preserve"> </w:t>
      </w:r>
      <w:r w:rsidRPr="00D12947">
        <w:rPr>
          <w:rFonts w:ascii="Tahoma" w:hAnsi="Tahoma" w:cs="Tahoma"/>
          <w:lang w:val="en-GB"/>
        </w:rPr>
        <w:t>1.3%. Other prevention interventions are available but insufficiently</w:t>
      </w:r>
      <w:r>
        <w:rPr>
          <w:rFonts w:ascii="Tahoma" w:hAnsi="Tahoma" w:cs="Tahoma"/>
          <w:lang w:val="en-GB"/>
        </w:rPr>
        <w:t xml:space="preserve"> </w:t>
      </w:r>
      <w:r w:rsidRPr="00D12947">
        <w:rPr>
          <w:rFonts w:ascii="Tahoma" w:hAnsi="Tahoma" w:cs="Tahoma"/>
          <w:lang w:val="en-GB"/>
        </w:rPr>
        <w:t>implemented.</w:t>
      </w:r>
    </w:p>
    <w:p w:rsidR="00A06CA4" w:rsidRDefault="00A06CA4" w:rsidP="00A06CA4">
      <w:pPr>
        <w:spacing w:after="0" w:line="240" w:lineRule="auto"/>
        <w:rPr>
          <w:rFonts w:ascii="Tahoma" w:hAnsi="Tahoma" w:cs="Tahoma"/>
          <w:lang w:val="en-GB"/>
        </w:rPr>
      </w:pPr>
    </w:p>
    <w:p w:rsidR="00D13E32" w:rsidRPr="007E781E" w:rsidRDefault="003A724D" w:rsidP="00D13E32">
      <w:pPr>
        <w:rPr>
          <w:rFonts w:ascii="Tahoma" w:hAnsi="Tahoma" w:cs="Tahoma"/>
          <w:lang w:val="en-GB"/>
        </w:rPr>
      </w:pPr>
      <w:hyperlink r:id="rId7" w:history="1">
        <w:r w:rsidR="00D13E32" w:rsidRPr="007E781E">
          <w:rPr>
            <w:rStyle w:val="Hyperlink"/>
            <w:rFonts w:ascii="Tahoma" w:hAnsi="Tahoma" w:cs="Tahoma"/>
            <w:lang w:val="en-GB"/>
          </w:rPr>
          <w:t>Global Hepatitis Report 2017</w:t>
        </w:r>
      </w:hyperlink>
    </w:p>
    <w:p w:rsidR="00D13E32" w:rsidRPr="001308C9" w:rsidRDefault="003A724D">
      <w:pPr>
        <w:rPr>
          <w:rFonts w:ascii="Tahoma" w:hAnsi="Tahoma" w:cs="Tahoma"/>
          <w:sz w:val="21"/>
          <w:szCs w:val="21"/>
          <w:lang w:val="en-GB"/>
        </w:rPr>
      </w:pPr>
      <w:hyperlink r:id="rId8" w:history="1">
        <w:r w:rsidR="001308C9" w:rsidRPr="001308C9">
          <w:rPr>
            <w:rStyle w:val="Hyperlink"/>
            <w:rFonts w:ascii="Tahoma" w:hAnsi="Tahoma" w:cs="Tahoma"/>
            <w:sz w:val="21"/>
            <w:szCs w:val="21"/>
            <w:lang w:val="en-GB"/>
          </w:rPr>
          <w:t>Global Health Sector Strategy on Viral Hepatitis 2016-2017</w:t>
        </w:r>
      </w:hyperlink>
      <w:r w:rsidR="00D13E32" w:rsidRPr="001308C9">
        <w:rPr>
          <w:rFonts w:ascii="Tahoma" w:hAnsi="Tahoma" w:cs="Tahoma"/>
          <w:sz w:val="21"/>
          <w:szCs w:val="21"/>
          <w:lang w:val="en-GB"/>
        </w:rPr>
        <w:br w:type="page"/>
      </w:r>
    </w:p>
    <w:p w:rsidR="00961CAE" w:rsidRPr="007E781E" w:rsidRDefault="00961CAE">
      <w:pPr>
        <w:rPr>
          <w:rFonts w:ascii="Tahoma" w:hAnsi="Tahoma" w:cs="Tahoma"/>
          <w:b/>
          <w:bCs/>
          <w:sz w:val="21"/>
          <w:szCs w:val="21"/>
          <w:lang w:val="en-GB"/>
        </w:rPr>
      </w:pPr>
      <w:r w:rsidRPr="007E781E">
        <w:rPr>
          <w:rFonts w:ascii="Tahoma" w:hAnsi="Tahoma" w:cs="Tahoma"/>
          <w:b/>
          <w:bCs/>
          <w:sz w:val="21"/>
          <w:szCs w:val="21"/>
          <w:lang w:val="en-GB"/>
        </w:rPr>
        <w:lastRenderedPageBreak/>
        <w:t>Burden of disease</w:t>
      </w:r>
    </w:p>
    <w:p w:rsidR="00961CAE" w:rsidRDefault="00FD19E2" w:rsidP="00FD19E2">
      <w:pPr>
        <w:rPr>
          <w:rFonts w:ascii="Tahoma" w:hAnsi="Tahoma" w:cs="Tahoma"/>
          <w:sz w:val="21"/>
          <w:szCs w:val="21"/>
          <w:lang w:val="en-GB"/>
        </w:rPr>
      </w:pPr>
      <w:r w:rsidRPr="007E781E">
        <w:rPr>
          <w:rFonts w:ascii="Tahoma" w:hAnsi="Tahoma" w:cs="Tahoma"/>
          <w:sz w:val="21"/>
          <w:szCs w:val="21"/>
          <w:lang w:val="en-GB"/>
        </w:rPr>
        <w:t>In 2015, the global prevalence of HBV infection in the general population was 3.5%. Among those born before the hepatitis B vaccine became available, the proportion of persons living with chronic HBV infection remains high. Prevalence was the highest in the African (6.1%) and Western Pacific regions (6.2%). Overall, about 257 million persons were living with HBV infection. Assuming that women of reproductive age constitute 25.3% of the world’s population (United Nations data), adults chronically infected may include 65 million women of childbearing age who can potentially transmit HBV to their babies.</w:t>
      </w:r>
      <w:r w:rsidRPr="007E781E">
        <w:rPr>
          <w:rFonts w:ascii="Tahoma" w:hAnsi="Tahoma" w:cs="Tahoma"/>
          <w:sz w:val="21"/>
          <w:szCs w:val="21"/>
        </w:rPr>
        <w:t xml:space="preserve"> </w:t>
      </w:r>
      <w:r w:rsidR="00B038BE" w:rsidRPr="007E781E">
        <w:rPr>
          <w:rFonts w:ascii="Tahoma" w:hAnsi="Tahoma" w:cs="Tahoma"/>
          <w:sz w:val="21"/>
          <w:szCs w:val="21"/>
          <w:lang w:val="en-GB"/>
        </w:rPr>
        <w:t xml:space="preserve">The widespread use of hepatitis B vaccine in infants has considerably reduced the incidence of new chronic HBV infections. Between the pre-vaccine era (which, according to the year of introduction can range from the 1980s to the early 2000s) and 2015, the proportion of children under 5 years of age who became chronically infected fell from 4.7% to 1.3%. </w:t>
      </w:r>
    </w:p>
    <w:p w:rsidR="00814174" w:rsidRPr="001833B6" w:rsidRDefault="001833B6">
      <w:pPr>
        <w:rPr>
          <w:rFonts w:ascii="Tahoma" w:hAnsi="Tahoma" w:cs="Tahoma"/>
          <w:sz w:val="21"/>
          <w:szCs w:val="21"/>
          <w:lang w:val="en-GB"/>
        </w:rPr>
      </w:pPr>
      <w:r w:rsidRPr="001833B6">
        <w:rPr>
          <w:rFonts w:ascii="Tahoma" w:hAnsi="Tahoma" w:cs="Tahoma"/>
          <w:sz w:val="21"/>
          <w:szCs w:val="21"/>
          <w:lang w:val="en-GB"/>
        </w:rPr>
        <w:t>Link</w:t>
      </w:r>
      <w:r>
        <w:rPr>
          <w:rFonts w:ascii="Tahoma" w:hAnsi="Tahoma" w:cs="Tahoma"/>
          <w:sz w:val="21"/>
          <w:szCs w:val="21"/>
          <w:lang w:val="en-GB"/>
        </w:rPr>
        <w:t xml:space="preserve"> to specific country estimates</w:t>
      </w:r>
      <w:r w:rsidR="00814174" w:rsidRPr="001833B6">
        <w:rPr>
          <w:rFonts w:ascii="Tahoma" w:hAnsi="Tahoma" w:cs="Tahoma"/>
          <w:sz w:val="21"/>
          <w:szCs w:val="21"/>
          <w:lang w:val="en-GB"/>
        </w:rPr>
        <w:br w:type="page"/>
      </w:r>
    </w:p>
    <w:p w:rsidR="00D13E32" w:rsidRPr="007E781E" w:rsidRDefault="00D13E32" w:rsidP="00D13E32">
      <w:pPr>
        <w:rPr>
          <w:rFonts w:ascii="Tahoma" w:hAnsi="Tahoma" w:cs="Tahoma"/>
          <w:b/>
          <w:bCs/>
          <w:sz w:val="21"/>
          <w:szCs w:val="21"/>
          <w:lang w:val="en-GB"/>
        </w:rPr>
      </w:pPr>
      <w:r>
        <w:rPr>
          <w:rFonts w:ascii="Tahoma" w:hAnsi="Tahoma" w:cs="Tahoma"/>
          <w:b/>
          <w:bCs/>
          <w:sz w:val="21"/>
          <w:szCs w:val="21"/>
          <w:lang w:val="en-GB"/>
        </w:rPr>
        <w:lastRenderedPageBreak/>
        <w:t>Hepatitis B v</w:t>
      </w:r>
      <w:r w:rsidRPr="007E781E">
        <w:rPr>
          <w:rFonts w:ascii="Tahoma" w:hAnsi="Tahoma" w:cs="Tahoma"/>
          <w:b/>
          <w:bCs/>
          <w:sz w:val="21"/>
          <w:szCs w:val="21"/>
          <w:lang w:val="en-GB"/>
        </w:rPr>
        <w:t>accine</w:t>
      </w:r>
      <w:r>
        <w:rPr>
          <w:rFonts w:ascii="Tahoma" w:hAnsi="Tahoma" w:cs="Tahoma"/>
          <w:b/>
          <w:bCs/>
          <w:sz w:val="21"/>
          <w:szCs w:val="21"/>
          <w:lang w:val="en-GB"/>
        </w:rPr>
        <w:t xml:space="preserve"> recommendations</w:t>
      </w:r>
    </w:p>
    <w:p w:rsidR="00D13E32" w:rsidRPr="007E781E" w:rsidRDefault="00D13E32" w:rsidP="00D13E32">
      <w:pPr>
        <w:rPr>
          <w:rFonts w:ascii="Tahoma" w:hAnsi="Tahoma" w:cs="Tahoma"/>
          <w:sz w:val="21"/>
          <w:szCs w:val="21"/>
          <w:lang w:val="en-GB"/>
        </w:rPr>
      </w:pPr>
      <w:r w:rsidRPr="007E781E">
        <w:rPr>
          <w:rFonts w:ascii="Tahoma" w:hAnsi="Tahoma" w:cs="Tahoma"/>
          <w:sz w:val="21"/>
          <w:szCs w:val="21"/>
          <w:lang w:val="en-GB"/>
        </w:rPr>
        <w:t>WHO recommends that all infants receive the hepatitis B vaccine as soon as possible after birth, preferably within 24 hours. If administration within 24 hours is not feasible, a late birth dose has some effectiveness. Although effectiveness declines progressively in the days after birth, after 7 days, a late birth dose can still be effective in preventing horizontal transmission and therefore remains beneficial. WHO recommends that all infants receive the late birth dose during the first contact with health-care providers at any time up to the time of the next dose of the primary schedule.</w:t>
      </w:r>
    </w:p>
    <w:p w:rsidR="00D13E32" w:rsidRPr="007E781E" w:rsidRDefault="00D13E32" w:rsidP="00D13E32">
      <w:pPr>
        <w:rPr>
          <w:rFonts w:ascii="Tahoma" w:hAnsi="Tahoma" w:cs="Tahoma"/>
          <w:sz w:val="21"/>
          <w:szCs w:val="21"/>
          <w:lang w:val="en-GB"/>
        </w:rPr>
      </w:pPr>
      <w:r w:rsidRPr="007E781E">
        <w:rPr>
          <w:rFonts w:ascii="Tahoma" w:hAnsi="Tahoma" w:cs="Tahoma"/>
          <w:sz w:val="21"/>
          <w:szCs w:val="21"/>
          <w:lang w:val="en-GB"/>
        </w:rPr>
        <w:t>The birth dose should be followed by 2 or 3 doses to complete the primary series. In most cases, 1 of the following 2 options is considered appropriate:</w:t>
      </w:r>
    </w:p>
    <w:p w:rsidR="00D13E32" w:rsidRPr="007E781E" w:rsidRDefault="00D13E32" w:rsidP="00D13E32">
      <w:pPr>
        <w:numPr>
          <w:ilvl w:val="0"/>
          <w:numId w:val="1"/>
        </w:numPr>
        <w:rPr>
          <w:rFonts w:ascii="Tahoma" w:hAnsi="Tahoma" w:cs="Tahoma"/>
          <w:sz w:val="21"/>
          <w:szCs w:val="21"/>
          <w:lang w:val="en-GB"/>
        </w:rPr>
      </w:pPr>
      <w:r w:rsidRPr="007E781E">
        <w:rPr>
          <w:rFonts w:ascii="Tahoma" w:hAnsi="Tahoma" w:cs="Tahoma"/>
          <w:sz w:val="21"/>
          <w:szCs w:val="21"/>
          <w:lang w:val="en-GB"/>
        </w:rPr>
        <w:t>a 3-dose schedule of hepatitis B vaccine, with the first dose (monovalent) being given at birth and the second and third (monovalent or combined vaccine) given at the same time as the first and third doses of diphtheria, pertussis (whooping cough), and tetanus – (DTP) vaccine; or</w:t>
      </w:r>
    </w:p>
    <w:p w:rsidR="00D13E32" w:rsidRPr="007E781E" w:rsidRDefault="00D13E32" w:rsidP="00D13E32">
      <w:pPr>
        <w:numPr>
          <w:ilvl w:val="0"/>
          <w:numId w:val="1"/>
        </w:numPr>
        <w:rPr>
          <w:rFonts w:ascii="Tahoma" w:hAnsi="Tahoma" w:cs="Tahoma"/>
          <w:b/>
          <w:bCs/>
          <w:sz w:val="21"/>
          <w:szCs w:val="21"/>
          <w:lang w:val="en-US"/>
        </w:rPr>
      </w:pPr>
      <w:r w:rsidRPr="007E781E">
        <w:rPr>
          <w:rFonts w:ascii="Tahoma" w:hAnsi="Tahoma" w:cs="Tahoma"/>
          <w:sz w:val="21"/>
          <w:szCs w:val="21"/>
          <w:lang w:val="en-GB"/>
        </w:rPr>
        <w:t>a 4-dose schedule, where a monovalent birth dose is followed by three monovalent or combined vaccine doses, usually given with other routine infant vaccines</w:t>
      </w:r>
      <w:r w:rsidRPr="007E781E">
        <w:rPr>
          <w:rFonts w:ascii="Tahoma" w:hAnsi="Tahoma" w:cs="Tahoma"/>
          <w:b/>
          <w:bCs/>
          <w:sz w:val="21"/>
          <w:szCs w:val="21"/>
          <w:lang w:val="en-US"/>
        </w:rPr>
        <w:t>.</w:t>
      </w:r>
    </w:p>
    <w:p w:rsidR="00D13E32" w:rsidRDefault="003A724D" w:rsidP="00D13E32">
      <w:pPr>
        <w:rPr>
          <w:rFonts w:ascii="Tahoma" w:hAnsi="Tahoma" w:cs="Tahoma"/>
          <w:sz w:val="21"/>
          <w:szCs w:val="21"/>
          <w:lang w:val="en-GB"/>
        </w:rPr>
      </w:pPr>
      <w:hyperlink r:id="rId9" w:history="1">
        <w:r w:rsidR="00D13E32" w:rsidRPr="007E781E">
          <w:rPr>
            <w:rStyle w:val="Hyperlink"/>
            <w:rFonts w:ascii="Tahoma" w:hAnsi="Tahoma" w:cs="Tahoma"/>
            <w:sz w:val="21"/>
            <w:szCs w:val="21"/>
            <w:lang w:val="en-GB"/>
          </w:rPr>
          <w:t>WHO Hepatitis B Vaccine position paper</w:t>
        </w:r>
      </w:hyperlink>
    </w:p>
    <w:p w:rsidR="00A221AA" w:rsidRDefault="00A221AA" w:rsidP="00D13E32">
      <w:pPr>
        <w:rPr>
          <w:rFonts w:ascii="Tahoma" w:hAnsi="Tahoma" w:cs="Tahoma"/>
          <w:sz w:val="21"/>
          <w:szCs w:val="21"/>
          <w:lang w:val="en-GB"/>
        </w:rPr>
      </w:pPr>
    </w:p>
    <w:p w:rsidR="00A221AA" w:rsidRDefault="001833B6" w:rsidP="00D13E32">
      <w:pPr>
        <w:rPr>
          <w:rFonts w:ascii="Tahoma" w:hAnsi="Tahoma" w:cs="Tahoma"/>
          <w:sz w:val="21"/>
          <w:szCs w:val="21"/>
          <w:lang w:val="en-GB"/>
        </w:rPr>
      </w:pPr>
      <w:r>
        <w:rPr>
          <w:rFonts w:ascii="Tahoma" w:hAnsi="Tahoma" w:cs="Tahoma"/>
          <w:noProof/>
          <w:sz w:val="21"/>
          <w:szCs w:val="21"/>
          <w:lang w:val="en-US" w:eastAsia="zh-CN"/>
        </w:rPr>
        <w:drawing>
          <wp:inline distT="0" distB="0" distL="0" distR="0" wp14:anchorId="55507D85" wp14:editId="0BEC4264">
            <wp:extent cx="2016582" cy="1448873"/>
            <wp:effectExtent l="0" t="0" r="3175" b="0"/>
            <wp:docPr id="1" name="Picture 1" descr="K:\Jenner_Public\IVR\IMR\Immunization Schedules\Hepatitis B\seroprevalence review\visualization\PC_GLOB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Jenner_Public\IVR\IMR\Immunization Schedules\Hepatitis B\seroprevalence review\visualization\PC_GLOBAL.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18137" cy="1449990"/>
                    </a:xfrm>
                    <a:prstGeom prst="rect">
                      <a:avLst/>
                    </a:prstGeom>
                    <a:noFill/>
                    <a:ln>
                      <a:noFill/>
                    </a:ln>
                  </pic:spPr>
                </pic:pic>
              </a:graphicData>
            </a:graphic>
          </wp:inline>
        </w:drawing>
      </w:r>
    </w:p>
    <w:p w:rsidR="001833B6" w:rsidRDefault="003A724D" w:rsidP="001833B6">
      <w:pPr>
        <w:rPr>
          <w:rFonts w:ascii="Tahoma" w:hAnsi="Tahoma" w:cs="Tahoma"/>
          <w:sz w:val="21"/>
          <w:szCs w:val="21"/>
          <w:lang w:val="en-GB"/>
        </w:rPr>
      </w:pPr>
      <w:hyperlink r:id="rId11" w:history="1">
        <w:r w:rsidR="001833B6" w:rsidRPr="00325EB5">
          <w:rPr>
            <w:rStyle w:val="Hyperlink"/>
            <w:rFonts w:ascii="Tahoma" w:hAnsi="Tahoma" w:cs="Tahoma"/>
            <w:sz w:val="21"/>
            <w:szCs w:val="21"/>
            <w:lang w:val="en-GB"/>
          </w:rPr>
          <w:t>Immunization surveillance assessment and monitoring</w:t>
        </w:r>
      </w:hyperlink>
    </w:p>
    <w:p w:rsidR="00A221AA" w:rsidRDefault="003A724D" w:rsidP="001833B6">
      <w:pPr>
        <w:rPr>
          <w:rFonts w:ascii="Tahoma" w:hAnsi="Tahoma" w:cs="Tahoma"/>
          <w:sz w:val="21"/>
          <w:szCs w:val="21"/>
          <w:lang w:val="en-GB"/>
        </w:rPr>
      </w:pPr>
      <w:hyperlink r:id="rId12" w:history="1">
        <w:r w:rsidR="001833B6" w:rsidRPr="00325EB5">
          <w:rPr>
            <w:rStyle w:val="Hyperlink"/>
            <w:rFonts w:ascii="Tahoma" w:hAnsi="Tahoma" w:cs="Tahoma"/>
            <w:sz w:val="21"/>
            <w:szCs w:val="21"/>
            <w:lang w:val="en-GB"/>
          </w:rPr>
          <w:t>Global Health Observatory visualizations</w:t>
        </w:r>
      </w:hyperlink>
    </w:p>
    <w:p w:rsidR="00A221AA" w:rsidRPr="007E781E" w:rsidRDefault="00A221AA" w:rsidP="00D13E32">
      <w:pPr>
        <w:rPr>
          <w:rFonts w:ascii="Tahoma" w:hAnsi="Tahoma" w:cs="Tahoma"/>
          <w:sz w:val="21"/>
          <w:szCs w:val="21"/>
          <w:lang w:val="en-GB"/>
        </w:rPr>
      </w:pPr>
    </w:p>
    <w:p w:rsidR="00D13E32" w:rsidRDefault="00D13E32">
      <w:pPr>
        <w:rPr>
          <w:rFonts w:ascii="Tahoma" w:hAnsi="Tahoma" w:cs="Tahoma"/>
          <w:b/>
          <w:bCs/>
          <w:sz w:val="21"/>
          <w:szCs w:val="21"/>
          <w:lang w:val="en-GB"/>
        </w:rPr>
      </w:pPr>
    </w:p>
    <w:p w:rsidR="00D13E32" w:rsidRDefault="00D13E32">
      <w:pPr>
        <w:rPr>
          <w:rFonts w:ascii="Tahoma" w:hAnsi="Tahoma" w:cs="Tahoma"/>
          <w:b/>
          <w:bCs/>
          <w:sz w:val="21"/>
          <w:szCs w:val="21"/>
          <w:lang w:val="en-GB"/>
        </w:rPr>
      </w:pPr>
    </w:p>
    <w:p w:rsidR="00D13E32" w:rsidRDefault="00D13E32">
      <w:pPr>
        <w:rPr>
          <w:rFonts w:ascii="Tahoma" w:hAnsi="Tahoma" w:cs="Tahoma"/>
          <w:b/>
          <w:bCs/>
          <w:sz w:val="21"/>
          <w:szCs w:val="21"/>
          <w:lang w:val="en-GB"/>
        </w:rPr>
      </w:pPr>
    </w:p>
    <w:p w:rsidR="00D13E32" w:rsidRDefault="00D13E32">
      <w:pPr>
        <w:rPr>
          <w:rFonts w:ascii="Tahoma" w:hAnsi="Tahoma" w:cs="Tahoma"/>
          <w:b/>
          <w:bCs/>
          <w:sz w:val="21"/>
          <w:szCs w:val="21"/>
          <w:lang w:val="en-GB"/>
        </w:rPr>
      </w:pPr>
      <w:r>
        <w:rPr>
          <w:rFonts w:ascii="Tahoma" w:hAnsi="Tahoma" w:cs="Tahoma"/>
          <w:b/>
          <w:bCs/>
          <w:sz w:val="21"/>
          <w:szCs w:val="21"/>
          <w:lang w:val="en-GB"/>
        </w:rPr>
        <w:br w:type="page"/>
      </w:r>
    </w:p>
    <w:p w:rsidR="000F04A2" w:rsidRPr="007E781E" w:rsidRDefault="000F04A2">
      <w:pPr>
        <w:rPr>
          <w:rFonts w:ascii="Tahoma" w:hAnsi="Tahoma" w:cs="Tahoma"/>
          <w:b/>
          <w:bCs/>
          <w:sz w:val="21"/>
          <w:szCs w:val="21"/>
          <w:lang w:val="en-GB"/>
        </w:rPr>
      </w:pPr>
      <w:r w:rsidRPr="007E781E">
        <w:rPr>
          <w:rFonts w:ascii="Tahoma" w:hAnsi="Tahoma" w:cs="Tahoma"/>
          <w:b/>
          <w:bCs/>
          <w:sz w:val="21"/>
          <w:szCs w:val="21"/>
          <w:lang w:val="en-GB"/>
        </w:rPr>
        <w:lastRenderedPageBreak/>
        <w:t>Methods</w:t>
      </w:r>
    </w:p>
    <w:p w:rsidR="000F04A2" w:rsidRPr="007E781E" w:rsidRDefault="000F04A2">
      <w:pPr>
        <w:rPr>
          <w:rFonts w:ascii="Tahoma" w:hAnsi="Tahoma" w:cs="Tahoma"/>
          <w:b/>
          <w:bCs/>
          <w:sz w:val="21"/>
          <w:szCs w:val="21"/>
          <w:lang w:val="en-GB"/>
        </w:rPr>
      </w:pPr>
      <w:r w:rsidRPr="007E781E">
        <w:rPr>
          <w:rFonts w:ascii="Tahoma" w:hAnsi="Tahoma" w:cs="Tahoma"/>
          <w:b/>
          <w:bCs/>
          <w:sz w:val="21"/>
          <w:szCs w:val="21"/>
          <w:lang w:val="en-GB"/>
        </w:rPr>
        <w:t>Systematic review</w:t>
      </w:r>
      <w:r w:rsidR="00E27CE7" w:rsidRPr="007E781E">
        <w:rPr>
          <w:rFonts w:ascii="Tahoma" w:hAnsi="Tahoma" w:cs="Tahoma"/>
          <w:b/>
          <w:bCs/>
          <w:sz w:val="21"/>
          <w:szCs w:val="21"/>
          <w:lang w:val="en-GB"/>
        </w:rPr>
        <w:t xml:space="preserve"> of surface antigen data published between 1965 and 2017.</w:t>
      </w:r>
    </w:p>
    <w:p w:rsidR="000F04A2" w:rsidRDefault="000F04A2" w:rsidP="00A06CA4">
      <w:pPr>
        <w:pStyle w:val="NormalWeb"/>
        <w:spacing w:after="0" w:line="240" w:lineRule="auto"/>
        <w:rPr>
          <w:rFonts w:ascii="Tahoma" w:eastAsiaTheme="minorEastAsia" w:hAnsi="Tahoma" w:cs="Tahoma"/>
          <w:sz w:val="21"/>
          <w:szCs w:val="21"/>
          <w:lang w:val="en-GB" w:eastAsia="fr-FR"/>
        </w:rPr>
      </w:pPr>
      <w:r w:rsidRPr="007E781E">
        <w:rPr>
          <w:rFonts w:ascii="Tahoma" w:eastAsiaTheme="minorEastAsia" w:hAnsi="Tahoma" w:cs="Tahoma"/>
          <w:sz w:val="21"/>
          <w:szCs w:val="21"/>
          <w:lang w:val="en-GB" w:eastAsia="fr-FR"/>
        </w:rPr>
        <w:t xml:space="preserve">We report national-level prevalence estimates of chronic HBV derived by a systematic review of peer-reviewed literature reporting HBV prevalence (hepatitis B surface antigen [HBsAg]) in children under 5 years of age and the general population. We updated the systematic review conducted by Schweitzer, et al., 2015. It included a systematic search on articles published between Jan 1, 1965, and Oct 23, 2013. We updated the systematic search on articles published between Oct 23, 2013, and March 20, 2017 and searched the databases </w:t>
      </w:r>
      <w:proofErr w:type="spellStart"/>
      <w:r w:rsidRPr="007E781E">
        <w:rPr>
          <w:rFonts w:ascii="Tahoma" w:eastAsiaTheme="minorEastAsia" w:hAnsi="Tahoma" w:cs="Tahoma"/>
          <w:sz w:val="21"/>
          <w:szCs w:val="21"/>
          <w:lang w:val="en-GB" w:eastAsia="fr-FR"/>
        </w:rPr>
        <w:t>Embase</w:t>
      </w:r>
      <w:proofErr w:type="spellEnd"/>
      <w:r w:rsidRPr="007E781E">
        <w:rPr>
          <w:rFonts w:ascii="Tahoma" w:eastAsiaTheme="minorEastAsia" w:hAnsi="Tahoma" w:cs="Tahoma"/>
          <w:sz w:val="21"/>
          <w:szCs w:val="21"/>
          <w:lang w:val="en-GB" w:eastAsia="fr-FR"/>
        </w:rPr>
        <w:t xml:space="preserve">, PubMed, Global Index </w:t>
      </w:r>
      <w:proofErr w:type="spellStart"/>
      <w:r w:rsidRPr="007E781E">
        <w:rPr>
          <w:rFonts w:ascii="Tahoma" w:eastAsiaTheme="minorEastAsia" w:hAnsi="Tahoma" w:cs="Tahoma"/>
          <w:sz w:val="21"/>
          <w:szCs w:val="21"/>
          <w:lang w:val="en-GB" w:eastAsia="fr-FR"/>
        </w:rPr>
        <w:t>Medicus</w:t>
      </w:r>
      <w:proofErr w:type="spellEnd"/>
      <w:r w:rsidRPr="007E781E">
        <w:rPr>
          <w:rFonts w:ascii="Tahoma" w:eastAsiaTheme="minorEastAsia" w:hAnsi="Tahoma" w:cs="Tahoma"/>
          <w:sz w:val="21"/>
          <w:szCs w:val="21"/>
          <w:lang w:val="en-GB" w:eastAsia="fr-FR"/>
        </w:rPr>
        <w:t xml:space="preserve">, </w:t>
      </w:r>
      <w:proofErr w:type="spellStart"/>
      <w:r w:rsidRPr="007E781E">
        <w:rPr>
          <w:rFonts w:ascii="Tahoma" w:eastAsiaTheme="minorEastAsia" w:hAnsi="Tahoma" w:cs="Tahoma"/>
          <w:sz w:val="21"/>
          <w:szCs w:val="21"/>
          <w:lang w:val="en-GB" w:eastAsia="fr-FR"/>
        </w:rPr>
        <w:t>Popline</w:t>
      </w:r>
      <w:proofErr w:type="spellEnd"/>
      <w:r w:rsidRPr="007E781E">
        <w:rPr>
          <w:rFonts w:ascii="Tahoma" w:eastAsiaTheme="minorEastAsia" w:hAnsi="Tahoma" w:cs="Tahoma"/>
          <w:sz w:val="21"/>
          <w:szCs w:val="21"/>
          <w:lang w:val="en-GB" w:eastAsia="fr-FR"/>
        </w:rPr>
        <w:t>, and Web of Science. The inclusion/exclusion criteria were similar to (Schweitzer, et al.). Observational studies on chronic HBV infection seroprevalence (HBsAg prevalence), done in the general population or among blood donors, health-care workers (HCWs), and pregnant women were considered for inclusion in this systematic review. Studies were excluded if they were systematic reviews or meta-analyses, surveillance reports, case studies, letters or correspondence, or did not contain HBsAg seroprevalence data. Studies were also excluded if they exclusively reported prevalence estimates for high-risk population groups (e.g., migrants and refugees).</w:t>
      </w:r>
    </w:p>
    <w:p w:rsidR="00A06CA4" w:rsidRPr="007E781E" w:rsidRDefault="00A06CA4" w:rsidP="00A06CA4">
      <w:pPr>
        <w:pStyle w:val="NormalWeb"/>
        <w:spacing w:after="0" w:line="240" w:lineRule="auto"/>
        <w:rPr>
          <w:rFonts w:ascii="Tahoma" w:eastAsiaTheme="minorEastAsia" w:hAnsi="Tahoma" w:cs="Tahoma"/>
          <w:sz w:val="21"/>
          <w:szCs w:val="21"/>
          <w:lang w:val="en-GB" w:eastAsia="fr-FR"/>
        </w:rPr>
      </w:pPr>
    </w:p>
    <w:p w:rsidR="000F04A2" w:rsidRPr="007E781E" w:rsidRDefault="000F04A2">
      <w:pPr>
        <w:rPr>
          <w:rFonts w:ascii="Tahoma" w:hAnsi="Tahoma" w:cs="Tahoma"/>
          <w:b/>
          <w:bCs/>
          <w:sz w:val="21"/>
          <w:szCs w:val="21"/>
          <w:lang w:val="en-GB"/>
        </w:rPr>
      </w:pPr>
      <w:r w:rsidRPr="007E781E">
        <w:rPr>
          <w:rFonts w:ascii="Tahoma" w:hAnsi="Tahoma" w:cs="Tahoma"/>
          <w:b/>
          <w:bCs/>
          <w:sz w:val="21"/>
          <w:szCs w:val="21"/>
          <w:lang w:val="en-GB"/>
        </w:rPr>
        <w:t>Model</w:t>
      </w:r>
      <w:r w:rsidR="00E27CE7" w:rsidRPr="007E781E">
        <w:rPr>
          <w:rFonts w:ascii="Tahoma" w:hAnsi="Tahoma" w:cs="Tahoma"/>
          <w:b/>
          <w:bCs/>
          <w:sz w:val="21"/>
          <w:szCs w:val="21"/>
          <w:lang w:val="en-GB"/>
        </w:rPr>
        <w:t xml:space="preserve"> to estimate the surface antigen prevalence</w:t>
      </w:r>
    </w:p>
    <w:p w:rsidR="00E27CE7" w:rsidRPr="007E781E" w:rsidRDefault="00E27CE7" w:rsidP="00A06CA4">
      <w:pPr>
        <w:pStyle w:val="NormalWeb"/>
        <w:spacing w:after="0" w:line="240" w:lineRule="auto"/>
        <w:rPr>
          <w:rFonts w:ascii="Tahoma" w:eastAsiaTheme="minorEastAsia" w:hAnsi="Tahoma" w:cs="Tahoma"/>
          <w:sz w:val="21"/>
          <w:szCs w:val="21"/>
          <w:lang w:val="en-GB" w:eastAsia="fr-FR"/>
        </w:rPr>
      </w:pPr>
      <w:r w:rsidRPr="007E781E">
        <w:rPr>
          <w:rFonts w:ascii="Tahoma" w:eastAsiaTheme="minorEastAsia" w:hAnsi="Tahoma" w:cs="Tahoma"/>
          <w:sz w:val="21"/>
          <w:szCs w:val="21"/>
          <w:lang w:val="en-GB" w:eastAsia="fr-FR"/>
        </w:rPr>
        <w:t>The data was modelled using a logistic regression, weighting each study by its size and using a conditional autoregressive model accounting for spatial and economic correlations between similar countries. The response variable in the model was the prevalence of Hepatitis surface antigen (HBsAg) with the predictor variables being age (three categories, under 5, juvenile (5-15) and adult (16+), split using the average age of participants in the study), sex (proportion female in the study), study bias (e.g. a high fraction of study participants from indigenous populations), 3 dose vaccine coverage, birth dose of the vaccine and country of study.</w:t>
      </w:r>
    </w:p>
    <w:p w:rsidR="00A06CA4" w:rsidRDefault="00A06CA4" w:rsidP="00A06CA4">
      <w:pPr>
        <w:spacing w:after="0" w:line="240" w:lineRule="auto"/>
        <w:rPr>
          <w:rFonts w:ascii="Tahoma" w:hAnsi="Tahoma" w:cs="Tahoma"/>
          <w:sz w:val="21"/>
          <w:szCs w:val="21"/>
          <w:lang w:val="en-GB"/>
        </w:rPr>
      </w:pPr>
    </w:p>
    <w:p w:rsidR="000F04A2" w:rsidRPr="007E781E" w:rsidRDefault="00E27CE7" w:rsidP="00A06CA4">
      <w:pPr>
        <w:spacing w:after="0" w:line="240" w:lineRule="auto"/>
        <w:rPr>
          <w:rFonts w:ascii="Tahoma" w:hAnsi="Tahoma" w:cs="Tahoma"/>
          <w:sz w:val="21"/>
          <w:szCs w:val="21"/>
          <w:lang w:val="en-GB"/>
        </w:rPr>
      </w:pPr>
      <w:r w:rsidRPr="007E781E">
        <w:rPr>
          <w:rFonts w:ascii="Tahoma" w:hAnsi="Tahoma" w:cs="Tahoma"/>
          <w:sz w:val="21"/>
          <w:szCs w:val="21"/>
          <w:lang w:val="en-GB"/>
        </w:rPr>
        <w:t xml:space="preserve">The model was simulated in the Bayesian statistical package </w:t>
      </w:r>
      <w:proofErr w:type="spellStart"/>
      <w:r w:rsidRPr="007E781E">
        <w:rPr>
          <w:rFonts w:ascii="Tahoma" w:hAnsi="Tahoma" w:cs="Tahoma"/>
          <w:sz w:val="21"/>
          <w:szCs w:val="21"/>
          <w:lang w:val="en-GB"/>
        </w:rPr>
        <w:t>WinBUGS</w:t>
      </w:r>
      <w:proofErr w:type="spellEnd"/>
      <w:r w:rsidRPr="007E781E">
        <w:rPr>
          <w:rFonts w:ascii="Tahoma" w:hAnsi="Tahoma" w:cs="Tahoma"/>
          <w:sz w:val="21"/>
          <w:szCs w:val="21"/>
          <w:lang w:val="en-GB"/>
        </w:rPr>
        <w:t>, and data manipulation and model initialisation run from R (3.3.1) using R2WinBUGS. We considered the parameters of age, sex, study bias (e.g. a high fraction of study participants from indigenous populations), vaccine coverage, birth dose of the vaccine and country of study. The coverage of routine 3 dose vaccination and birth dose vaccination was calculated by cross referencing the year of and age of participants in each study with the corresponding WHO-UNICEF vaccine coverage estimates for that country</w:t>
      </w:r>
      <w:r w:rsidR="002F2D3A" w:rsidRPr="007E781E">
        <w:rPr>
          <w:rFonts w:ascii="Tahoma" w:hAnsi="Tahoma" w:cs="Tahoma"/>
          <w:sz w:val="21"/>
          <w:szCs w:val="21"/>
          <w:lang w:val="en-GB"/>
        </w:rPr>
        <w:t>.</w:t>
      </w:r>
    </w:p>
    <w:p w:rsidR="00A06CA4" w:rsidRDefault="00A06CA4" w:rsidP="002F2D3A">
      <w:pPr>
        <w:pStyle w:val="NormalWeb"/>
        <w:spacing w:after="0" w:line="240" w:lineRule="auto"/>
        <w:rPr>
          <w:rFonts w:ascii="Tahoma" w:eastAsiaTheme="minorEastAsia" w:hAnsi="Tahoma" w:cs="Tahoma"/>
          <w:sz w:val="21"/>
          <w:szCs w:val="21"/>
          <w:lang w:val="en-GB" w:eastAsia="fr-FR"/>
        </w:rPr>
      </w:pPr>
    </w:p>
    <w:p w:rsidR="002F2D3A" w:rsidRPr="007E781E" w:rsidRDefault="002F2D3A" w:rsidP="002F2D3A">
      <w:pPr>
        <w:pStyle w:val="NormalWeb"/>
        <w:spacing w:after="0" w:line="240" w:lineRule="auto"/>
        <w:rPr>
          <w:rFonts w:ascii="Tahoma" w:eastAsiaTheme="minorEastAsia" w:hAnsi="Tahoma" w:cs="Tahoma"/>
          <w:sz w:val="21"/>
          <w:szCs w:val="21"/>
          <w:lang w:val="en-GB" w:eastAsia="fr-FR"/>
        </w:rPr>
      </w:pPr>
      <w:r w:rsidRPr="007E781E">
        <w:rPr>
          <w:rFonts w:ascii="Tahoma" w:eastAsiaTheme="minorEastAsia" w:hAnsi="Tahoma" w:cs="Tahoma"/>
          <w:sz w:val="21"/>
          <w:szCs w:val="21"/>
          <w:lang w:val="en-GB" w:eastAsia="fr-FR"/>
        </w:rPr>
        <w:t xml:space="preserve">We used the CAR-normal function, in </w:t>
      </w:r>
      <w:proofErr w:type="spellStart"/>
      <w:r w:rsidRPr="007E781E">
        <w:rPr>
          <w:rFonts w:ascii="Tahoma" w:eastAsiaTheme="minorEastAsia" w:hAnsi="Tahoma" w:cs="Tahoma"/>
          <w:sz w:val="21"/>
          <w:szCs w:val="21"/>
          <w:lang w:val="en-GB" w:eastAsia="fr-FR"/>
        </w:rPr>
        <w:t>WinBUGS</w:t>
      </w:r>
      <w:proofErr w:type="spellEnd"/>
      <w:r w:rsidRPr="007E781E">
        <w:rPr>
          <w:rFonts w:ascii="Tahoma" w:eastAsiaTheme="minorEastAsia" w:hAnsi="Tahoma" w:cs="Tahoma"/>
          <w:sz w:val="21"/>
          <w:szCs w:val="21"/>
          <w:lang w:val="en-GB" w:eastAsia="fr-FR"/>
        </w:rPr>
        <w:t>, to model the spatial and developmental autocorrelation related to neighbouring countries. For each country for which we had prevalence data a weighted central position was calculated using the size and location of each study. For those with no data, we used the population centroid. In a novel approach, we considered 3 dimensions in the country proximity matrix; we used the usual geographic dimensions, latitude and longitude and also combined these with the natural log of the country’s GDP per capita.</w:t>
      </w:r>
    </w:p>
    <w:p w:rsidR="002F2D3A" w:rsidRDefault="002F2D3A" w:rsidP="00E27CE7">
      <w:pPr>
        <w:rPr>
          <w:rFonts w:ascii="Tahoma" w:hAnsi="Tahoma" w:cs="Tahoma"/>
          <w:sz w:val="21"/>
          <w:szCs w:val="21"/>
          <w:lang w:val="en-GB"/>
        </w:rPr>
      </w:pPr>
    </w:p>
    <w:p w:rsidR="003A724D" w:rsidRDefault="003A724D" w:rsidP="00E27CE7">
      <w:pPr>
        <w:rPr>
          <w:rFonts w:ascii="Tahoma" w:hAnsi="Tahoma" w:cs="Tahoma"/>
          <w:sz w:val="21"/>
          <w:szCs w:val="21"/>
          <w:lang w:val="en-GB"/>
        </w:rPr>
      </w:pPr>
      <w:hyperlink r:id="rId13" w:history="1">
        <w:r w:rsidRPr="003A724D">
          <w:rPr>
            <w:rStyle w:val="Hyperlink"/>
            <w:rFonts w:ascii="Tahoma" w:hAnsi="Tahoma" w:cs="Tahoma"/>
            <w:sz w:val="21"/>
            <w:szCs w:val="21"/>
            <w:lang w:val="en-GB"/>
          </w:rPr>
          <w:t>Estimations of worldwide prevalence of chronic hepatitis B virus infection: a systematic review of data published between 1965 and 2017</w:t>
        </w:r>
      </w:hyperlink>
      <w:bookmarkStart w:id="0" w:name="_GoBack"/>
      <w:bookmarkEnd w:id="0"/>
    </w:p>
    <w:p w:rsidR="003A724D" w:rsidRPr="007E781E" w:rsidRDefault="003A724D" w:rsidP="00E27CE7">
      <w:pPr>
        <w:rPr>
          <w:rFonts w:ascii="Tahoma" w:hAnsi="Tahoma" w:cs="Tahoma"/>
          <w:sz w:val="21"/>
          <w:szCs w:val="21"/>
          <w:lang w:val="en-GB"/>
        </w:rPr>
      </w:pPr>
    </w:p>
    <w:sectPr w:rsidR="003A724D" w:rsidRPr="007E78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691CC6"/>
    <w:multiLevelType w:val="multilevel"/>
    <w:tmpl w:val="43440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8"/>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59D9"/>
    <w:rsid w:val="0001427B"/>
    <w:rsid w:val="00022CB0"/>
    <w:rsid w:val="000A0BA5"/>
    <w:rsid w:val="000F04A2"/>
    <w:rsid w:val="001308C9"/>
    <w:rsid w:val="001833B6"/>
    <w:rsid w:val="002F2D3A"/>
    <w:rsid w:val="00325EB5"/>
    <w:rsid w:val="003A724D"/>
    <w:rsid w:val="006C300C"/>
    <w:rsid w:val="007B5CA5"/>
    <w:rsid w:val="007E781E"/>
    <w:rsid w:val="00814174"/>
    <w:rsid w:val="008559D9"/>
    <w:rsid w:val="008B303A"/>
    <w:rsid w:val="00961CAE"/>
    <w:rsid w:val="00A06CA4"/>
    <w:rsid w:val="00A221AA"/>
    <w:rsid w:val="00AB10C1"/>
    <w:rsid w:val="00B038BE"/>
    <w:rsid w:val="00B546B0"/>
    <w:rsid w:val="00B570A8"/>
    <w:rsid w:val="00CB3D84"/>
    <w:rsid w:val="00D12947"/>
    <w:rsid w:val="00D13E32"/>
    <w:rsid w:val="00DB29C6"/>
    <w:rsid w:val="00E27CE7"/>
    <w:rsid w:val="00F320CC"/>
    <w:rsid w:val="00FD19E2"/>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61CAE"/>
    <w:rPr>
      <w:color w:val="0000FF" w:themeColor="hyperlink"/>
      <w:u w:val="single"/>
    </w:rPr>
  </w:style>
  <w:style w:type="paragraph" w:styleId="NormalWeb">
    <w:name w:val="Normal (Web)"/>
    <w:basedOn w:val="Normal"/>
    <w:uiPriority w:val="99"/>
    <w:unhideWhenUsed/>
    <w:rsid w:val="00961CAE"/>
    <w:pPr>
      <w:spacing w:after="240" w:line="343" w:lineRule="atLeast"/>
    </w:pPr>
    <w:rPr>
      <w:rFonts w:ascii="Times New Roman" w:eastAsia="Times New Roman" w:hAnsi="Times New Roman" w:cs="Times New Roman"/>
      <w:sz w:val="24"/>
      <w:szCs w:val="24"/>
      <w:lang w:val="en-US" w:eastAsia="zh-CN"/>
    </w:rPr>
  </w:style>
  <w:style w:type="paragraph" w:styleId="BalloonText">
    <w:name w:val="Balloon Text"/>
    <w:basedOn w:val="Normal"/>
    <w:link w:val="BalloonTextChar"/>
    <w:uiPriority w:val="99"/>
    <w:semiHidden/>
    <w:unhideWhenUsed/>
    <w:rsid w:val="00D13E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3E32"/>
    <w:rPr>
      <w:rFonts w:ascii="Tahoma" w:hAnsi="Tahoma" w:cs="Tahoma"/>
      <w:sz w:val="16"/>
      <w:szCs w:val="16"/>
    </w:rPr>
  </w:style>
  <w:style w:type="character" w:styleId="FollowedHyperlink">
    <w:name w:val="FollowedHyperlink"/>
    <w:basedOn w:val="DefaultParagraphFont"/>
    <w:uiPriority w:val="99"/>
    <w:semiHidden/>
    <w:unhideWhenUsed/>
    <w:rsid w:val="001833B6"/>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61CAE"/>
    <w:rPr>
      <w:color w:val="0000FF" w:themeColor="hyperlink"/>
      <w:u w:val="single"/>
    </w:rPr>
  </w:style>
  <w:style w:type="paragraph" w:styleId="NormalWeb">
    <w:name w:val="Normal (Web)"/>
    <w:basedOn w:val="Normal"/>
    <w:uiPriority w:val="99"/>
    <w:unhideWhenUsed/>
    <w:rsid w:val="00961CAE"/>
    <w:pPr>
      <w:spacing w:after="240" w:line="343" w:lineRule="atLeast"/>
    </w:pPr>
    <w:rPr>
      <w:rFonts w:ascii="Times New Roman" w:eastAsia="Times New Roman" w:hAnsi="Times New Roman" w:cs="Times New Roman"/>
      <w:sz w:val="24"/>
      <w:szCs w:val="24"/>
      <w:lang w:val="en-US" w:eastAsia="zh-CN"/>
    </w:rPr>
  </w:style>
  <w:style w:type="paragraph" w:styleId="BalloonText">
    <w:name w:val="Balloon Text"/>
    <w:basedOn w:val="Normal"/>
    <w:link w:val="BalloonTextChar"/>
    <w:uiPriority w:val="99"/>
    <w:semiHidden/>
    <w:unhideWhenUsed/>
    <w:rsid w:val="00D13E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3E32"/>
    <w:rPr>
      <w:rFonts w:ascii="Tahoma" w:hAnsi="Tahoma" w:cs="Tahoma"/>
      <w:sz w:val="16"/>
      <w:szCs w:val="16"/>
    </w:rPr>
  </w:style>
  <w:style w:type="character" w:styleId="FollowedHyperlink">
    <w:name w:val="FollowedHyperlink"/>
    <w:basedOn w:val="DefaultParagraphFont"/>
    <w:uiPriority w:val="99"/>
    <w:semiHidden/>
    <w:unhideWhenUsed/>
    <w:rsid w:val="001833B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235668">
      <w:bodyDiv w:val="1"/>
      <w:marLeft w:val="0"/>
      <w:marRight w:val="0"/>
      <w:marTop w:val="0"/>
      <w:marBottom w:val="0"/>
      <w:divBdr>
        <w:top w:val="none" w:sz="0" w:space="0" w:color="auto"/>
        <w:left w:val="none" w:sz="0" w:space="0" w:color="auto"/>
        <w:bottom w:val="none" w:sz="0" w:space="0" w:color="auto"/>
        <w:right w:val="none" w:sz="0" w:space="0" w:color="auto"/>
      </w:divBdr>
      <w:divsChild>
        <w:div w:id="1963144946">
          <w:marLeft w:val="0"/>
          <w:marRight w:val="0"/>
          <w:marTop w:val="0"/>
          <w:marBottom w:val="0"/>
          <w:divBdr>
            <w:top w:val="none" w:sz="0" w:space="0" w:color="auto"/>
            <w:left w:val="none" w:sz="0" w:space="0" w:color="auto"/>
            <w:bottom w:val="none" w:sz="0" w:space="0" w:color="auto"/>
            <w:right w:val="none" w:sz="0" w:space="0" w:color="auto"/>
          </w:divBdr>
          <w:divsChild>
            <w:div w:id="1006860616">
              <w:marLeft w:val="0"/>
              <w:marRight w:val="0"/>
              <w:marTop w:val="0"/>
              <w:marBottom w:val="0"/>
              <w:divBdr>
                <w:top w:val="none" w:sz="0" w:space="0" w:color="auto"/>
                <w:left w:val="none" w:sz="0" w:space="0" w:color="auto"/>
                <w:bottom w:val="none" w:sz="0" w:space="0" w:color="auto"/>
                <w:right w:val="none" w:sz="0" w:space="0" w:color="auto"/>
              </w:divBdr>
              <w:divsChild>
                <w:div w:id="5243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532680">
      <w:bodyDiv w:val="1"/>
      <w:marLeft w:val="0"/>
      <w:marRight w:val="0"/>
      <w:marTop w:val="0"/>
      <w:marBottom w:val="0"/>
      <w:divBdr>
        <w:top w:val="none" w:sz="0" w:space="0" w:color="auto"/>
        <w:left w:val="none" w:sz="0" w:space="0" w:color="auto"/>
        <w:bottom w:val="none" w:sz="0" w:space="0" w:color="auto"/>
        <w:right w:val="none" w:sz="0" w:space="0" w:color="auto"/>
      </w:divBdr>
      <w:divsChild>
        <w:div w:id="1937470328">
          <w:marLeft w:val="0"/>
          <w:marRight w:val="0"/>
          <w:marTop w:val="0"/>
          <w:marBottom w:val="0"/>
          <w:divBdr>
            <w:top w:val="none" w:sz="0" w:space="0" w:color="auto"/>
            <w:left w:val="none" w:sz="0" w:space="0" w:color="auto"/>
            <w:bottom w:val="none" w:sz="0" w:space="0" w:color="auto"/>
            <w:right w:val="none" w:sz="0" w:space="0" w:color="auto"/>
          </w:divBdr>
          <w:divsChild>
            <w:div w:id="1735197239">
              <w:marLeft w:val="0"/>
              <w:marRight w:val="0"/>
              <w:marTop w:val="0"/>
              <w:marBottom w:val="0"/>
              <w:divBdr>
                <w:top w:val="none" w:sz="0" w:space="0" w:color="auto"/>
                <w:left w:val="none" w:sz="0" w:space="0" w:color="auto"/>
                <w:bottom w:val="none" w:sz="0" w:space="0" w:color="auto"/>
                <w:right w:val="none" w:sz="0" w:space="0" w:color="auto"/>
              </w:divBdr>
              <w:divsChild>
                <w:div w:id="1205823484">
                  <w:marLeft w:val="0"/>
                  <w:marRight w:val="0"/>
                  <w:marTop w:val="0"/>
                  <w:marBottom w:val="0"/>
                  <w:divBdr>
                    <w:top w:val="none" w:sz="0" w:space="0" w:color="auto"/>
                    <w:left w:val="none" w:sz="0" w:space="0" w:color="auto"/>
                    <w:bottom w:val="none" w:sz="0" w:space="0" w:color="auto"/>
                    <w:right w:val="none" w:sz="0" w:space="0" w:color="auto"/>
                  </w:divBdr>
                  <w:divsChild>
                    <w:div w:id="658116554">
                      <w:marLeft w:val="0"/>
                      <w:marRight w:val="0"/>
                      <w:marTop w:val="0"/>
                      <w:marBottom w:val="0"/>
                      <w:divBdr>
                        <w:top w:val="none" w:sz="0" w:space="0" w:color="auto"/>
                        <w:left w:val="none" w:sz="0" w:space="0" w:color="auto"/>
                        <w:bottom w:val="none" w:sz="0" w:space="0" w:color="auto"/>
                        <w:right w:val="none" w:sz="0" w:space="0" w:color="auto"/>
                      </w:divBdr>
                      <w:divsChild>
                        <w:div w:id="1090588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6972224">
      <w:bodyDiv w:val="1"/>
      <w:marLeft w:val="0"/>
      <w:marRight w:val="0"/>
      <w:marTop w:val="0"/>
      <w:marBottom w:val="0"/>
      <w:divBdr>
        <w:top w:val="none" w:sz="0" w:space="0" w:color="auto"/>
        <w:left w:val="none" w:sz="0" w:space="0" w:color="auto"/>
        <w:bottom w:val="none" w:sz="0" w:space="0" w:color="auto"/>
        <w:right w:val="none" w:sz="0" w:space="0" w:color="auto"/>
      </w:divBdr>
      <w:divsChild>
        <w:div w:id="408577878">
          <w:marLeft w:val="0"/>
          <w:marRight w:val="0"/>
          <w:marTop w:val="0"/>
          <w:marBottom w:val="0"/>
          <w:divBdr>
            <w:top w:val="none" w:sz="0" w:space="0" w:color="auto"/>
            <w:left w:val="none" w:sz="0" w:space="0" w:color="auto"/>
            <w:bottom w:val="none" w:sz="0" w:space="0" w:color="auto"/>
            <w:right w:val="none" w:sz="0" w:space="0" w:color="auto"/>
          </w:divBdr>
          <w:divsChild>
            <w:div w:id="1256986506">
              <w:marLeft w:val="0"/>
              <w:marRight w:val="0"/>
              <w:marTop w:val="0"/>
              <w:marBottom w:val="0"/>
              <w:divBdr>
                <w:top w:val="none" w:sz="0" w:space="0" w:color="auto"/>
                <w:left w:val="none" w:sz="0" w:space="0" w:color="auto"/>
                <w:bottom w:val="none" w:sz="0" w:space="0" w:color="auto"/>
                <w:right w:val="none" w:sz="0" w:space="0" w:color="auto"/>
              </w:divBdr>
              <w:divsChild>
                <w:div w:id="120267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apps.who.int/iris/bitstream/10665/246177/1/WHO-HIV-2016.06-eng.pdf?ua=1" TargetMode="External"/><Relationship Id="rId13" Type="http://schemas.openxmlformats.org/officeDocument/2006/relationships/hyperlink" Target="http://who.int/entity/immunization/diseases/hepatitisB/HBsAg_estimates_and_methods_final_V3.pdf?ua=1" TargetMode="External"/><Relationship Id="rId3" Type="http://schemas.microsoft.com/office/2007/relationships/stylesWithEffects" Target="stylesWithEffects.xml"/><Relationship Id="rId7" Type="http://schemas.openxmlformats.org/officeDocument/2006/relationships/hyperlink" Target="http://apps.who.int/iris/bitstream/10665/255016/1/9789241565455-eng.pdf?ua=1" TargetMode="External"/><Relationship Id="rId12" Type="http://schemas.openxmlformats.org/officeDocument/2006/relationships/hyperlink" Target="http://apps.who.int/gho/data/node.wrapper.immunization-co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VaccineResearch@who.int" TargetMode="External"/><Relationship Id="rId11" Type="http://schemas.openxmlformats.org/officeDocument/2006/relationships/hyperlink" Target="http://www.who.int/immunization/monitoring_surveillance/data/en/"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hyperlink" Target="http://apps.who.int/iris/bitstream/10665/255841/1/WER9227.pdf?ua=1"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537</TotalTime>
  <Pages>1</Pages>
  <Words>1660</Words>
  <Characters>9466</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World Health Organization</Company>
  <LinksUpToDate>false</LinksUpToDate>
  <CharactersWithSpaces>11104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RIVEROS BALTA, Alina Ximena</dc:creator>
  <cp:lastModifiedBy>RIVEROS BALTA, Alina Ximena</cp:lastModifiedBy>
  <cp:revision>6</cp:revision>
  <cp:lastPrinted>2017-07-27T14:50:00Z</cp:lastPrinted>
  <dcterms:created xsi:type="dcterms:W3CDTF">2017-07-27T10:49:00Z</dcterms:created>
  <dcterms:modified xsi:type="dcterms:W3CDTF">2017-07-29T10:08:00Z</dcterms:modified>
</cp:coreProperties>
</file>