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BridgeHub Architecture Audit</w:t>
      </w:r>
    </w:p>
    <w:p>
      <w:pPr>
        <w:spacing w:after="100"/>
      </w:pPr>
      <w:r>
        <w:t>Date: 2026-05-07</w:t>
      </w:r>
    </w:p>
    <w:p>
      <w:pPr>
        <w:spacing w:after="100"/>
      </w:pPr>
      <w:r>
        <w:t>Repository: fastapi-run</w:t>
      </w:r>
    </w:p>
    <w:p>
      <w:pPr>
        <w:spacing w:after="100"/>
      </w:pPr>
      <w:r>
        <w:t>Assessment: Core production-capable; legacy edges still hardening</w:t>
      </w:r>
    </w:p>
    <w:p>
      <w:pPr>
        <w:pStyle w:val="Heading1"/>
      </w:pPr>
      <w:r>
        <w:t>Executive Summary</w:t>
      </w:r>
    </w:p>
    <w:p>
      <w:pPr>
        <w:spacing w:after="100"/>
      </w:pPr>
      <w:r>
        <w:t>BridgeHub is a Georgian-market accounting automation backend built around FastAPI, PostgreSQL, document ingestion, AI-assisted classification, approval workflows, posting workflows, tenant-aware data access, RBAC, audit trails, and ERP integration points.</w:t>
      </w:r>
    </w:p>
    <w:p>
      <w:pPr>
        <w:spacing w:after="100"/>
      </w:pPr>
      <w:r>
        <w:t>The honest state is: the core accounting workflow is production-capable when operated within the tested paths, but the repository still contains legacy edges that should be treated as hardening work rather than complete production guarantees. The approval, posting, auth, health, tenant-isolation, document-intelligence, payroll, reporting, and CI guardrail areas have meaningful automated coverage. Some older route modules and integration surfaces still rely on broad exception handling, startup-time migrations, mixed sync/async database access, or stub connectors.</w:t>
      </w:r>
    </w:p>
    <w:p>
      <w:pPr>
        <w:spacing w:after="100"/>
      </w:pPr>
      <w:r>
        <w:t>This document intentionally avoids over-claiming. BridgeHub is not a finished enterprise platform across every route. It is a maturing production system with a strong core and visible technical debt at the edges.</w:t>
      </w:r>
    </w:p>
    <w:p>
      <w:pPr>
        <w:pStyle w:val="Heading1"/>
      </w:pPr>
      <w:r>
        <w:t>Current Architecture Reality</w:t>
      </w:r>
    </w:p>
    <w:p>
      <w:pPr>
        <w:pStyle w:val="Heading2"/>
      </w:pPr>
      <w:r>
        <w:t>Runtime Shape</w:t>
      </w:r>
    </w:p>
    <w:p>
      <w:pPr>
        <w:pStyle w:val="ListBullet"/>
      </w:pPr>
      <w:r>
        <w:t>API framework: FastAPI.</w:t>
      </w:r>
    </w:p>
    <w:p>
      <w:pPr>
        <w:pStyle w:val="ListBullet"/>
      </w:pPr>
      <w:r>
        <w:t>Deployment target: Google Cloud Run.</w:t>
      </w:r>
    </w:p>
    <w:p>
      <w:pPr>
        <w:pStyle w:val="ListBullet"/>
      </w:pPr>
      <w:r>
        <w:t>Database: PostgreSQL, accessed through both asyncpg and legacy psycopg2 paths.</w:t>
      </w:r>
    </w:p>
    <w:p>
      <w:pPr>
        <w:pStyle w:val="ListBullet"/>
      </w:pPr>
      <w:r>
        <w:t>Document processing: PDF, Excel, image, email invoice, OCR/vision-assisted extraction, and document-intelligence services.</w:t>
      </w:r>
    </w:p>
    <w:p>
      <w:pPr>
        <w:pStyle w:val="ListBullet"/>
      </w:pPr>
      <w:r>
        <w:t>Accounting core: journal drafts, approval queue, posting logs, period locks, tenant settings, learning patterns, and audit trails.</w:t>
      </w:r>
    </w:p>
    <w:p>
      <w:pPr>
        <w:pStyle w:val="ListBullet"/>
      </w:pPr>
      <w:r>
        <w:t>AI support: rule-based classification, learned patterns, knowledge-base rules, and LLM/OCR fallback paths.</w:t>
      </w:r>
    </w:p>
    <w:p>
      <w:pPr>
        <w:pStyle w:val="ListBullet"/>
      </w:pPr>
      <w:r>
        <w:t>ERP integration: Balance/1C-style connector surfaces exist; ORIS is currently a stub and must not be described as implemented.</w:t>
      </w:r>
    </w:p>
    <w:p>
      <w:pPr>
        <w:pStyle w:val="ListBullet"/>
      </w:pPr>
      <w:r>
        <w:t>Frontend surface: static HTML dashboards and tool pages are served by the backend; CSP still allows inline scripts/styles for legacy static pages.</w:t>
      </w:r>
    </w:p>
    <w:p>
      <w:pPr>
        <w:pStyle w:val="Heading2"/>
      </w:pPr>
      <w:r>
        <w:t>Core Data Flow</w:t>
      </w:r>
    </w:p>
    <w:p>
      <w:pPr>
        <w:pStyle w:val="ListNumber"/>
      </w:pPr>
      <w:r>
        <w:t>A document, invoice, email attachment, bank statement, or manual request enters the API.</w:t>
      </w:r>
    </w:p>
    <w:p>
      <w:pPr>
        <w:pStyle w:val="ListNumber"/>
      </w:pPr>
      <w:r>
        <w:t>The route resolves tenant context and authorization.</w:t>
      </w:r>
    </w:p>
    <w:p>
      <w:pPr>
        <w:pStyle w:val="ListNumber"/>
      </w:pPr>
      <w:r>
        <w:t>Extraction/classification services normalize the data.</w:t>
      </w:r>
    </w:p>
    <w:p>
      <w:pPr>
        <w:pStyle w:val="ListNumber"/>
      </w:pPr>
      <w:r>
        <w:t>A journal_drafts row is created with account suggestions, confidence metadata, and optional journal_entries.</w:t>
      </w:r>
    </w:p>
    <w:p>
      <w:pPr>
        <w:pStyle w:val="ListNumber"/>
      </w:pPr>
      <w:r>
        <w:t>Approval services enforce status, period-lock, confidence, tenant, and race-condition checks.</w:t>
      </w:r>
    </w:p>
    <w:p>
      <w:pPr>
        <w:pStyle w:val="ListNumber"/>
      </w:pPr>
      <w:r>
        <w:t>Posting services push approved drafts to enabled targets while recording idempotent posting_log rows.</w:t>
      </w:r>
    </w:p>
    <w:p>
      <w:pPr>
        <w:pStyle w:val="ListNumber"/>
      </w:pPr>
      <w:r>
        <w:t>Audit, notification, learning, and reporting layers consume the resulting events and records.</w:t>
      </w:r>
    </w:p>
    <w:p>
      <w:pPr>
        <w:pStyle w:val="Heading1"/>
      </w:pPr>
      <w:r>
        <w:t>Production-Capable Core</w:t>
      </w:r>
    </w:p>
    <w:p>
      <w:pPr>
        <w:spacing w:after="100"/>
      </w:pPr>
      <w:r>
        <w:t>The following areas are strong enough to be considered production-capable, assuming normal operational prerequisites are met: configured secrets, database availability, deployed migrations, monitored Cloud Run service, and a supported ERP target.</w:t>
      </w:r>
    </w:p>
    <w:p>
      <w:pPr>
        <w:pStyle w:val="Heading2"/>
      </w:pPr>
      <w:r>
        <w:t>Approval and Posting Core</w:t>
      </w:r>
    </w:p>
    <w:p>
      <w:pPr>
        <w:pStyle w:val="ListBullet"/>
      </w:pPr>
      <w:r>
        <w:t>Approval and posting flows have focused unit coverage.</w:t>
      </w:r>
    </w:p>
    <w:p>
      <w:pPr>
        <w:pStyle w:val="ListBullet"/>
      </w:pPr>
      <w:r>
        <w:t>Race-condition handling exists through pessimistic locking patterns such as FOR UPDATE NOWAIT.</w:t>
      </w:r>
    </w:p>
    <w:p>
      <w:pPr>
        <w:pStyle w:val="ListBullet"/>
      </w:pPr>
      <w:r>
        <w:t>Posting idempotency is represented through posting-log checks and deterministic keys.</w:t>
      </w:r>
    </w:p>
    <w:p>
      <w:pPr>
        <w:pStyle w:val="ListBullet"/>
      </w:pPr>
      <w:r>
        <w:t>Period-lock behavior is covered in tests.</w:t>
      </w:r>
    </w:p>
    <w:p>
      <w:pPr>
        <w:pStyle w:val="ListBullet"/>
      </w:pPr>
      <w:r>
        <w:t>Connector failure paths are tested so failed targets do not silently mark drafts as posted.</w:t>
      </w:r>
    </w:p>
    <w:p>
      <w:pPr>
        <w:pStyle w:val="Heading2"/>
      </w:pPr>
      <w:r>
        <w:t>Authentication and RBAC Baseline</w:t>
      </w:r>
    </w:p>
    <w:p>
      <w:pPr>
        <w:pStyle w:val="ListBullet"/>
      </w:pPr>
      <w:r>
        <w:t>JWT access/refresh token flow is covered by tests.</w:t>
      </w:r>
    </w:p>
    <w:p>
      <w:pPr>
        <w:pStyle w:val="ListBullet"/>
      </w:pPr>
      <w:r>
        <w:t>JWT_SECRET now has a minimum-length guard outside TEST_MODE.</w:t>
      </w:r>
    </w:p>
    <w:p>
      <w:pPr>
        <w:pStyle w:val="ListBullet"/>
      </w:pPr>
      <w:r>
        <w:t>RBAC exists in two layers: middleware permission mapping and in-handler require_permission checks.</w:t>
      </w:r>
    </w:p>
    <w:p>
      <w:pPr>
        <w:pStyle w:val="ListBullet"/>
      </w:pPr>
      <w:r>
        <w:t>Permission-map behavior has tests.</w:t>
      </w:r>
    </w:p>
    <w:p>
      <w:pPr>
        <w:spacing w:after="100"/>
      </w:pPr>
      <w:r>
        <w:t>Important limitation: RBAC should be described as a strong baseline, not as fully audited coverage for every route. The repository has many routers, and permission-map completeness should continue to be checked as new endpoints are added.</w:t>
      </w:r>
    </w:p>
    <w:p>
      <w:pPr>
        <w:pStyle w:val="Heading2"/>
      </w:pPr>
      <w:r>
        <w:t>Tenant-Aware Core Paths</w:t>
      </w:r>
    </w:p>
    <w:p>
      <w:pPr>
        <w:pStyle w:val="ListBullet"/>
      </w:pPr>
      <w:r>
        <w:t>Tenant-aware query patterns exist across core services.</w:t>
      </w:r>
    </w:p>
    <w:p>
      <w:pPr>
        <w:pStyle w:val="ListBullet"/>
      </w:pPr>
      <w:r>
        <w:t>Tenant isolation has unit and integration-style test coverage around important workflows.</w:t>
      </w:r>
    </w:p>
    <w:p>
      <w:pPr>
        <w:pStyle w:val="ListBullet"/>
      </w:pPr>
      <w:r>
        <w:t>Middleware resolves tenant context and JWT tenant claims can override header context.</w:t>
      </w:r>
    </w:p>
    <w:p>
      <w:pPr>
        <w:spacing w:after="100"/>
      </w:pPr>
      <w:r>
        <w:t>Important limitation: do not claim "every DB query is tenant-safe" without a current automated full-query audit. The correct claim is that core and tested paths are tenant-aware, with remaining route-by-route hardening work for older modules.</w:t>
      </w:r>
    </w:p>
    <w:p>
      <w:pPr>
        <w:pStyle w:val="Heading2"/>
      </w:pPr>
      <w:r>
        <w:t>Health, CI, and Test Discipline</w:t>
      </w:r>
    </w:p>
    <w:p>
      <w:pPr>
        <w:pStyle w:val="ListBullet"/>
      </w:pPr>
      <w:r>
        <w:t>Unit suite currently passes at a high level.</w:t>
      </w:r>
    </w:p>
    <w:p>
      <w:pPr>
        <w:pStyle w:val="ListBullet"/>
      </w:pPr>
      <w:r>
        <w:t>CI now compiles the Python surface and runs unit tests plus a lightweight integration smoke test.</w:t>
      </w:r>
    </w:p>
    <w:p>
      <w:pPr>
        <w:pStyle w:val="ListBullet"/>
      </w:pPr>
      <w:r>
        <w:t>Health checks are designed to remain liveness-safe even when optional integrations are missing.</w:t>
      </w:r>
    </w:p>
    <w:p>
      <w:pPr>
        <w:pStyle w:val="Heading1"/>
      </w:pPr>
      <w:r>
        <w:t>Latest Hardening Status</w:t>
      </w:r>
    </w:p>
    <w:p>
      <w:pPr>
        <w:spacing w:after="100"/>
      </w:pPr>
      <w:r>
        <w:t>The latest hardening pass improved both runtime safety and documentation/CI honesty.</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top"/>
            <w:shd w:fill="E7EDF5"/>
            <w:tcMar>
              <w:top w:w="100" w:type="dxa"/>
              <w:left w:w="100" w:type="dxa"/>
              <w:bottom w:w="100" w:type="dxa"/>
              <w:right w:w="100" w:type="dxa"/>
            </w:tcMar>
          </w:tcPr>
          <w:p>
            <w:r/>
            <w:r>
              <w:rPr>
                <w:rFonts w:ascii="Arial" w:hAnsi="Arial"/>
                <w:b/>
                <w:sz w:val="19"/>
              </w:rPr>
              <w:t>Area</w:t>
            </w:r>
          </w:p>
        </w:tc>
        <w:tc>
          <w:tcPr>
            <w:tcW w:type="dxa" w:w="3264"/>
            <w:vAlign w:val="top"/>
            <w:shd w:fill="E7EDF5"/>
            <w:tcMar>
              <w:top w:w="100" w:type="dxa"/>
              <w:left w:w="100" w:type="dxa"/>
              <w:bottom w:w="100" w:type="dxa"/>
              <w:right w:w="100" w:type="dxa"/>
            </w:tcMar>
          </w:tcPr>
          <w:p>
            <w:r/>
            <w:r>
              <w:rPr>
                <w:rFonts w:ascii="Arial" w:hAnsi="Arial"/>
                <w:b/>
                <w:sz w:val="19"/>
              </w:rPr>
              <w:t>Current Status</w:t>
            </w:r>
          </w:p>
        </w:tc>
        <w:tc>
          <w:tcPr>
            <w:tcW w:type="dxa" w:w="3264"/>
            <w:vAlign w:val="top"/>
            <w:shd w:fill="E7EDF5"/>
            <w:tcMar>
              <w:top w:w="100" w:type="dxa"/>
              <w:left w:w="100" w:type="dxa"/>
              <w:bottom w:w="100" w:type="dxa"/>
              <w:right w:w="100" w:type="dxa"/>
            </w:tcMar>
          </w:tcPr>
          <w:p>
            <w:r/>
            <w:r>
              <w:rPr>
                <w:rFonts w:ascii="Arial" w:hAnsi="Arial"/>
                <w:b/>
                <w:sz w:val="19"/>
              </w:rPr>
              <w:t>Notes</w:t>
            </w:r>
          </w:p>
        </w:tc>
      </w:tr>
      <w:tr>
        <w:tc>
          <w:tcPr>
            <w:tcW w:type="dxa" w:w="3264"/>
            <w:vAlign w:val="top"/>
            <w:tcMar>
              <w:top w:w="100" w:type="dxa"/>
              <w:left w:w="100" w:type="dxa"/>
              <w:bottom w:w="100" w:type="dxa"/>
              <w:right w:w="100" w:type="dxa"/>
            </w:tcMar>
          </w:tcPr>
          <w:p>
            <w:r/>
            <w:r>
              <w:rPr>
                <w:rFonts w:ascii="Arial" w:hAnsi="Arial"/>
                <w:b w:val="0"/>
                <w:sz w:val="19"/>
              </w:rPr>
              <w:t>OCR draft creation</w:t>
            </w:r>
          </w:p>
        </w:tc>
        <w:tc>
          <w:tcPr>
            <w:tcW w:type="dxa" w:w="3264"/>
            <w:vAlign w:val="top"/>
            <w:tcMar>
              <w:top w:w="100" w:type="dxa"/>
              <w:left w:w="100" w:type="dxa"/>
              <w:bottom w:w="100" w:type="dxa"/>
              <w:right w:w="100" w:type="dxa"/>
            </w:tcMar>
          </w:tcPr>
          <w:p>
            <w:r/>
            <w:r>
              <w:rPr>
                <w:rFonts w:ascii="Arial" w:hAnsi="Arial"/>
                <w:b w:val="0"/>
                <w:sz w:val="19"/>
              </w:rPr>
              <w:t>Hardened</w:t>
            </w:r>
          </w:p>
        </w:tc>
        <w:tc>
          <w:tcPr>
            <w:tcW w:type="dxa" w:w="3264"/>
            <w:vAlign w:val="top"/>
            <w:tcMar>
              <w:top w:w="100" w:type="dxa"/>
              <w:left w:w="100" w:type="dxa"/>
              <w:bottom w:w="100" w:type="dxa"/>
              <w:right w:w="100" w:type="dxa"/>
            </w:tcMar>
          </w:tcPr>
          <w:p>
            <w:r/>
            <w:r>
              <w:rPr>
                <w:rFonts w:ascii="Arial" w:hAnsi="Arial"/>
                <w:b w:val="0"/>
                <w:sz w:val="19"/>
              </w:rPr>
              <w:t>Async route paths use create_draft_from_invoice_async; force=true is wired through relevant upload endpoints.</w:t>
            </w:r>
          </w:p>
        </w:tc>
      </w:tr>
      <w:tr>
        <w:tc>
          <w:tcPr>
            <w:tcW w:type="dxa" w:w="3264"/>
            <w:vAlign w:val="top"/>
            <w:tcMar>
              <w:top w:w="100" w:type="dxa"/>
              <w:left w:w="100" w:type="dxa"/>
              <w:bottom w:w="100" w:type="dxa"/>
              <w:right w:w="100" w:type="dxa"/>
            </w:tcMar>
          </w:tcPr>
          <w:p>
            <w:r/>
            <w:r>
              <w:rPr>
                <w:rFonts w:ascii="Arial" w:hAnsi="Arial"/>
                <w:b w:val="0"/>
                <w:sz w:val="19"/>
              </w:rPr>
              <w:t>OCR DB fallback</w:t>
            </w:r>
          </w:p>
        </w:tc>
        <w:tc>
          <w:tcPr>
            <w:tcW w:type="dxa" w:w="3264"/>
            <w:vAlign w:val="top"/>
            <w:tcMar>
              <w:top w:w="100" w:type="dxa"/>
              <w:left w:w="100" w:type="dxa"/>
              <w:bottom w:w="100" w:type="dxa"/>
              <w:right w:w="100" w:type="dxa"/>
            </w:tcMar>
          </w:tcPr>
          <w:p>
            <w:r/>
            <w:r>
              <w:rPr>
                <w:rFonts w:ascii="Arial" w:hAnsi="Arial"/>
                <w:b w:val="0"/>
                <w:sz w:val="19"/>
              </w:rPr>
              <w:t>Hardened</w:t>
            </w:r>
          </w:p>
        </w:tc>
        <w:tc>
          <w:tcPr>
            <w:tcW w:type="dxa" w:w="3264"/>
            <w:vAlign w:val="top"/>
            <w:tcMar>
              <w:top w:w="100" w:type="dxa"/>
              <w:left w:w="100" w:type="dxa"/>
              <w:bottom w:w="100" w:type="dxa"/>
              <w:right w:w="100" w:type="dxa"/>
            </w:tcMar>
          </w:tcPr>
          <w:p>
            <w:r/>
            <w:r>
              <w:rPr>
                <w:rFonts w:ascii="Arial" w:hAnsi="Arial"/>
                <w:b w:val="0"/>
                <w:sz w:val="19"/>
              </w:rPr>
              <w:t>Fallback without journal_entries now occurs only when that column is missing; unrelated insert errors are no longer hidden as success.</w:t>
            </w:r>
          </w:p>
        </w:tc>
      </w:tr>
      <w:tr>
        <w:tc>
          <w:tcPr>
            <w:tcW w:type="dxa" w:w="3264"/>
            <w:vAlign w:val="top"/>
            <w:tcMar>
              <w:top w:w="100" w:type="dxa"/>
              <w:left w:w="100" w:type="dxa"/>
              <w:bottom w:w="100" w:type="dxa"/>
              <w:right w:w="100" w:type="dxa"/>
            </w:tcMar>
          </w:tcPr>
          <w:p>
            <w:r/>
            <w:r>
              <w:rPr>
                <w:rFonts w:ascii="Arial" w:hAnsi="Arial"/>
                <w:b w:val="0"/>
                <w:sz w:val="19"/>
              </w:rPr>
              <w:t>Startup task lifecycle</w:t>
            </w:r>
          </w:p>
        </w:tc>
        <w:tc>
          <w:tcPr>
            <w:tcW w:type="dxa" w:w="3264"/>
            <w:vAlign w:val="top"/>
            <w:tcMar>
              <w:top w:w="100" w:type="dxa"/>
              <w:left w:w="100" w:type="dxa"/>
              <w:bottom w:w="100" w:type="dxa"/>
              <w:right w:w="100" w:type="dxa"/>
            </w:tcMar>
          </w:tcPr>
          <w:p>
            <w:r/>
            <w:r>
              <w:rPr>
                <w:rFonts w:ascii="Arial" w:hAnsi="Arial"/>
                <w:b w:val="0"/>
                <w:sz w:val="19"/>
              </w:rPr>
              <w:t>Hardened</w:t>
            </w:r>
          </w:p>
        </w:tc>
        <w:tc>
          <w:tcPr>
            <w:tcW w:type="dxa" w:w="3264"/>
            <w:vAlign w:val="top"/>
            <w:tcMar>
              <w:top w:w="100" w:type="dxa"/>
              <w:left w:w="100" w:type="dxa"/>
              <w:bottom w:w="100" w:type="dxa"/>
              <w:right w:w="100" w:type="dxa"/>
            </w:tcMar>
          </w:tcPr>
          <w:p>
            <w:r/>
            <w:r>
              <w:rPr>
                <w:rFonts w:ascii="Arial" w:hAnsi="Arial"/>
                <w:b w:val="0"/>
                <w:sz w:val="19"/>
              </w:rPr>
              <w:t>Background tasks are named, stored on app.state, log unhandled failures, and are cancelled/gathered on shutdown.</w:t>
            </w:r>
          </w:p>
        </w:tc>
      </w:tr>
      <w:tr>
        <w:tc>
          <w:tcPr>
            <w:tcW w:type="dxa" w:w="3264"/>
            <w:vAlign w:val="top"/>
            <w:tcMar>
              <w:top w:w="100" w:type="dxa"/>
              <w:left w:w="100" w:type="dxa"/>
              <w:bottom w:w="100" w:type="dxa"/>
              <w:right w:w="100" w:type="dxa"/>
            </w:tcMar>
          </w:tcPr>
          <w:p>
            <w:r/>
            <w:r>
              <w:rPr>
                <w:rFonts w:ascii="Arial" w:hAnsi="Arial"/>
                <w:b w:val="0"/>
                <w:sz w:val="19"/>
              </w:rPr>
              <w:t>Startup logging</w:t>
            </w:r>
          </w:p>
        </w:tc>
        <w:tc>
          <w:tcPr>
            <w:tcW w:type="dxa" w:w="3264"/>
            <w:vAlign w:val="top"/>
            <w:tcMar>
              <w:top w:w="100" w:type="dxa"/>
              <w:left w:w="100" w:type="dxa"/>
              <w:bottom w:w="100" w:type="dxa"/>
              <w:right w:w="100" w:type="dxa"/>
            </w:tcMar>
          </w:tcPr>
          <w:p>
            <w:r/>
            <w:r>
              <w:rPr>
                <w:rFonts w:ascii="Arial" w:hAnsi="Arial"/>
                <w:b w:val="0"/>
                <w:sz w:val="19"/>
              </w:rPr>
              <w:t>Improved</w:t>
            </w:r>
          </w:p>
        </w:tc>
        <w:tc>
          <w:tcPr>
            <w:tcW w:type="dxa" w:w="3264"/>
            <w:vAlign w:val="top"/>
            <w:tcMar>
              <w:top w:w="100" w:type="dxa"/>
              <w:left w:w="100" w:type="dxa"/>
              <w:bottom w:w="100" w:type="dxa"/>
              <w:right w:w="100" w:type="dxa"/>
            </w:tcMar>
          </w:tcPr>
          <w:p>
            <w:r/>
            <w:r>
              <w:rPr>
                <w:rFonts w:ascii="Arial" w:hAnsi="Arial"/>
                <w:b w:val="0"/>
                <w:sz w:val="19"/>
              </w:rPr>
              <w:t>Startup/shutdown paths now use structured logging instead of raw print calls in the main lifecycle.</w:t>
            </w:r>
          </w:p>
        </w:tc>
      </w:tr>
      <w:tr>
        <w:tc>
          <w:tcPr>
            <w:tcW w:type="dxa" w:w="3264"/>
            <w:vAlign w:val="top"/>
            <w:tcMar>
              <w:top w:w="100" w:type="dxa"/>
              <w:left w:w="100" w:type="dxa"/>
              <w:bottom w:w="100" w:type="dxa"/>
              <w:right w:w="100" w:type="dxa"/>
            </w:tcMar>
          </w:tcPr>
          <w:p>
            <w:r/>
            <w:r>
              <w:rPr>
                <w:rFonts w:ascii="Arial" w:hAnsi="Arial"/>
                <w:b w:val="0"/>
                <w:sz w:val="19"/>
              </w:rPr>
              <w:t>JWT secret handling</w:t>
            </w:r>
          </w:p>
        </w:tc>
        <w:tc>
          <w:tcPr>
            <w:tcW w:type="dxa" w:w="3264"/>
            <w:vAlign w:val="top"/>
            <w:tcMar>
              <w:top w:w="100" w:type="dxa"/>
              <w:left w:w="100" w:type="dxa"/>
              <w:bottom w:w="100" w:type="dxa"/>
              <w:right w:w="100" w:type="dxa"/>
            </w:tcMar>
          </w:tcPr>
          <w:p>
            <w:r/>
            <w:r>
              <w:rPr>
                <w:rFonts w:ascii="Arial" w:hAnsi="Arial"/>
                <w:b w:val="0"/>
                <w:sz w:val="19"/>
              </w:rPr>
              <w:t>Hardened</w:t>
            </w:r>
          </w:p>
        </w:tc>
        <w:tc>
          <w:tcPr>
            <w:tcW w:type="dxa" w:w="3264"/>
            <w:vAlign w:val="top"/>
            <w:tcMar>
              <w:top w:w="100" w:type="dxa"/>
              <w:left w:w="100" w:type="dxa"/>
              <w:bottom w:w="100" w:type="dxa"/>
              <w:right w:w="100" w:type="dxa"/>
            </w:tcMar>
          </w:tcPr>
          <w:p>
            <w:r/>
            <w:r>
              <w:rPr>
                <w:rFonts w:ascii="Arial" w:hAnsi="Arial"/>
                <w:b w:val="0"/>
                <w:sz w:val="19"/>
              </w:rPr>
              <w:t>Short HS256 secrets fail outside TEST_MODE; tests use a sufficiently long CI secret.</w:t>
            </w:r>
          </w:p>
        </w:tc>
      </w:tr>
      <w:tr>
        <w:tc>
          <w:tcPr>
            <w:tcW w:type="dxa" w:w="3264"/>
            <w:vAlign w:val="top"/>
            <w:tcMar>
              <w:top w:w="100" w:type="dxa"/>
              <w:left w:w="100" w:type="dxa"/>
              <w:bottom w:w="100" w:type="dxa"/>
              <w:right w:w="100" w:type="dxa"/>
            </w:tcMar>
          </w:tcPr>
          <w:p>
            <w:r/>
            <w:r>
              <w:rPr>
                <w:rFonts w:ascii="Arial" w:hAnsi="Arial"/>
                <w:b w:val="0"/>
                <w:sz w:val="19"/>
              </w:rPr>
              <w:t>CI verification</w:t>
            </w:r>
          </w:p>
        </w:tc>
        <w:tc>
          <w:tcPr>
            <w:tcW w:type="dxa" w:w="3264"/>
            <w:vAlign w:val="top"/>
            <w:tcMar>
              <w:top w:w="100" w:type="dxa"/>
              <w:left w:w="100" w:type="dxa"/>
              <w:bottom w:w="100" w:type="dxa"/>
              <w:right w:w="100" w:type="dxa"/>
            </w:tcMar>
          </w:tcPr>
          <w:p>
            <w:r/>
            <w:r>
              <w:rPr>
                <w:rFonts w:ascii="Arial" w:hAnsi="Arial"/>
                <w:b w:val="0"/>
                <w:sz w:val="19"/>
              </w:rPr>
              <w:t>Improved</w:t>
            </w:r>
          </w:p>
        </w:tc>
        <w:tc>
          <w:tcPr>
            <w:tcW w:type="dxa" w:w="3264"/>
            <w:vAlign w:val="top"/>
            <w:tcMar>
              <w:top w:w="100" w:type="dxa"/>
              <w:left w:w="100" w:type="dxa"/>
              <w:bottom w:w="100" w:type="dxa"/>
              <w:right w:w="100" w:type="dxa"/>
            </w:tcMar>
          </w:tcPr>
          <w:p>
            <w:r/>
            <w:r>
              <w:rPr>
                <w:rFonts w:ascii="Arial" w:hAnsi="Arial"/>
                <w:b w:val="0"/>
                <w:sz w:val="19"/>
              </w:rPr>
              <w:t>Workflow runs compileall over app, tests, and main.py; unit tests and OCR fallback integration smoke run in CI.</w:t>
            </w:r>
          </w:p>
        </w:tc>
      </w:tr>
      <w:tr>
        <w:tc>
          <w:tcPr>
            <w:tcW w:type="dxa" w:w="3264"/>
            <w:vAlign w:val="top"/>
            <w:tcMar>
              <w:top w:w="100" w:type="dxa"/>
              <w:left w:w="100" w:type="dxa"/>
              <w:bottom w:w="100" w:type="dxa"/>
              <w:right w:w="100" w:type="dxa"/>
            </w:tcMar>
          </w:tcPr>
          <w:p>
            <w:r/>
            <w:r>
              <w:rPr>
                <w:rFonts w:ascii="Arial" w:hAnsi="Arial"/>
                <w:b w:val="0"/>
                <w:sz w:val="19"/>
              </w:rPr>
              <w:t>Encoding/line endings</w:t>
            </w:r>
          </w:p>
        </w:tc>
        <w:tc>
          <w:tcPr>
            <w:tcW w:type="dxa" w:w="3264"/>
            <w:vAlign w:val="top"/>
            <w:tcMar>
              <w:top w:w="100" w:type="dxa"/>
              <w:left w:w="100" w:type="dxa"/>
              <w:bottom w:w="100" w:type="dxa"/>
              <w:right w:w="100" w:type="dxa"/>
            </w:tcMar>
          </w:tcPr>
          <w:p>
            <w:r/>
            <w:r>
              <w:rPr>
                <w:rFonts w:ascii="Arial" w:hAnsi="Arial"/>
                <w:b w:val="0"/>
                <w:sz w:val="19"/>
              </w:rPr>
              <w:t>Improved</w:t>
            </w:r>
          </w:p>
        </w:tc>
        <w:tc>
          <w:tcPr>
            <w:tcW w:type="dxa" w:w="3264"/>
            <w:vAlign w:val="top"/>
            <w:tcMar>
              <w:top w:w="100" w:type="dxa"/>
              <w:left w:w="100" w:type="dxa"/>
              <w:bottom w:w="100" w:type="dxa"/>
              <w:right w:w="100" w:type="dxa"/>
            </w:tcMar>
          </w:tcPr>
          <w:p>
            <w:r/>
            <w:r>
              <w:rPr>
                <w:rFonts w:ascii="Arial" w:hAnsi="Arial"/>
                <w:b w:val="0"/>
                <w:sz w:val="19"/>
              </w:rPr>
              <w:t>.editorconfig and .gitattributes define UTF-8 and LF expectations for source files.</w:t>
            </w:r>
          </w:p>
        </w:tc>
      </w:tr>
      <w:tr>
        <w:tc>
          <w:tcPr>
            <w:tcW w:type="dxa" w:w="3264"/>
            <w:vAlign w:val="top"/>
            <w:tcMar>
              <w:top w:w="100" w:type="dxa"/>
              <w:left w:w="100" w:type="dxa"/>
              <w:bottom w:w="100" w:type="dxa"/>
              <w:right w:w="100" w:type="dxa"/>
            </w:tcMar>
          </w:tcPr>
          <w:p>
            <w:r/>
            <w:r>
              <w:rPr>
                <w:rFonts w:ascii="Arial" w:hAnsi="Arial"/>
                <w:b w:val="0"/>
                <w:sz w:val="19"/>
              </w:rPr>
              <w:t>Approval timestamps</w:t>
            </w:r>
          </w:p>
        </w:tc>
        <w:tc>
          <w:tcPr>
            <w:tcW w:type="dxa" w:w="3264"/>
            <w:vAlign w:val="top"/>
            <w:tcMar>
              <w:top w:w="100" w:type="dxa"/>
              <w:left w:w="100" w:type="dxa"/>
              <w:bottom w:w="100" w:type="dxa"/>
              <w:right w:w="100" w:type="dxa"/>
            </w:tcMar>
          </w:tcPr>
          <w:p>
            <w:r/>
            <w:r>
              <w:rPr>
                <w:rFonts w:ascii="Arial" w:hAnsi="Arial"/>
                <w:b w:val="0"/>
                <w:sz w:val="19"/>
              </w:rPr>
              <w:t>Improved</w:t>
            </w:r>
          </w:p>
        </w:tc>
        <w:tc>
          <w:tcPr>
            <w:tcW w:type="dxa" w:w="3264"/>
            <w:vAlign w:val="top"/>
            <w:tcMar>
              <w:top w:w="100" w:type="dxa"/>
              <w:left w:w="100" w:type="dxa"/>
              <w:bottom w:w="100" w:type="dxa"/>
              <w:right w:w="100" w:type="dxa"/>
            </w:tcMar>
          </w:tcPr>
          <w:p>
            <w:r/>
            <w:r>
              <w:rPr>
                <w:rFonts w:ascii="Arial" w:hAnsi="Arial"/>
                <w:b w:val="0"/>
                <w:sz w:val="19"/>
              </w:rPr>
              <w:t>One direct datetime.utcnow() warning in approval notifications was replaced with timezone-aware UTC.</w:t>
            </w:r>
          </w:p>
        </w:tc>
      </w:tr>
    </w:tbl>
    <w:p/>
    <w:p>
      <w:pPr>
        <w:spacing w:after="100"/>
      </w:pPr>
      <w:r>
        <w:t>Current local verification after the latest pass:</w:t>
      </w:r>
    </w:p>
    <w:p>
      <w:pPr>
        <w:pStyle w:val="NoSpacing"/>
      </w:pPr>
      <w:r>
        <w:rPr>
          <w:rFonts w:ascii="Consolas" w:hAnsi="Consolas"/>
          <w:color w:val="2D3748"/>
          <w:sz w:val="18"/>
        </w:rPr>
        <w:t>uv run python -m compileall -q app tests main.py</w:t>
      </w:r>
    </w:p>
    <w:p>
      <w:pPr>
        <w:pStyle w:val="NoSpacing"/>
      </w:pPr>
      <w:r>
        <w:rPr>
          <w:rFonts w:ascii="Consolas" w:hAnsi="Consolas"/>
          <w:color w:val="2D3748"/>
          <w:sz w:val="18"/>
        </w:rPr>
        <w:t>OK</w:t>
      </w:r>
    </w:p>
    <w:p>
      <w:pPr>
        <w:pStyle w:val="NoSpacing"/>
      </w:pPr>
      <w:r>
        <w:rPr>
          <w:rFonts w:ascii="Consolas" w:hAnsi="Consolas"/>
          <w:color w:val="2D3748"/>
          <w:sz w:val="18"/>
        </w:rPr>
      </w:r>
    </w:p>
    <w:p>
      <w:pPr>
        <w:pStyle w:val="NoSpacing"/>
      </w:pPr>
      <w:r>
        <w:rPr>
          <w:rFonts w:ascii="Consolas" w:hAnsi="Consolas"/>
          <w:color w:val="2D3748"/>
          <w:sz w:val="18"/>
        </w:rPr>
        <w:t>uv run pytest tests/unit/ --tb=short --ignore=tests/unit/test_document_upload.py -q</w:t>
      </w:r>
    </w:p>
    <w:p>
      <w:pPr>
        <w:pStyle w:val="NoSpacing"/>
      </w:pPr>
      <w:r>
        <w:rPr>
          <w:rFonts w:ascii="Consolas" w:hAnsi="Consolas"/>
          <w:color w:val="2D3748"/>
          <w:sz w:val="18"/>
        </w:rPr>
        <w:t>355 passed, 2 skipped, 5 warnings</w:t>
      </w:r>
    </w:p>
    <w:p/>
    <w:p>
      <w:pPr>
        <w:spacing w:after="100"/>
      </w:pPr>
      <w:r>
        <w:t>The remaining warnings observed in this run come from third-party SWIG/PyMuPDF import behavior, not from BridgeHub application code.</w:t>
      </w:r>
    </w:p>
    <w:p>
      <w:pPr>
        <w:pStyle w:val="Heading1"/>
      </w:pPr>
      <w:r>
        <w:t>Honest Risk Register</w:t>
      </w:r>
    </w:p>
    <w:p>
      <w:pPr>
        <w:pStyle w:val="Heading2"/>
      </w:pPr>
      <w:r>
        <w:t>Tenant Isolation</w:t>
      </w:r>
    </w:p>
    <w:p>
      <w:pPr>
        <w:spacing w:after="100"/>
      </w:pPr>
      <w:r>
        <w:t>Tenant isolation is a core design concern and is meaningfully tested in important flows. However, the codebase is large and contains older route modules. The safe statement is:</w:t>
      </w:r>
    </w:p>
    <w:p>
      <w:pPr>
        <w:ind w:left="360"/>
      </w:pPr>
      <w:r>
        <w:rPr>
          <w:i/>
          <w:color w:val="505050"/>
        </w:rPr>
        <w:t>Core and tested paths enforce tenant-aware access. A full production assurance claim still requires continued automated scanning and route-by-route review for legacy endpoints.</w:t>
      </w:r>
    </w:p>
    <w:p>
      <w:pPr>
        <w:spacing w:after="100"/>
      </w:pPr>
      <w:r>
        <w:t>Recommended next controls:</w:t>
      </w:r>
    </w:p>
    <w:p>
      <w:pPr>
        <w:pStyle w:val="ListBullet"/>
      </w:pPr>
      <w:r>
        <w:t>Keep tenant-isolation tests for every new route that reads or mutates tenant-owned data.</w:t>
      </w:r>
    </w:p>
    <w:p>
      <w:pPr>
        <w:pStyle w:val="ListBullet"/>
      </w:pPr>
      <w:r>
        <w:t>Add static checks that flag SQL against tenant-owned tables without tenant_id.</w:t>
      </w:r>
    </w:p>
    <w:p>
      <w:pPr>
        <w:pStyle w:val="ListBullet"/>
      </w:pPr>
      <w:r>
        <w:t>Prefer service-level helpers that require tenant_id arguments instead of ad hoc route SQL.</w:t>
      </w:r>
    </w:p>
    <w:p>
      <w:pPr>
        <w:pStyle w:val="Heading2"/>
      </w:pPr>
      <w:r>
        <w:t>ORIS Connector</w:t>
      </w:r>
    </w:p>
    <w:p>
      <w:pPr>
        <w:spacing w:after="100"/>
      </w:pPr>
      <w:r>
        <w:t>ORIS is not implemented. OrisConnector.validate_config() returns False, status() reports demo/not implemented, and post() returns failure.</w:t>
      </w:r>
    </w:p>
    <w:p>
      <w:pPr>
        <w:spacing w:after="100"/>
      </w:pPr>
      <w:r>
        <w:t>Correct claim:</w:t>
      </w:r>
    </w:p>
    <w:p>
      <w:pPr>
        <w:ind w:left="360"/>
      </w:pPr>
      <w:r>
        <w:rPr>
          <w:i/>
          <w:color w:val="505050"/>
        </w:rPr>
        <w:t>ORIS has a connector interface/stub, not a production integration.</w:t>
      </w:r>
    </w:p>
    <w:p>
      <w:pPr>
        <w:spacing w:after="100"/>
      </w:pPr>
      <w:r>
        <w:t>Remaining work:</w:t>
      </w:r>
    </w:p>
    <w:p>
      <w:pPr>
        <w:pStyle w:val="ListBullet"/>
      </w:pPr>
      <w:r>
        <w:t>Define ORIS API credentials and request/response contract.</w:t>
      </w:r>
    </w:p>
    <w:p>
      <w:pPr>
        <w:pStyle w:val="ListBullet"/>
      </w:pPr>
      <w:r>
        <w:t>Implement validation, preview mapping, posting, error normalization, and history retrieval.</w:t>
      </w:r>
    </w:p>
    <w:p>
      <w:pPr>
        <w:pStyle w:val="ListBullet"/>
      </w:pPr>
      <w:r>
        <w:t>Add mock connector tests, failure tests, and live sandbox tests before enabling it for customers.</w:t>
      </w:r>
    </w:p>
    <w:p>
      <w:pPr>
        <w:pStyle w:val="Heading2"/>
      </w:pPr>
      <w:r>
        <w:t>RBAC</w:t>
      </w:r>
    </w:p>
    <w:p>
      <w:pPr>
        <w:spacing w:after="100"/>
      </w:pPr>
      <w:r>
        <w:t>RBAC is implemented and tested as a baseline, but should not be treated as mathematically complete across the entire expanding route surface.</w:t>
      </w:r>
    </w:p>
    <w:p>
      <w:pPr>
        <w:spacing w:after="100"/>
      </w:pPr>
      <w:r>
        <w:t>Current strengths:</w:t>
      </w:r>
    </w:p>
    <w:p>
      <w:pPr>
        <w:pStyle w:val="ListBullet"/>
      </w:pPr>
      <w:r>
        <w:t>Role permissions live in app/api/authz.py.</w:t>
      </w:r>
    </w:p>
    <w:p>
      <w:pPr>
        <w:pStyle w:val="ListBullet"/>
      </w:pPr>
      <w:r>
        <w:t>Route-level matching lives in app/api/policy/permission_map.py.</w:t>
      </w:r>
    </w:p>
    <w:p>
      <w:pPr>
        <w:pStyle w:val="ListBullet"/>
      </w:pPr>
      <w:r>
        <w:t>Middleware and explicit in-handler checks both exist.</w:t>
      </w:r>
    </w:p>
    <w:p>
      <w:pPr>
        <w:spacing w:after="100"/>
      </w:pPr>
      <w:r>
        <w:t>Remaining hardening:</w:t>
      </w:r>
    </w:p>
    <w:p>
      <w:pPr>
        <w:pStyle w:val="ListBullet"/>
      </w:pPr>
      <w:r>
        <w:t>Add automated coverage that every registered router path has an expected permission or is explicitly public.</w:t>
      </w:r>
    </w:p>
    <w:p>
      <w:pPr>
        <w:pStyle w:val="ListBullet"/>
      </w:pPr>
      <w:r>
        <w:t>Keep public-route allowlists narrow and documented.</w:t>
      </w:r>
    </w:p>
    <w:p>
      <w:pPr>
        <w:pStyle w:val="ListBullet"/>
      </w:pPr>
      <w:r>
        <w:t>Avoid broad wildcard permission mappings where a narrower prefix is practical.</w:t>
      </w:r>
    </w:p>
    <w:p>
      <w:pPr>
        <w:pStyle w:val="Heading2"/>
      </w:pPr>
      <w:r>
        <w:t>Broad Exception Handling</w:t>
      </w:r>
    </w:p>
    <w:p>
      <w:pPr>
        <w:spacing w:after="100"/>
      </w:pPr>
      <w:r>
        <w:t>The codebase still contains many broad except Exception blocks. Some are intentional fallback boundaries, but not all are equally safe.</w:t>
      </w:r>
    </w:p>
    <w:p>
      <w:pPr>
        <w:spacing w:after="100"/>
      </w:pPr>
      <w:r>
        <w:t>Correct claim:</w:t>
      </w:r>
    </w:p>
    <w:p>
      <w:pPr>
        <w:ind w:left="360"/>
      </w:pPr>
      <w:r>
        <w:rPr>
          <w:i/>
          <w:color w:val="505050"/>
        </w:rPr>
        <w:t>Error handling is pragmatic and improving, but broad exception handling remains a technical-debt area.</w:t>
      </w:r>
    </w:p>
    <w:p>
      <w:pPr>
        <w:spacing w:after="100"/>
      </w:pPr>
      <w:r>
        <w:t>Recommended policy:</w:t>
      </w:r>
    </w:p>
    <w:p>
      <w:pPr>
        <w:pStyle w:val="ListBullet"/>
      </w:pPr>
      <w:r>
        <w:t>Keep broad catches only at external boundary/fallback points with structured logging.</w:t>
      </w:r>
    </w:p>
    <w:p>
      <w:pPr>
        <w:pStyle w:val="ListBullet"/>
      </w:pPr>
      <w:r>
        <w:t>Do not let broad catches convert data-integrity errors into successful responses.</w:t>
      </w:r>
    </w:p>
    <w:p>
      <w:pPr>
        <w:pStyle w:val="ListBullet"/>
      </w:pPr>
      <w:r>
        <w:t>For accounting writes, prefer explicit exception classes and fail closed.</w:t>
      </w:r>
    </w:p>
    <w:p>
      <w:pPr>
        <w:pStyle w:val="Heading2"/>
      </w:pPr>
      <w:r>
        <w:t>Startup Migrations</w:t>
      </w:r>
    </w:p>
    <w:p>
      <w:pPr>
        <w:spacing w:after="100"/>
      </w:pPr>
      <w:r>
        <w:t>Startup currently performs multiple migration/ensure-table operations and data-loading tasks. This is practical for Cloud Run bootstrapping, but it is not the cleanest production migration model.</w:t>
      </w:r>
    </w:p>
    <w:p>
      <w:pPr>
        <w:spacing w:after="100"/>
      </w:pPr>
      <w:r>
        <w:t>Correct claim:</w:t>
      </w:r>
    </w:p>
    <w:p>
      <w:pPr>
        <w:ind w:left="360"/>
      </w:pPr>
      <w:r>
        <w:rPr>
          <w:i/>
          <w:color w:val="505050"/>
        </w:rPr>
        <w:t>Startup migrations are operationally useful but should be migrated toward a separate deploy step.</w:t>
      </w:r>
    </w:p>
    <w:p>
      <w:pPr>
        <w:spacing w:after="100"/>
      </w:pPr>
      <w:r>
        <w:t>Remaining work:</w:t>
      </w:r>
    </w:p>
    <w:p>
      <w:pPr>
        <w:pStyle w:val="ListBullet"/>
      </w:pPr>
      <w:r>
        <w:t>Move schema migrations to a dedicated CI/CD or release command.</w:t>
      </w:r>
    </w:p>
    <w:p>
      <w:pPr>
        <w:pStyle w:val="ListBullet"/>
      </w:pPr>
      <w:r>
        <w:t>Make startup health independent of long-running migrations.</w:t>
      </w:r>
    </w:p>
    <w:p>
      <w:pPr>
        <w:pStyle w:val="ListBullet"/>
      </w:pPr>
      <w:r>
        <w:t>Keep runtime "ensure table" paths only for safe, idempotent compatibility guards.</w:t>
      </w:r>
    </w:p>
    <w:p>
      <w:pPr>
        <w:pStyle w:val="Heading2"/>
      </w:pPr>
      <w:r>
        <w:t>Mixed Sync and Async DB Access</w:t>
      </w:r>
    </w:p>
    <w:p>
      <w:pPr>
        <w:spacing w:after="100"/>
      </w:pPr>
      <w:r>
        <w:t>The repository still has both asyncpg and psycopg2 access patterns. This is acceptable during migration, but it complicates performance, transaction behavior, and consistency.</w:t>
      </w:r>
    </w:p>
    <w:p>
      <w:pPr>
        <w:spacing w:after="100"/>
      </w:pPr>
      <w:r>
        <w:t>Remaining work:</w:t>
      </w:r>
    </w:p>
    <w:p>
      <w:pPr>
        <w:pStyle w:val="ListBullet"/>
      </w:pPr>
      <w:r>
        <w:t>Keep new route handlers on async paths.</w:t>
      </w:r>
    </w:p>
    <w:p>
      <w:pPr>
        <w:pStyle w:val="ListBullet"/>
      </w:pPr>
      <w:r>
        <w:t>Convert high-traffic legacy sync services gradually.</w:t>
      </w:r>
    </w:p>
    <w:p>
      <w:pPr>
        <w:pStyle w:val="ListBullet"/>
      </w:pPr>
      <w:r>
        <w:t>Avoid mixing sync and async DB calls inside the same request path.</w:t>
      </w:r>
    </w:p>
    <w:p>
      <w:pPr>
        <w:pStyle w:val="Heading1"/>
      </w:pPr>
      <w:r>
        <w:t>Remaining Work</w:t>
      </w:r>
    </w:p>
    <w:p>
      <w:pPr>
        <w:spacing w:after="100"/>
      </w:pPr>
      <w:r>
        <w:t>Priority 1:</w:t>
      </w:r>
    </w:p>
    <w:p>
      <w:pPr>
        <w:pStyle w:val="ListBullet"/>
      </w:pPr>
      <w:r>
        <w:t>Move startup migrations into a dedicated deployment step.</w:t>
      </w:r>
    </w:p>
    <w:p>
      <w:pPr>
        <w:pStyle w:val="ListBullet"/>
      </w:pPr>
      <w:r>
        <w:t>Add route permission coverage that compares registered routers against RBAC/public allowlists.</w:t>
      </w:r>
    </w:p>
    <w:p>
      <w:pPr>
        <w:pStyle w:val="ListBullet"/>
      </w:pPr>
      <w:r>
        <w:t>Add tenant-filter static checks for tenant-owned tables.</w:t>
      </w:r>
    </w:p>
    <w:p>
      <w:pPr>
        <w:pStyle w:val="ListBullet"/>
      </w:pPr>
      <w:r>
        <w:t>Continue converting write-heavy legacy sync DB paths to asyncpg.</w:t>
      </w:r>
    </w:p>
    <w:p>
      <w:pPr>
        <w:spacing w:after="100"/>
      </w:pPr>
      <w:r>
        <w:t>Priority 2:</w:t>
      </w:r>
    </w:p>
    <w:p>
      <w:pPr>
        <w:pStyle w:val="ListBullet"/>
      </w:pPr>
      <w:r>
        <w:t>Replace unsafe broad exception handling in accounting write paths with explicit exception classes.</w:t>
      </w:r>
    </w:p>
    <w:p>
      <w:pPr>
        <w:pStyle w:val="ListBullet"/>
      </w:pPr>
      <w:r>
        <w:t>Implement structured error codes for OCR, posting, connector, and document-processing failures.</w:t>
      </w:r>
    </w:p>
    <w:p>
      <w:pPr>
        <w:pStyle w:val="ListBullet"/>
      </w:pPr>
      <w:r>
        <w:t>Tighten CSP by removing unsafe-inline after legacy static HTML is refactored.</w:t>
      </w:r>
    </w:p>
    <w:p>
      <w:pPr>
        <w:pStyle w:val="ListBullet"/>
      </w:pPr>
      <w:r>
        <w:t>Add live integration tests for enabled ERP connectors and explicit "not implemented" tests for stubs.</w:t>
      </w:r>
    </w:p>
    <w:p>
      <w:pPr>
        <w:spacing w:after="100"/>
      </w:pPr>
      <w:r>
        <w:t>Priority 3:</w:t>
      </w:r>
    </w:p>
    <w:p>
      <w:pPr>
        <w:pStyle w:val="ListBullet"/>
      </w:pPr>
      <w:r>
        <w:t>Normalize documentation around production readiness so each module is labeled: production, beta, experimental, stub, or deprecated.</w:t>
      </w:r>
    </w:p>
    <w:p>
      <w:pPr>
        <w:pStyle w:val="ListBullet"/>
      </w:pPr>
      <w:r>
        <w:t>Add dependency vulnerability scanning and license review to CI.</w:t>
      </w:r>
    </w:p>
    <w:p>
      <w:pPr>
        <w:pStyle w:val="ListBullet"/>
      </w:pPr>
      <w:r>
        <w:t>Add operational runbooks for failed migrations, stuck background tasks, connector outages, and duplicate posting recovery.</w:t>
      </w:r>
    </w:p>
    <w:p>
      <w:pPr>
        <w:pStyle w:val="Heading1"/>
      </w:pPr>
      <w:r>
        <w:t>Updated Assessment</w:t>
      </w:r>
    </w:p>
    <w:p>
      <w:pPr>
        <w:spacing w:after="100"/>
      </w:pPr>
      <w:r>
        <w:t>BridgeHub's core is production-capable, especially around approval, posting discipline, health checks, auth baseline, tenant-aware design, and tested document/OCR flows. The repository should still be described as actively hardening because legacy routes, startup migrations, broad exception handling, sync DB paths, and stub connectors remain.</w:t>
      </w:r>
    </w:p>
    <w:p>
      <w:pPr>
        <w:spacing w:after="100"/>
      </w:pPr>
      <w:r>
        <w:t>The practical assessment is:</w:t>
      </w:r>
    </w:p>
    <w:p>
      <w:pPr>
        <w:pStyle w:val="ListBullet"/>
      </w:pPr>
      <w:r>
        <w:t>Core accounting workflow: production-capable with normal operational controls.</w:t>
      </w:r>
    </w:p>
    <w:p>
      <w:pPr>
        <w:pStyle w:val="ListBullet"/>
      </w:pPr>
      <w:r>
        <w:t>Full repository surface: production-oriented but not uniformly hardened.</w:t>
      </w:r>
    </w:p>
    <w:p>
      <w:pPr>
        <w:pStyle w:val="ListBullet"/>
      </w:pPr>
      <w:r>
        <w:t>Integration surface: mixed; enabled targets need per-connector verification, and ORIS is explicitly not implemented.</w:t>
      </w:r>
    </w:p>
    <w:p>
      <w:pPr>
        <w:pStyle w:val="ListBullet"/>
      </w:pPr>
      <w:r>
        <w:t>Security posture: solid baseline with remaining CSP, RBAC completeness, tenant-audit, and exception-handling work.</w:t>
      </w:r>
    </w:p>
    <w:p>
      <w:pPr>
        <w:pStyle w:val="ListBullet"/>
      </w:pPr>
      <w:r>
        <w:t>Recommended label: "Production-capable core; legacy edges still hardening."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Current repository reality - 2026-05-07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A5A5A"/>
        <w:sz w:val="18"/>
      </w:rPr>
      <w:t>BridgeHub Architecture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