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4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Here is for briefly describing what is RGGBer dev kit.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Key performance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Max resolutions, max frame rate, compact size, low cost, </w:t>
      </w:r>
      <w:r w:rsidDel="00000000" w:rsidR="00000000" w:rsidRPr="00000000">
        <w:rPr>
          <w:rtl w:val="0"/>
        </w:rPr>
        <w:t xml:space="preserve">expansibility, FPGA framework, 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wireless controls, etc.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360" w:lineRule="auto"/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RGGBer dev kit’s family photo 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and specifications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Main chip, data sheet links, size, add-on cards, expansion interfaces, etc.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RGGBer is fully open source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Links of design and other documentations on GitHub site.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do you need RGGBer dev kit?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Speed up schedule, lower the threshold of embedded vision developments, share works 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 other users.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spacing w:line="36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the time lines with and without RGGBer dev kit </w:t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Who needs RGGBer dev kit?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Describe the user’s outline.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FPGA processor board and video mainboard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board level diagram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these two core boards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pin out images and table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benefits of this modularized concept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Expansion interfaces and add-on cards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describe iXHis port and QVGA LCD add-on cards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iXCtrl port and its add-on cards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Briefly describe iXCIS port and add-on cards solutions 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Wireless controls and Android App support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can you do with RGGBer dev kit?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Digital camera, the typical application of machine vision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VPU card, the typical application of high performance image signal processing 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multi -camera image net, the typical application of video surveillance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Entry level ADAS, the typical application of ADAS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Endoscope, the typical application of medical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Using RGGBer to build middle and large scale vision system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Briefly describe how to connect RGGBers as pipeline structure for complicate ISP function 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360" w:lineRule="auto"/>
        <w:ind w:left="144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Post the image of this solution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Comparisons table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Show several comparable dev kits and boards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history of RGGBer dev kit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Briefly description and link to further campaign update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sketch goals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Manufacture plan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Risk and challenges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◆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◆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●"/>
      <w:lvlJc w:val="left"/>
      <w:pPr>
        <w:ind w:left="7200" w:firstLine="684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