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6F12" w14:textId="122A7367" w:rsidR="00200355" w:rsidRDefault="00200355" w:rsidP="003C1B5D">
      <w:pPr>
        <w:pStyle w:val="Rubrik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 to Databases</w:t>
      </w:r>
    </w:p>
    <w:p w14:paraId="2EBBC767" w14:textId="0199EEC5"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</w:p>
    <w:p w14:paraId="56B68871" w14:textId="77777777" w:rsidR="002C3BA9" w:rsidRDefault="00AB2F30" w:rsidP="00200355">
      <w:r>
        <w:t xml:space="preserve">Before starting this tutorial, make sure </w:t>
      </w:r>
      <w:proofErr w:type="gramStart"/>
      <w:r>
        <w:t>you’ve</w:t>
      </w:r>
      <w:proofErr w:type="gramEnd"/>
      <w:r>
        <w:t xml:space="preserve"> followed the</w:t>
      </w:r>
      <w:r w:rsidR="00FF5102">
        <w:t xml:space="preserve"> </w:t>
      </w:r>
      <w:proofErr w:type="spellStart"/>
      <w:r w:rsidR="00FF5102">
        <w:t>youtube</w:t>
      </w:r>
      <w:proofErr w:type="spellEnd"/>
      <w:r w:rsidR="00FF5102">
        <w:t xml:space="preserve"> videos I provided last week</w:t>
      </w:r>
      <w:r w:rsidR="002C3BA9">
        <w:t xml:space="preserve"> </w:t>
      </w:r>
    </w:p>
    <w:p w14:paraId="74DD874B" w14:textId="391ADDAA" w:rsidR="00AB2F30" w:rsidRPr="00AB2F30" w:rsidRDefault="002C3BA9" w:rsidP="00200355">
      <w:r>
        <w:t>(See database channel in teams)</w:t>
      </w:r>
      <w:r w:rsidR="00FF5102">
        <w:t>.</w:t>
      </w:r>
      <w:r w:rsidR="00FF5102" w:rsidRPr="00AB2F30">
        <w:t xml:space="preserve"> </w:t>
      </w:r>
    </w:p>
    <w:p w14:paraId="719C3005" w14:textId="77777777" w:rsidR="00D954FE" w:rsidRDefault="00200355" w:rsidP="00200355">
      <w:pPr>
        <w:pStyle w:val="Rubrik2"/>
      </w:pPr>
      <w:r>
        <w:t>Create</w:t>
      </w:r>
      <w:r w:rsidR="003C1B5D">
        <w:t xml:space="preserve"> a</w:t>
      </w:r>
      <w:r>
        <w:t xml:space="preserve"> Database</w:t>
      </w:r>
    </w:p>
    <w:p w14:paraId="0FEB1FB0" w14:textId="77777777"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14:paraId="4A2B5DC2" w14:textId="77777777" w:rsidR="00D20B86" w:rsidRDefault="00980D28" w:rsidP="001F4173">
      <w:pPr>
        <w:pStyle w:val="Liststycke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2225F045" wp14:editId="247F4855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B8A581" w14:textId="77777777" w:rsidR="007D3FAF" w:rsidRDefault="0068628F" w:rsidP="001F4173">
      <w:pPr>
        <w:pStyle w:val="Liststycke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4206A05F" wp14:editId="13433EE5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B23162" w14:textId="77777777" w:rsidR="00FA4CB4" w:rsidRPr="00D20B86" w:rsidRDefault="00325B6D" w:rsidP="001F4173">
      <w:pPr>
        <w:pStyle w:val="Liststycke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15D09DA0" wp14:editId="7F3BD312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351D5279" wp14:editId="40F1CC64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91D6F9F" w14:textId="6FFC6D41" w:rsidR="00200355" w:rsidRDefault="007D3FAF" w:rsidP="00200355">
      <w:pPr>
        <w:pStyle w:val="Rubrik2"/>
      </w:pPr>
      <w:r>
        <w:t>Create Tables</w:t>
      </w:r>
    </w:p>
    <w:p w14:paraId="41F85864" w14:textId="26012D10" w:rsidR="004806F8" w:rsidRDefault="004806F8" w:rsidP="004806F8">
      <w:r>
        <w:t>NOTE: if you get any errors while typing your queries, try this:</w:t>
      </w:r>
    </w:p>
    <w:p w14:paraId="162A8686" w14:textId="5B45B55B" w:rsidR="004806F8" w:rsidRPr="004806F8" w:rsidRDefault="004806F8" w:rsidP="004806F8">
      <w:r>
        <w:rPr>
          <w:noProof/>
        </w:rPr>
        <w:drawing>
          <wp:inline distT="0" distB="0" distL="0" distR="0" wp14:anchorId="1C4B5B46" wp14:editId="11F93F89">
            <wp:extent cx="28289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346" w14:textId="77777777" w:rsidR="00905D11" w:rsidRDefault="00FC74D4" w:rsidP="00FC74D4">
      <w:pPr>
        <w:pStyle w:val="Liststycke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14:paraId="2668D3DC" w14:textId="77777777" w:rsidR="00FC74D4" w:rsidRPr="00FC74D4" w:rsidRDefault="00FC74D4" w:rsidP="00FC74D4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0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0"/>
    </w:p>
    <w:p w14:paraId="1E9477F0" w14:textId="77777777" w:rsidR="00FC74D4" w:rsidRDefault="00FC74D4" w:rsidP="00FC74D4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14:paraId="40CA03EF" w14:textId="77777777" w:rsidR="00FC74D4" w:rsidRPr="00FC74D4" w:rsidRDefault="00FC74D4" w:rsidP="00FC74D4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ellrutnt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14:paraId="1035D440" w14:textId="77777777" w:rsidTr="00BB2A6B">
        <w:tc>
          <w:tcPr>
            <w:tcW w:w="4488" w:type="dxa"/>
          </w:tcPr>
          <w:p w14:paraId="2105C82F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75DD7D2D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4D1819D6" w14:textId="77777777"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0A41590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14:paraId="21DC0197" w14:textId="77777777"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14:paraId="7C1C5F48" w14:textId="77777777" w:rsidR="00D20B86" w:rsidRDefault="00E9347B" w:rsidP="00E9347B">
      <w:pPr>
        <w:pStyle w:val="Liststycke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14:paraId="67804AA9" w14:textId="77777777" w:rsidR="006B4A21" w:rsidRPr="00E9347B" w:rsidRDefault="00E9347B" w:rsidP="006B4A21">
      <w:pPr>
        <w:pStyle w:val="Liststycke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1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1"/>
    </w:p>
    <w:p w14:paraId="3FBD18D3" w14:textId="77777777" w:rsidR="00E9347B" w:rsidRDefault="00E9347B" w:rsidP="00E9347B">
      <w:pPr>
        <w:pStyle w:val="Liststycke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14:paraId="546E31EA" w14:textId="77777777"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ellrutnt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14:paraId="463658E0" w14:textId="77777777" w:rsidTr="00BC6481">
        <w:tc>
          <w:tcPr>
            <w:tcW w:w="4008" w:type="dxa"/>
          </w:tcPr>
          <w:p w14:paraId="227DC0FD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4D6181B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0BA91E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14:paraId="007C9395" w14:textId="77777777"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14:paraId="2DFC677D" w14:textId="77777777" w:rsidR="00905D11" w:rsidRDefault="00E9347B" w:rsidP="00E9347B">
      <w:pPr>
        <w:pStyle w:val="Liststycke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14:paraId="471AEABF" w14:textId="77777777" w:rsidR="00E9347B" w:rsidRPr="00D93B22" w:rsidRDefault="00D93B22" w:rsidP="00E9347B">
      <w:pPr>
        <w:pStyle w:val="Liststycke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6EAC6E09" w14:textId="77777777" w:rsidR="00D93B22" w:rsidRDefault="00D93B22" w:rsidP="00E9347B">
      <w:pPr>
        <w:pStyle w:val="Liststycke"/>
        <w:numPr>
          <w:ilvl w:val="0"/>
          <w:numId w:val="23"/>
        </w:numPr>
        <w:ind w:left="720"/>
      </w:pPr>
      <w:r w:rsidRPr="00605B47">
        <w:rPr>
          <w:rStyle w:val="CodeChar"/>
        </w:rPr>
        <w:lastRenderedPageBreak/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14:paraId="68064880" w14:textId="77777777" w:rsidR="00D93B22" w:rsidRDefault="00AF50CD" w:rsidP="00E9347B">
      <w:pPr>
        <w:pStyle w:val="Liststycke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14:paraId="541852CE" w14:textId="77777777" w:rsidR="00AF50CD" w:rsidRDefault="00AF50CD" w:rsidP="00E9347B">
      <w:pPr>
        <w:pStyle w:val="Liststycke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ellrutnt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14:paraId="3181B62C" w14:textId="77777777" w:rsidTr="00995E8C">
        <w:tc>
          <w:tcPr>
            <w:tcW w:w="7879" w:type="dxa"/>
          </w:tcPr>
          <w:p w14:paraId="442D8FC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2F201E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93F4293" w14:textId="77777777"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4AE9C476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522D28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3F2B7CB" w14:textId="77777777"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58367E24" w14:textId="5F1A550F" w:rsidR="00200355" w:rsidRDefault="00995E8C" w:rsidP="00200355">
      <w:pPr>
        <w:pStyle w:val="Rubrik2"/>
      </w:pPr>
      <w:r>
        <w:t xml:space="preserve">Insert </w:t>
      </w:r>
      <w:r w:rsidR="00626AAB">
        <w:t>Example</w:t>
      </w:r>
      <w:r>
        <w:t xml:space="preserve"> Data into</w:t>
      </w:r>
      <w:r w:rsidR="00626AAB">
        <w:t xml:space="preserve"> our</w:t>
      </w:r>
      <w:r>
        <w:t xml:space="preserve"> Database</w:t>
      </w:r>
    </w:p>
    <w:p w14:paraId="3D9201D8" w14:textId="77777777"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14:paraId="04B123CA" w14:textId="77777777" w:rsidTr="006B4A21">
        <w:tc>
          <w:tcPr>
            <w:tcW w:w="6930" w:type="dxa"/>
          </w:tcPr>
          <w:p w14:paraId="255DA259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429F2DF" w14:textId="11874CE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8C263A"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Greta</w:t>
            </w:r>
            <w:r w:rsidR="008C263A"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Andersson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85713E1" w14:textId="022154B5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ter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ttersson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FA2616D" w14:textId="708F744B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Mel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Gibson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3805F67" w14:textId="6FC4E489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Maria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Danielsson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ED8ACD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96C67D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ED85695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C7E63C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7C788DD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CDA549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6EEBD13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7C5F2D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001DD13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528AF9DE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8A09CEE" w14:textId="77777777"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1AB6C13F" w14:textId="62873BDC" w:rsidR="00200355" w:rsidRDefault="00995E8C" w:rsidP="00200355">
      <w:pPr>
        <w:pStyle w:val="Rubrik2"/>
      </w:pPr>
      <w:r>
        <w:t>Create a</w:t>
      </w:r>
      <w:r w:rsidR="005B23CF">
        <w:t xml:space="preserve"> simple</w:t>
      </w:r>
      <w:r>
        <w:t xml:space="preserve"> View</w:t>
      </w:r>
    </w:p>
    <w:p w14:paraId="70203E96" w14:textId="77777777" w:rsidR="009513DD" w:rsidRDefault="009513DD" w:rsidP="009513DD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ellrutnt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14:paraId="71A9EBD3" w14:textId="77777777" w:rsidTr="006B4A21">
        <w:tc>
          <w:tcPr>
            <w:tcW w:w="7704" w:type="dxa"/>
          </w:tcPr>
          <w:p w14:paraId="200E033F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549F3A03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14:paraId="7B8172C8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14:paraId="301D5FDD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14:paraId="71F368D7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14:paraId="2209EBDB" w14:textId="77777777" w:rsidR="009513DD" w:rsidRDefault="009513DD" w:rsidP="00830AF8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14:paraId="1EC8F17E" w14:textId="77777777" w:rsidR="009513DD" w:rsidRDefault="009513DD" w:rsidP="009513DD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="00B342FE" w:rsidRP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14:paraId="1DE541B9" w14:textId="77777777" w:rsidR="009513DD" w:rsidRDefault="009513DD" w:rsidP="009513DD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14:paraId="7F170C9A" w14:textId="77777777" w:rsidR="009513DD" w:rsidRPr="00E04C7E" w:rsidRDefault="009513DD" w:rsidP="009513DD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14:paraId="324B6B34" w14:textId="5480474C" w:rsidR="009513DD" w:rsidRDefault="004806F8" w:rsidP="009513DD">
      <w:r>
        <w:rPr>
          <w:noProof/>
        </w:rPr>
        <w:lastRenderedPageBreak/>
        <w:drawing>
          <wp:inline distT="0" distB="0" distL="0" distR="0" wp14:anchorId="226D8133" wp14:editId="35533761">
            <wp:extent cx="2695575" cy="1488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023" cy="14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1E40" w14:textId="6270886F" w:rsidR="004806F8" w:rsidRPr="00EB3590" w:rsidRDefault="004806F8" w:rsidP="009513DD"/>
    <w:p w14:paraId="125C7C17" w14:textId="77777777" w:rsidR="00200355" w:rsidRDefault="00995E8C" w:rsidP="00200355">
      <w:pPr>
        <w:pStyle w:val="Rubrik2"/>
      </w:pPr>
      <w:r>
        <w:t xml:space="preserve">Create a </w:t>
      </w:r>
      <w:r w:rsidR="00122917">
        <w:t>Function</w:t>
      </w:r>
    </w:p>
    <w:p w14:paraId="01113BCD" w14:textId="77777777"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ellrutnt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14:paraId="50A877F2" w14:textId="77777777" w:rsidTr="003C09B6">
        <w:tc>
          <w:tcPr>
            <w:tcW w:w="6995" w:type="dxa"/>
          </w:tcPr>
          <w:p w14:paraId="0D2FD8DB" w14:textId="77777777"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7F9EF191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0FA6533C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7AD3D0ED" w14:textId="77777777"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B0313C7" w14:textId="77777777"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301A808D" w14:textId="77777777"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14:paraId="03C2711A" w14:textId="77777777"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557997AF" w14:textId="77777777"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14:paraId="34BCF8FB" w14:textId="77777777"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6A0E52AF" w14:textId="77777777"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ellrutnt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14:paraId="4B563844" w14:textId="77777777" w:rsidTr="003C09B6">
        <w:tc>
          <w:tcPr>
            <w:tcW w:w="6131" w:type="dxa"/>
          </w:tcPr>
          <w:p w14:paraId="4286E043" w14:textId="77777777"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14:paraId="45B95EF2" w14:textId="77777777"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14:paraId="737C465F" w14:textId="77777777" w:rsidR="00200355" w:rsidRDefault="0014288B" w:rsidP="00200355">
      <w:pPr>
        <w:pStyle w:val="Rubrik2"/>
      </w:pPr>
      <w:r>
        <w:t xml:space="preserve">Create </w:t>
      </w:r>
      <w:r w:rsidR="00122917">
        <w:t>Procedure</w:t>
      </w:r>
      <w:r>
        <w:t>s</w:t>
      </w:r>
    </w:p>
    <w:p w14:paraId="01A4B043" w14:textId="77777777"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ellrutnt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14:paraId="02571CC3" w14:textId="77777777" w:rsidTr="003C09B6">
        <w:tc>
          <w:tcPr>
            <w:tcW w:w="7715" w:type="dxa"/>
          </w:tcPr>
          <w:p w14:paraId="260AB6A9" w14:textId="77777777"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040E2D58" w14:textId="77777777"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2EEE2D93" w14:textId="77777777"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62F71115" w14:textId="77777777"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14:paraId="1EAE9DFE" w14:textId="77777777" w:rsidTr="008D2F17">
        <w:tc>
          <w:tcPr>
            <w:tcW w:w="2382" w:type="dxa"/>
          </w:tcPr>
          <w:p w14:paraId="3B574995" w14:textId="77777777"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14:paraId="2BEFC9FA" w14:textId="77777777"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14:paraId="7258C1AB" w14:textId="77777777" w:rsidTr="008D2F17">
        <w:tc>
          <w:tcPr>
            <w:tcW w:w="2988" w:type="dxa"/>
          </w:tcPr>
          <w:p w14:paraId="29245835" w14:textId="77777777"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14:paraId="520AA3D9" w14:textId="77777777"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14:paraId="7D3C96DE" w14:textId="77777777" w:rsidR="008D2F17" w:rsidRDefault="008D2F17" w:rsidP="008D2F17">
      <w:pPr>
        <w:pStyle w:val="Rubrik3"/>
      </w:pPr>
      <w:r>
        <w:lastRenderedPageBreak/>
        <w:t>Deposit Procedure</w:t>
      </w:r>
    </w:p>
    <w:p w14:paraId="1874B717" w14:textId="77777777"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14:paraId="31431741" w14:textId="77777777" w:rsidTr="0070463F">
        <w:tc>
          <w:tcPr>
            <w:tcW w:w="10425" w:type="dxa"/>
          </w:tcPr>
          <w:p w14:paraId="50A0AB5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ED94AF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11CFDCE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4041A426" w14:textId="77777777"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14:paraId="75DFDD18" w14:textId="77777777" w:rsidR="008D2F17" w:rsidRDefault="008D2F17" w:rsidP="008D2F17">
      <w:pPr>
        <w:pStyle w:val="Rubrik3"/>
      </w:pPr>
      <w:r>
        <w:t>Withdraw Procedure</w:t>
      </w:r>
    </w:p>
    <w:p w14:paraId="2831E2AC" w14:textId="77777777"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ellrutnt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14:paraId="5B671F30" w14:textId="77777777" w:rsidTr="0070463F">
        <w:tc>
          <w:tcPr>
            <w:tcW w:w="10425" w:type="dxa"/>
          </w:tcPr>
          <w:p w14:paraId="1CD1AB31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2A12DF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6C6C9120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1C086E4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0A7AE11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7195C7D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12FDDEE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05E4128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2AF6563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4755C4F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072C4F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14:paraId="0DFA6A1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5AC560C1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11DA8D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9E46E45" w14:textId="77777777"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1E245147" w14:textId="77777777" w:rsidR="00200355" w:rsidRPr="00200355" w:rsidRDefault="00122917" w:rsidP="00200355">
      <w:pPr>
        <w:pStyle w:val="Rubrik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14:paraId="724EC64A" w14:textId="77777777"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14:paraId="5319F93F" w14:textId="77777777"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14:paraId="267BC32D" w14:textId="77777777" w:rsidR="00605B47" w:rsidRPr="00FC74D4" w:rsidRDefault="00605B47" w:rsidP="00605B47">
      <w:pPr>
        <w:pStyle w:val="Liststycke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74FB4E4A" w14:textId="77777777" w:rsidR="00672F2A" w:rsidRDefault="00605B47" w:rsidP="00672F2A">
      <w:pPr>
        <w:pStyle w:val="Liststycke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14:paraId="67F76EE2" w14:textId="77777777" w:rsidR="00605B47" w:rsidRDefault="00605B47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14:paraId="1A65B3A3" w14:textId="77777777" w:rsidR="00605B47" w:rsidRDefault="00605B47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14:paraId="4AA93E65" w14:textId="77777777" w:rsidR="00605B47" w:rsidRDefault="00605B47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14:paraId="59CB7BC9" w14:textId="77777777" w:rsidR="00605B47" w:rsidRDefault="00720703" w:rsidP="00672F2A">
      <w:pPr>
        <w:pStyle w:val="Liststycke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14:paraId="6E58B8B7" w14:textId="77777777"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ellrutnt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14:paraId="19C54EFE" w14:textId="77777777" w:rsidTr="008D33ED">
        <w:tc>
          <w:tcPr>
            <w:tcW w:w="6669" w:type="dxa"/>
          </w:tcPr>
          <w:p w14:paraId="5CB3377E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14:paraId="6264D615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5175C064" w14:textId="77777777"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D629139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96A09D4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407E6DA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E30150F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14:paraId="05A4AE74" w14:textId="77777777"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41741840" w14:textId="77777777"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ellrutnt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14:paraId="4F2F07B1" w14:textId="77777777" w:rsidTr="00720703">
        <w:tc>
          <w:tcPr>
            <w:tcW w:w="10056" w:type="dxa"/>
          </w:tcPr>
          <w:p w14:paraId="1DD32F03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49BF3ECF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14:paraId="48D9784B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59E8C111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514391A0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14:paraId="283688E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14:paraId="5A470237" w14:textId="77777777"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14:paraId="712CEDEA" w14:textId="77777777" w:rsidR="006B1BCE" w:rsidRDefault="006B1BCE" w:rsidP="006B1BCE">
      <w:r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ellrutnt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14:paraId="36757113" w14:textId="77777777" w:rsidTr="00166CFA">
        <w:tc>
          <w:tcPr>
            <w:tcW w:w="2759" w:type="dxa"/>
          </w:tcPr>
          <w:p w14:paraId="63B02676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14:paraId="77C071D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2CDBC09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578FE6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14:paraId="0DC4BE8A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4FCE770B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EB9C2B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14:paraId="776F47D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0323AB6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A73F73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14:paraId="1DE006E6" w14:textId="77777777"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14:paraId="527FB417" w14:textId="77777777" w:rsidR="002E420B" w:rsidRDefault="002E420B" w:rsidP="006B1BCE">
      <w:r>
        <w:t xml:space="preserve">And finally, </w:t>
      </w:r>
      <w:proofErr w:type="gramStart"/>
      <w:r>
        <w:t>let’s</w:t>
      </w:r>
      <w:proofErr w:type="gramEnd"/>
      <w:r>
        <w:t xml:space="preserve"> take a look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ellrutnt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14:paraId="35AC9D1F" w14:textId="77777777" w:rsidTr="003F24FA">
        <w:tc>
          <w:tcPr>
            <w:tcW w:w="3471" w:type="dxa"/>
          </w:tcPr>
          <w:p w14:paraId="082CB1C6" w14:textId="77777777"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14:paraId="3A147DD6" w14:textId="77777777" w:rsidR="002E420B" w:rsidRDefault="002837EB" w:rsidP="006B1BCE">
      <w:r>
        <w:t>The result should be something like this:</w:t>
      </w:r>
    </w:p>
    <w:p w14:paraId="3F2C50D6" w14:textId="77777777" w:rsidR="00A55AA0" w:rsidRPr="00200355" w:rsidRDefault="002837EB" w:rsidP="006B1BCE">
      <w:r>
        <w:rPr>
          <w:noProof/>
        </w:rPr>
        <w:drawing>
          <wp:inline distT="0" distB="0" distL="0" distR="0" wp14:anchorId="36CD0A6E" wp14:editId="7315E6B7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5"/>
      <w:footerReference w:type="default" r:id="rId16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CD2F" w14:textId="77777777" w:rsidR="00F47598" w:rsidRDefault="00F47598" w:rsidP="008068A2">
      <w:pPr>
        <w:spacing w:after="0" w:line="240" w:lineRule="auto"/>
      </w:pPr>
      <w:r>
        <w:separator/>
      </w:r>
    </w:p>
  </w:endnote>
  <w:endnote w:type="continuationSeparator" w:id="0">
    <w:p w14:paraId="1377189E" w14:textId="77777777" w:rsidR="00F47598" w:rsidRDefault="00F475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B3797" w14:textId="6675822A" w:rsidR="00433EB5" w:rsidRPr="00AC77AD" w:rsidRDefault="00433EB5" w:rsidP="00433EB5">
    <w:pPr>
      <w:pStyle w:val="Sidfot"/>
    </w:pPr>
    <w:r>
      <w:rPr>
        <w:noProof/>
        <w:sz w:val="20"/>
        <w:szCs w:val="20"/>
      </w:rPr>
      <w:drawing>
        <wp:inline distT="0" distB="0" distL="0" distR="0" wp14:anchorId="5533FEF5" wp14:editId="1E470511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E6F5" wp14:editId="38A209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4D1B42" wp14:editId="181B85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E8058" w14:textId="77777777"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1096D0" w14:textId="77777777" w:rsidR="00CF03F2" w:rsidRPr="00433EB5" w:rsidRDefault="00CF03F2" w:rsidP="00433EB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5C93" w14:textId="77777777" w:rsidR="00F47598" w:rsidRDefault="00F47598" w:rsidP="008068A2">
      <w:pPr>
        <w:spacing w:after="0" w:line="240" w:lineRule="auto"/>
      </w:pPr>
      <w:r>
        <w:separator/>
      </w:r>
    </w:p>
  </w:footnote>
  <w:footnote w:type="continuationSeparator" w:id="0">
    <w:p w14:paraId="6C7229E3" w14:textId="77777777" w:rsidR="00F47598" w:rsidRDefault="00F475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493A" w14:textId="77777777" w:rsidR="00CF03F2" w:rsidRDefault="00CF03F2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C3BA9"/>
    <w:rsid w:val="002D1F91"/>
    <w:rsid w:val="002D47D0"/>
    <w:rsid w:val="002D66FE"/>
    <w:rsid w:val="002E172D"/>
    <w:rsid w:val="002E420B"/>
    <w:rsid w:val="002F5AF4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06F8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B23CF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26AAB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5775D"/>
    <w:rsid w:val="00763912"/>
    <w:rsid w:val="00782B92"/>
    <w:rsid w:val="00784922"/>
    <w:rsid w:val="00785258"/>
    <w:rsid w:val="00791F02"/>
    <w:rsid w:val="0079324A"/>
    <w:rsid w:val="00794BEA"/>
    <w:rsid w:val="00794EEE"/>
    <w:rsid w:val="007A0931"/>
    <w:rsid w:val="007A3E80"/>
    <w:rsid w:val="007A5C6E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63A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47598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5102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30C0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tnotstext">
    <w:name w:val="footnote text"/>
    <w:basedOn w:val="Normal"/>
    <w:link w:val="Fotnots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93739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093739"/>
    <w:rPr>
      <w:vertAlign w:val="superscript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9373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9373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9373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Standardstycketeckensnit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Nmn">
    <w:name w:val="Mention"/>
    <w:basedOn w:val="Standardstycketeckensnitt"/>
    <w:uiPriority w:val="99"/>
    <w:semiHidden/>
    <w:unhideWhenUsed/>
    <w:rsid w:val="00F463AA"/>
    <w:rPr>
      <w:color w:val="2B579A"/>
      <w:shd w:val="clear" w:color="auto" w:fill="E6E6E6"/>
    </w:rPr>
  </w:style>
  <w:style w:type="character" w:styleId="Olstomnmnande">
    <w:name w:val="Unresolved Mention"/>
    <w:basedOn w:val="Standardstycketeckensnitt"/>
    <w:uiPriority w:val="99"/>
    <w:semiHidden/>
    <w:unhideWhenUsed/>
    <w:rsid w:val="0062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9" ma:contentTypeDescription="Skapa ett nytt dokument." ma:contentTypeScope="" ma:versionID="1c8c5cd1fb80b145fe546666159e9f13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2f6523568d4e051a5cb027fdb1e7eece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4D1AA-093F-4B84-8A86-489D5886C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CC54E5-F495-4A6B-B25D-91A77A76F85B}"/>
</file>

<file path=customXml/itemProps3.xml><?xml version="1.0" encoding="utf-8"?>
<ds:datastoreItem xmlns:ds="http://schemas.openxmlformats.org/officeDocument/2006/customXml" ds:itemID="{41B120BC-E459-4566-9736-7A0A6556BB83}"/>
</file>

<file path=customXml/itemProps4.xml><?xml version="1.0" encoding="utf-8"?>
<ds:datastoreItem xmlns:ds="http://schemas.openxmlformats.org/officeDocument/2006/customXml" ds:itemID="{368FFD04-43E5-40F6-9BC9-BC02CF1D21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6</Pages>
  <Words>1193</Words>
  <Characters>6324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Haithem</cp:lastModifiedBy>
  <cp:revision>301</cp:revision>
  <cp:lastPrinted>2015-10-26T22:35:00Z</cp:lastPrinted>
  <dcterms:created xsi:type="dcterms:W3CDTF">2015-01-15T07:45:00Z</dcterms:created>
  <dcterms:modified xsi:type="dcterms:W3CDTF">2020-12-21T07:53:00Z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