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gridextra package</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"lme4"</w:t>
      </w:r>
      <w:r>
        <w:rPr>
          <w:rStyle w:val="NormalTok"/>
        </w:rPr>
        <w:t xml:space="preserve">)</w:t>
      </w:r>
    </w:p>
    <w:p>
      <w:pPr>
        <w:pStyle w:val="SourceCode"/>
      </w:pPr>
      <w:r>
        <w:rPr>
          <w:rStyle w:val="VerbatimChar"/>
        </w:rPr>
        <w:t xml:space="preserve">## </w:t>
      </w:r>
      <w:r>
        <w:br w:type="textWrapping"/>
      </w:r>
      <w:r>
        <w:rPr>
          <w:rStyle w:val="VerbatimChar"/>
        </w:rPr>
        <w:t xml:space="preserve">## To cite lme4 in publications use:</w:t>
      </w:r>
      <w:r>
        <w:br w:type="textWrapping"/>
      </w:r>
      <w:r>
        <w:rPr>
          <w:rStyle w:val="VerbatimChar"/>
        </w:rPr>
        <w:t xml:space="preserve">## </w:t>
      </w:r>
      <w:r>
        <w:br w:type="textWrapping"/>
      </w:r>
      <w:r>
        <w:rPr>
          <w:rStyle w:val="VerbatimChar"/>
        </w:rPr>
        <w:t xml:space="preserve">##   Douglas Bates, Martin Maechler, Ben Bolker, Steve Walker (2015).</w:t>
      </w:r>
      <w:r>
        <w:br w:type="textWrapping"/>
      </w:r>
      <w:r>
        <w:rPr>
          <w:rStyle w:val="VerbatimChar"/>
        </w:rPr>
        <w:t xml:space="preserve">##   Fitting Linear Mixed-Effects Models Using lme4. Journal of</w:t>
      </w:r>
      <w:r>
        <w:br w:type="textWrapping"/>
      </w:r>
      <w:r>
        <w:rPr>
          <w:rStyle w:val="VerbatimChar"/>
        </w:rPr>
        <w:t xml:space="preserve">##   Statistical Software, 67(1), 1-48. doi:10.18637/jss.v067.i01.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{Fitting Linear Mixed-Effects Models Using {lme4}},</w:t>
      </w:r>
      <w:r>
        <w:br w:type="textWrapping"/>
      </w:r>
      <w:r>
        <w:rPr>
          <w:rStyle w:val="VerbatimChar"/>
        </w:rPr>
        <w:t xml:space="preserve">##     author = {Douglas Bates and Martin M{\"a}chler and Ben Bolker and Steve Walker},</w:t>
      </w:r>
      <w:r>
        <w:br w:type="textWrapping"/>
      </w:r>
      <w:r>
        <w:rPr>
          <w:rStyle w:val="VerbatimChar"/>
        </w:rPr>
        <w:t xml:space="preserve">##     journal = {Journal of Statistical Software},</w:t>
      </w:r>
      <w:r>
        <w:br w:type="textWrapping"/>
      </w:r>
      <w:r>
        <w:rPr>
          <w:rStyle w:val="VerbatimChar"/>
        </w:rPr>
        <w:t xml:space="preserve">##     year = {2015},</w:t>
      </w:r>
      <w:r>
        <w:br w:type="textWrapping"/>
      </w:r>
      <w:r>
        <w:rPr>
          <w:rStyle w:val="VerbatimChar"/>
        </w:rPr>
        <w:t xml:space="preserve">##     volume = {67},</w:t>
      </w:r>
      <w:r>
        <w:br w:type="textWrapping"/>
      </w:r>
      <w:r>
        <w:rPr>
          <w:rStyle w:val="VerbatimChar"/>
        </w:rPr>
        <w:t xml:space="preserve">##     number = {1},</w:t>
      </w:r>
      <w:r>
        <w:br w:type="textWrapping"/>
      </w:r>
      <w:r>
        <w:rPr>
          <w:rStyle w:val="VerbatimChar"/>
        </w:rPr>
        <w:t xml:space="preserve">##     pages = {1--48},</w:t>
      </w:r>
      <w:r>
        <w:br w:type="textWrapping"/>
      </w:r>
      <w:r>
        <w:rPr>
          <w:rStyle w:val="VerbatimChar"/>
        </w:rPr>
        <w:t xml:space="preserve">##     doi = {10.18637/jss.v067.i01},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w:t>
      </w:r>
      <w:r>
        <w:br w:type="textWrapping"/>
      </w:r>
      <w:r>
        <w:rPr>
          <w:rStyle w:val="VerbatimChar"/>
        </w:rPr>
        <w:t xml:space="preserve">## To cite package 'gridExtra' in publications use:</w:t>
      </w:r>
      <w:r>
        <w:br w:type="textWrapping"/>
      </w:r>
      <w:r>
        <w:rPr>
          <w:rStyle w:val="VerbatimChar"/>
        </w:rPr>
        <w:t xml:space="preserve">## </w:t>
      </w:r>
      <w:r>
        <w:br w:type="textWrapping"/>
      </w:r>
      <w:r>
        <w:rPr>
          <w:rStyle w:val="VerbatimChar"/>
        </w:rPr>
        <w:t xml:space="preserve">##   Baptiste Auguie (2017). gridExtra: Miscellaneous Functions for</w:t>
      </w:r>
      <w:r>
        <w:br w:type="textWrapping"/>
      </w:r>
      <w:r>
        <w:rPr>
          <w:rStyle w:val="VerbatimChar"/>
        </w:rPr>
        <w:t xml:space="preserve">##   "Grid" Graphics. R package version 2.3.</w:t>
      </w:r>
      <w:r>
        <w:br w:type="textWrapping"/>
      </w:r>
      <w:r>
        <w:rPr>
          <w:rStyle w:val="VerbatimChar"/>
        </w:rPr>
        <w:t xml:space="preserve">##   https://CRAN.R-project.org/package=gridExtra</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{gridExtra: Miscellaneous Functions for "Grid" Graphics},</w:t>
      </w:r>
      <w:r>
        <w:br w:type="textWrapping"/>
      </w:r>
      <w:r>
        <w:rPr>
          <w:rStyle w:val="VerbatimChar"/>
        </w:rPr>
        <w:t xml:space="preserve">##     author = {Baptiste Auguie},</w:t>
      </w:r>
      <w:r>
        <w:br w:type="textWrapping"/>
      </w:r>
      <w:r>
        <w:rPr>
          <w:rStyle w:val="VerbatimChar"/>
        </w:rPr>
        <w:t xml:space="preserve">##     year = {2017},</w:t>
      </w:r>
      <w:r>
        <w:br w:type="textWrapping"/>
      </w:r>
      <w:r>
        <w:rPr>
          <w:rStyle w:val="VerbatimChar"/>
        </w:rPr>
        <w:t xml:space="preserve">##     note = {R package version 2.3},</w:t>
      </w:r>
      <w:r>
        <w:br w:type="textWrapping"/>
      </w:r>
      <w:r>
        <w:rPr>
          <w:rStyle w:val="VerbatimChar"/>
        </w:rPr>
        <w:t xml:space="preserve">##     url = {https://CRAN.R-project.org/package=gridExtra},</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as salmon length increases. Otolith width and day of year will show a positive linear relationship with the calendar year. We expect a moderately positive, linear relationship with increasing latitude. We expect a negative linear relationship with longitude if larger herring occur along west Strait of Georgia. However, we could see a non-linear relationship with longitude if maximum herring size occurrs in mid-channel waters. We expect an interaction between salmon length and latitude, as there productivity in northern regions. An interaction between salmon length and longitude may occur if mainland stocks and those on Vancouver Island differ in size. We expect an interaction between salmon length and day of year, as each age class grows through the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#Make 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#Make 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#Make multipanel for plots of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dotchart of 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dataframe for pairwise scatter plots that only includes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#Make pairwise scatterplot of explanatory variables</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collection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*get otolith number per salmon id range</w:t>
      </w:r>
    </w:p>
    <w:p>
      <w:pPr>
        <w:pStyle w:val="BodyText"/>
      </w:pPr>
      <w:r>
        <w:t xml:space="preserve">#Section 5: Statistical Methods and Model Fitting (200 words)</w:t>
      </w:r>
    </w:p>
    <w:p>
      <w:pPr>
        <w:pStyle w:val="BodyText"/>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(ref.).</w:t>
      </w:r>
    </w:p>
    <w:p>
      <w:pPr>
        <w:pStyle w:val="FirstParagraph"/>
      </w:pPr>
      <w:r>
        <w:t xml:space="preserve">*ref for &gt; 10 levels</w:t>
      </w:r>
    </w:p>
    <w:p>
      <w:pPr>
        <w:pStyle w:val="BodyText"/>
      </w:pPr>
      <w:r>
        <w:t xml:space="preserve">##Standardizing data for models</w:t>
      </w:r>
    </w:p>
    <w:p>
      <w:pPr>
        <w:pStyle w:val="SourceCode"/>
      </w:pPr>
      <w:r>
        <w:rPr>
          <w:rStyle w:val="CommentTok"/>
        </w:rPr>
        <w:t xml:space="preserve">#Add columns for standardized  continuous predictor variable for modelling (x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FirstParagraph"/>
      </w:pPr>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p>
    <w:p>
      <w:pPr>
        <w:pStyle w:val="BodyText"/>
      </w:pPr>
      <w:r>
        <w:t xml:space="preserve">##Plotting otolith.width vs. explanatory variables from the model</w:t>
      </w:r>
    </w:p>
    <w:p>
      <w:pPr>
        <w:pStyle w:val="SourceCode"/>
      </w:pPr>
      <w:r>
        <w:rPr>
          <w:rStyle w:val="CommentTok"/>
        </w:rPr>
        <w:t xml:space="preserve">#Otolith width vs. longitude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#Otolith width vs. coll.doy</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#Otolith width vs. sal.length</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oto.width),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residual for model 11</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FirstParagraph"/>
      </w:pPr>
      <w:r>
        <w:t xml:space="preserve">##Plotting random intercepts for model 11</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2-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residuals of model 6</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resid(model_6)</w:t>
      </w:r>
      <w:r>
        <w:br w:type="textWrapping"/>
      </w:r>
      <w:r>
        <w:rPr>
          <w:rStyle w:val="VerbatimChar"/>
        </w:rPr>
        <w:t xml:space="preserve">## W = 0.94325, p-value = 6.278e-12</w:t>
      </w:r>
    </w:p>
    <w:p>
      <w:pPr>
        <w:pStyle w:val="SourceCode"/>
      </w:pPr>
      <w:r>
        <w:rPr>
          <w:rStyle w:val="CommentTok"/>
        </w:rPr>
        <w:t xml:space="preserve">#Plot residuals vs. sal.length (shown with smoothing curve)</w:t>
      </w:r>
      <w:r>
        <w:br w:type="textWrapping"/>
      </w:r>
      <w:r>
        <w:rPr>
          <w:rStyle w:val="NormalTok"/>
        </w:rPr>
        <w:t xml:space="preserve">resid_vs_sal.length_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t xml:space="preserve">##Plotting random intercepts for model 6</w:t>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histogram of residuals as probability density with rug marks and reference curve</w:t>
      </w:r>
      <w:r>
        <w:br w:type="textWrapping"/>
      </w:r>
      <w:r>
        <w:rPr>
          <w:rStyle w:val="NormalTok"/>
        </w:rPr>
        <w:t xml:space="preserve">ranef_int &lt;-</w:t>
      </w:r>
      <w:r>
        <w:rPr>
          <w:rStyle w:val="StringTok"/>
        </w:rPr>
        <w:t xml:space="preserve"> </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hist</w:t>
      </w:r>
      <w:r>
        <w:rPr>
          <w:rStyle w:val="NormalTok"/>
        </w:rPr>
        <w:t xml:space="preserve">(ranef_int,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(ranef_int)</w:t>
      </w:r>
      <w:r>
        <w:br w:type="textWrapping"/>
      </w:r>
      <w:r>
        <w:rPr>
          <w:rStyle w:val="NormalTok"/>
        </w:rPr>
        <w:t xml:space="preserve">sd_hat_int &lt;-</w:t>
      </w:r>
      <w:r>
        <w:rPr>
          <w:rStyle w:val="StringTok"/>
        </w:rPr>
        <w:t xml:space="preserve"> </w:t>
      </w:r>
      <w:r>
        <w:rPr>
          <w:rStyle w:val="KeywordTok"/>
        </w:rPr>
        <w:t xml:space="preserve">sd</w:t>
      </w:r>
      <w:r>
        <w:rPr>
          <w:rStyle w:val="NormalTok"/>
        </w:rPr>
        <w:t xml:space="preserve">(ranef_int)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sd_hat_int),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for spatial and temporal autocorrelation</w:t>
      </w:r>
    </w:p>
    <w:p>
      <w:pPr>
        <w:pStyle w:val="SourceCode"/>
      </w:pP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r>
        <w:br w:type="textWrapping"/>
      </w:r>
      <w:r>
        <w:br w:type="textWrapping"/>
      </w:r>
      <w:r>
        <w:rPr>
          <w:rStyle w:val="KeywordTok"/>
        </w:rPr>
        <w:t xml:space="preserve">plot</w:t>
      </w:r>
      <w:r>
        <w:rPr>
          <w:rStyle w:val="NormalTok"/>
        </w:rPr>
        <w:t xml:space="preserve">(herring_data</w:t>
      </w:r>
      <w:r>
        <w:rPr>
          <w:rStyle w:val="OperatorTok"/>
        </w:rPr>
        <w:t xml:space="preserve">$</w:t>
      </w:r>
      <w:r>
        <w:rPr>
          <w:rStyle w:val="NormalTok"/>
        </w:rPr>
        <w:t xml:space="preserve">coll.doy, herring_data</w:t>
      </w:r>
      <w:r>
        <w:rPr>
          <w:rStyle w:val="OperatorTok"/>
        </w:rPr>
        <w:t xml:space="preserve">$</w:t>
      </w:r>
      <w:r>
        <w:rPr>
          <w:rStyle w:val="NormalTok"/>
        </w:rPr>
        <w:t xml:space="preserve">oto.width_standardized, </w:t>
      </w:r>
      <w:r>
        <w:rPr>
          <w:rStyle w:val="DataTypeTok"/>
        </w:rPr>
        <w:t xml:space="preserve">type =</w:t>
      </w:r>
      <w:r>
        <w:rPr>
          <w:rStyle w:val="NormalTok"/>
        </w:rPr>
        <w:t xml:space="preserve"> </w:t>
      </w:r>
      <w:r>
        <w:rPr>
          <w:rStyle w:val="StringTok"/>
        </w:rPr>
        <w:t xml:space="preserve">"h"</w:t>
      </w:r>
      <w:r>
        <w:rPr>
          <w:rStyle w:val="NormalTok"/>
        </w:rPr>
        <w:t xml:space="preserve">, </w:t>
      </w:r>
      <w:r>
        <w:rPr>
          <w:rStyle w:val="DataTypeTok"/>
        </w:rPr>
        <w:t xml:space="preserve">main =</w:t>
      </w:r>
      <w:r>
        <w:rPr>
          <w:rStyle w:val="NormalTok"/>
        </w:rPr>
        <w:t xml:space="preserve"> </w:t>
      </w:r>
      <w:r>
        <w:rPr>
          <w:rStyle w:val="StringTok"/>
        </w:rPr>
        <w:t xml:space="preserve">"Otolith width vs. collection day of year"</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font.main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 </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(herring_data</w:t>
      </w:r>
      <w:r>
        <w:rPr>
          <w:rStyle w:val="OperatorTok"/>
        </w:rPr>
        <w:t xml:space="preserve">$</w:t>
      </w:r>
      <w:r>
        <w:rPr>
          <w:rStyle w:val="NormalTok"/>
        </w:rPr>
        <w:t xml:space="preserve">oto.width_,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lag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herring_data</w:t>
      </w:r>
      <w:r>
        <w:rPr>
          <w:rStyle w:val="OperatorTok"/>
        </w:rPr>
        <w:t xml:space="preserve">$</w:t>
      </w:r>
      <w:r>
        <w:rPr>
          <w:rStyle w:val="NormalTok"/>
        </w:rPr>
        <w:t xml:space="preserve">sign &lt;-</w:t>
      </w:r>
      <w:r>
        <w:rPr>
          <w:rStyle w:val="StringTok"/>
        </w:rPr>
        <w:t xml:space="preserve"> </w:t>
      </w:r>
      <w:r>
        <w:rPr>
          <w:rStyle w:val="KeywordTok"/>
        </w:rPr>
        <w:t xml:space="preserve">as.character</w:t>
      </w:r>
      <w:r>
        <w:rPr>
          <w:rStyle w:val="NormalTok"/>
        </w:rPr>
        <w:t xml:space="preserve">(</w:t>
      </w:r>
      <w:r>
        <w:rPr>
          <w:rStyle w:val="KeywordTok"/>
        </w:rPr>
        <w:t xml:space="preserve">sign</w:t>
      </w:r>
      <w:r>
        <w:rPr>
          <w:rStyle w:val="NormalTok"/>
        </w:rPr>
        <w:t xml:space="preserve">(herring_data</w:t>
      </w:r>
      <w:r>
        <w:rPr>
          <w:rStyle w:val="OperatorTok"/>
        </w:rPr>
        <w:t xml:space="preserve">$</w:t>
      </w:r>
      <w:r>
        <w:rPr>
          <w:rStyle w:val="NormalTok"/>
        </w:rPr>
        <w:t xml:space="preserve">oto.width_standardized))</w:t>
      </w:r>
      <w:r>
        <w:br w:type="textWrapping"/>
      </w:r>
      <w:r>
        <w:rPr>
          <w:rStyle w:val="NormalTok"/>
        </w:rPr>
        <w:t xml:space="preserve">lat_vs_long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lat, </w:t>
      </w:r>
      <w:r>
        <w:rPr>
          <w:rStyle w:val="DataTypeTok"/>
        </w:rPr>
        <w:t xml:space="preserve">colour =</w:t>
      </w:r>
      <w:r>
        <w:rPr>
          <w:rStyle w:val="NormalTok"/>
        </w:rPr>
        <w:t xml:space="preserve"> sign, </w:t>
      </w:r>
      <w:r>
        <w:rPr>
          <w:rStyle w:val="DataTypeTok"/>
        </w:rPr>
        <w:t xml:space="preserve">size =</w:t>
      </w:r>
      <w:r>
        <w:rPr>
          <w:rStyle w:val="NormalTok"/>
        </w:rPr>
        <w:t xml:space="preserve"> </w:t>
      </w:r>
      <w:r>
        <w:rPr>
          <w:rStyle w:val="KeywordTok"/>
        </w:rPr>
        <w:t xml:space="preserve">abs</w:t>
      </w:r>
      <w:r>
        <w:rPr>
          <w:rStyle w:val="NormalTok"/>
        </w:rPr>
        <w:t xml:space="preserve">(oto.width_standardized), </w:t>
      </w:r>
      <w:r>
        <w:rPr>
          <w:rStyle w:val="DataTypeTok"/>
        </w:rPr>
        <w:t xml:space="preserve">shape =</w:t>
      </w:r>
      <w:r>
        <w:rPr>
          <w:rStyle w:val="NormalTok"/>
        </w:rPr>
        <w:t xml:space="preserve"> sign)) </w:t>
      </w:r>
      <w:r>
        <w:rPr>
          <w:rStyle w:val="OperatorTok"/>
        </w:rPr>
        <w:t xml:space="preserve">+</w:t>
      </w:r>
      <w:r>
        <w:rPr>
          <w:rStyle w:val="StringTok"/>
        </w:rPr>
        <w:t xml:space="preserve"> </w:t>
      </w:r>
      <w:r>
        <w:rPr>
          <w:rStyle w:val="KeywordTok"/>
        </w:rPr>
        <w:t xml:space="preserve">scale_colour_manual</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"darkorange"</w:t>
      </w:r>
      <w:r>
        <w:rPr>
          <w:rStyle w:val="NormalTok"/>
        </w:rPr>
        <w:t xml:space="preserve">, </w:t>
      </w:r>
      <w:r>
        <w:rPr>
          <w:rStyle w:val="StringTok"/>
        </w:rPr>
        <w:t xml:space="preserve">"-1"</w:t>
      </w:r>
      <w:r>
        <w:rPr>
          <w:rStyle w:val="NormalTok"/>
        </w:rPr>
        <w:t xml:space="preserve"> =</w:t>
      </w:r>
      <w:r>
        <w:rPr>
          <w:rStyle w:val="StringTok"/>
        </w:rPr>
        <w:t xml:space="preserve"> "steelblue4"</w:t>
      </w:r>
      <w:r>
        <w:rPr>
          <w:rStyle w:val="NormalTok"/>
        </w:rPr>
        <w:t xml:space="preserve">, </w:t>
      </w:r>
      <w:r>
        <w:rPr>
          <w:rStyle w:val="StringTok"/>
        </w:rPr>
        <w:t xml:space="preserve">"0"</w:t>
      </w:r>
      <w:r>
        <w:rPr>
          <w:rStyle w:val="NormalTok"/>
        </w:rPr>
        <w:t xml:space="preserve"> =</w:t>
      </w:r>
      <w:r>
        <w:rPr>
          <w:rStyle w:val="StringTok"/>
        </w:rPr>
        <w:t xml:space="preserve"> "black"</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"0"</w:t>
      </w:r>
      <w:r>
        <w:rPr>
          <w:rStyle w:val="NormalTok"/>
        </w:rPr>
        <w:t xml:space="preserve"> =</w:t>
      </w:r>
      <w:r>
        <w:rPr>
          <w:rStyle w:val="String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"Looking for Spatial Autocorrelation in oto.width"</w:t>
      </w:r>
      <w:r>
        <w:rPr>
          <w:rStyle w:val="NormalTok"/>
        </w:rPr>
        <w:t xml:space="preserve">)</w:t>
      </w:r>
      <w:r>
        <w:br w:type="textWrapping"/>
      </w:r>
      <w:r>
        <w:rPr>
          <w:rStyle w:val="KeywordTok"/>
        </w:rPr>
        <w:t xml:space="preserve">print</w:t>
      </w:r>
      <w:r>
        <w:rPr>
          <w:rStyle w:val="NormalTok"/>
        </w:rPr>
        <w:t xml:space="preserve">(lat_vs_long)</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Pairwise scatterplots suggest a negative linear relationship with x and non-linear relationship with y and z. Model 11 Independence. A histogram of model 11 residuals appear normal in contrast to the quantile-quantile plot, which appears non-normal. At high quantiles residuals fall above the 1:1 line and variance increases. This may indicate slightly right-skewed residuals but could just be higher variance at greater fitted values. At low quantiles residuals fall below the 1:1 line as variance also increases. Unequal variance is suggested by the increase in spread of the residuals of model 11 as fitted x values increase. Residuals for the random intercept appear to fall below the 1:1 line at negative quantiles, suggesting non-normal distribution of residuals. Model 6 shows the same patterns in residual plots suggesting an overall violation of assumptions for a linear model. The increase in variance and non-linear relationships indicate that the linear model is not plausible and another should be considered. Outliers may exist above 0.5 and below -40; however, it could be argued that these represent the upper and lower range of the data given the pattern of increasing variance.</w:t>
      </w:r>
    </w:p>
    <w:p>
      <w:pPr>
        <w:pStyle w:val="BodyText"/>
      </w:pPr>
      <w:r>
        <w:t xml:space="preserve">#Section 7: Model Summary, Conﬁdence Intervals and Model Comparison</w:t>
      </w:r>
      <w:r>
        <w:t xml:space="preserve"> </w:t>
      </w:r>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w:t>
      </w:r>
      <w:r>
        <w:rPr>
          <w:rStyle w:val="CharTok"/>
        </w:rPr>
        <w:t xml:space="preserve">\n</w:t>
      </w:r>
      <w:r>
        <w:rPr>
          <w:rStyle w:val="StringTok"/>
        </w:rPr>
        <w:t xml:space="preserve">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11"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6</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#Section 8: Plotting a Model with the Data</w:t>
      </w:r>
      <w:r>
        <w:t xml:space="preserve"> </w:t>
      </w:r>
      <w:r>
        <w:t xml:space="preserve">##Plot model 11</w:t>
      </w:r>
    </w:p>
    <w:p>
      <w:pPr>
        <w:pStyle w:val="SourceCode"/>
      </w:pPr>
      <w:r>
        <w:rPr>
          <w:rStyle w:val="CommentTok"/>
        </w:rPr>
        <w:t xml:space="preserve">#Create data frame for plot of model 11 predictions with longitude on the x axis</w:t>
      </w:r>
      <w:r>
        <w:br w:type="textWrapping"/>
      </w:r>
      <w:r>
        <w:rPr>
          <w:rStyle w:val="NormalTok"/>
        </w:rPr>
        <w:t xml:space="preserve">oto.width_vs_long_data_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11</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oto.width_vs_long_data_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11</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_pop), </w:t>
      </w:r>
      <w:r>
        <w:rPr>
          <w:rStyle w:val="DataTypeTok"/>
        </w:rPr>
        <w:t xml:space="preserve">data =</w:t>
      </w:r>
      <w:r>
        <w:rPr>
          <w:rStyle w:val="NormalTok"/>
        </w:rPr>
        <w:t xml:space="preserve"> oto.width_vs_long_data_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coll.doy on the x axis</w:t>
      </w:r>
      <w:r>
        <w:br w:type="textWrapping"/>
      </w:r>
      <w:r>
        <w:rPr>
          <w:rStyle w:val="NormalTok"/>
        </w:rPr>
        <w:t xml:space="preserve">oto.width_vs_coll.doy_data_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11</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oto.width_vs_coll.doy_data_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11</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DataTypeTok"/>
        </w:rPr>
        <w:t xml:space="preserve">data =</w:t>
      </w:r>
      <w:r>
        <w:rPr>
          <w:rStyle w:val="NormalTok"/>
        </w:rPr>
        <w:t xml:space="preserve"> oto.width_vs_coll.doy_data_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sal.length on the x axis</w:t>
      </w:r>
      <w:r>
        <w:br w:type="textWrapping"/>
      </w:r>
      <w:r>
        <w:rPr>
          <w:rStyle w:val="NormalTok"/>
        </w:rPr>
        <w:t xml:space="preserve">oto.width_vs_sal.length_data_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CommentTok"/>
        </w:rPr>
        <w:t xml:space="preserve">#Add standardized sal.length data to data frame</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sal.length_standardized &lt;-</w:t>
      </w:r>
      <w:r>
        <w:rPr>
          <w:rStyle w:val="StringTok"/>
        </w:rPr>
        <w:t xml:space="preserve"> </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rPr>
          <w:rStyle w:val="OperatorTok"/>
        </w:rPr>
        <w:t xml:space="preserve">/</w:t>
      </w:r>
      <w:r>
        <w:rPr>
          <w:rStyle w:val="KeywordTok"/>
        </w:rPr>
        <w:t xml:space="preserve">sd</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br w:type="textWrapping"/>
      </w:r>
      <w:r>
        <w:br w:type="textWrapping"/>
      </w:r>
      <w:r>
        <w:rPr>
          <w:rStyle w:val="CommentTok"/>
        </w:rPr>
        <w:t xml:space="preserve">#Generate model predictions at population level </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oto.width_vs_sal.length_data_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the model vs. sal.length</w:t>
      </w:r>
      <w:r>
        <w:br w:type="textWrapping"/>
      </w:r>
      <w:r>
        <w:rPr>
          <w:rStyle w:val="NormalTok"/>
        </w:rPr>
        <w:t xml:space="preserve">model_</w:t>
      </w:r>
      <w:r>
        <w:rPr>
          <w:rStyle w:val="DecValTok"/>
        </w:rPr>
        <w:t xml:space="preserve">11</w:t>
      </w:r>
      <w:r>
        <w:rPr>
          <w:rStyle w:val="NormalTok"/>
        </w:rPr>
        <w:t xml:space="preserve">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_pop), </w:t>
      </w:r>
      <w:r>
        <w:rPr>
          <w:rStyle w:val="DataTypeTok"/>
        </w:rPr>
        <w:t xml:space="preserve">data =</w:t>
      </w:r>
      <w:r>
        <w:rPr>
          <w:rStyle w:val="NormalTok"/>
        </w:rPr>
        <w:t xml:space="preserve"> oto.width_vs_sal.length_data_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grid.arrange</w:t>
      </w:r>
      <w:r>
        <w:rPr>
          <w:rStyle w:val="NormalTok"/>
        </w:rPr>
        <w:t xml:space="preserve">(model_</w:t>
      </w:r>
      <w:r>
        <w:rPr>
          <w:rStyle w:val="DecValTok"/>
        </w:rPr>
        <w:t xml:space="preserve">11</w:t>
      </w:r>
      <w:r>
        <w:rPr>
          <w:rStyle w:val="NormalTok"/>
        </w:rPr>
        <w:t xml:space="preserve">_long, model_</w:t>
      </w:r>
      <w:r>
        <w:rPr>
          <w:rStyle w:val="DecValTok"/>
        </w:rPr>
        <w:t xml:space="preserve">11</w:t>
      </w:r>
      <w:r>
        <w:rPr>
          <w:rStyle w:val="NormalTok"/>
        </w:rPr>
        <w:t xml:space="preserve">_coll.doy, model_</w:t>
      </w:r>
      <w:r>
        <w:rPr>
          <w:rStyle w:val="DecValTok"/>
        </w:rPr>
        <w:t xml:space="preserve">11</w:t>
      </w:r>
      <w:r>
        <w:rPr>
          <w:rStyle w:val="NormalTok"/>
        </w:rPr>
        <w:t xml:space="preserve">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model 6</w:t>
      </w:r>
    </w:p>
    <w:p>
      <w:pPr>
        <w:pStyle w:val="SourceCode"/>
      </w:pPr>
      <w:r>
        <w:rPr>
          <w:rStyle w:val="CommentTok"/>
        </w:rPr>
        <w:t xml:space="preserve">#Create data frame for plot of model 6 predictions with longitude on the x axis</w:t>
      </w:r>
      <w:r>
        <w:br w:type="textWrapping"/>
      </w:r>
      <w:r>
        <w:rPr>
          <w:rStyle w:val="NormalTok"/>
        </w:rPr>
        <w:t xml:space="preserve">oto.width_vs_long_data_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6</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6</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6</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oto.width_vs_long_data_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6</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_pop), </w:t>
      </w:r>
      <w:r>
        <w:rPr>
          <w:rStyle w:val="DataTypeTok"/>
        </w:rPr>
        <w:t xml:space="preserve">data =</w:t>
      </w:r>
      <w:r>
        <w:rPr>
          <w:rStyle w:val="NormalTok"/>
        </w:rPr>
        <w:t xml:space="preserve"> oto.width_vs_long_data_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6 predictions with coll.doy on the x axis</w:t>
      </w:r>
      <w:r>
        <w:br w:type="textWrapping"/>
      </w:r>
      <w:r>
        <w:rPr>
          <w:rStyle w:val="NormalTok"/>
        </w:rPr>
        <w:t xml:space="preserve">oto.width_vs_coll.doy_data_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6</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oto.width_vs_coll.doy_data_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6</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_pop), </w:t>
      </w:r>
      <w:r>
        <w:rPr>
          <w:rStyle w:val="DataTypeTok"/>
        </w:rPr>
        <w:t xml:space="preserve">data =</w:t>
      </w:r>
      <w:r>
        <w:rPr>
          <w:rStyle w:val="NormalTok"/>
        </w:rPr>
        <w:t xml:space="preserve"> oto.width_vs_coll.doy_data_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"lightcoral"</w:t>
      </w:r>
      <w:r>
        <w:rPr>
          <w:rStyle w:val="NormalTok"/>
        </w:rPr>
        <w:t xml:space="preserve">)</w:t>
      </w:r>
      <w:r>
        <w:br w:type="textWrapping"/>
      </w:r>
      <w:r>
        <w:br w:type="textWrapping"/>
      </w:r>
      <w:r>
        <w:rPr>
          <w:rStyle w:val="CommentTok"/>
        </w:rPr>
        <w:t xml:space="preserve">#Create data frame for plot of model 6 predictions with sal.length on the x axis</w:t>
      </w:r>
      <w:r>
        <w:br w:type="textWrapping"/>
      </w:r>
      <w:r>
        <w:rPr>
          <w:rStyle w:val="NormalTok"/>
        </w:rPr>
        <w:t xml:space="preserve">oto.width_vs_sal.length_data_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KeywordTok"/>
        </w:rPr>
        <w:t xml:space="preserve">grid.arrange</w:t>
      </w:r>
      <w:r>
        <w:rPr>
          <w:rStyle w:val="NormalTok"/>
        </w:rPr>
        <w:t xml:space="preserve">(model_</w:t>
      </w:r>
      <w:r>
        <w:rPr>
          <w:rStyle w:val="DecValTok"/>
        </w:rPr>
        <w:t xml:space="preserve">6</w:t>
      </w:r>
      <w:r>
        <w:rPr>
          <w:rStyle w:val="NormalTok"/>
        </w:rPr>
        <w:t xml:space="preserve">_long, model_</w:t>
      </w:r>
      <w:r>
        <w:rPr>
          <w:rStyle w:val="DecValTok"/>
        </w:rPr>
        <w:t xml:space="preserve">6</w:t>
      </w:r>
      <w:r>
        <w:rPr>
          <w:rStyle w:val="NormalTok"/>
        </w:rPr>
        <w:t xml:space="preserve">_coll.doy,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The model does not fit the data well in addition to violating linear model assumptions for both model 11 and 6. Model 11 versus longitude overpredicts between -124.0 to -125.0 and may underpredict between -123.5 to -124.0. Otolith width versus collection day of year overpredicts between day 0 to 50 and underpredicts between day 125 to 175. Otolith width versus salmon length overpredicts between 40 cm to 60 cm. The same patterns are observed for model 6 versus longitude and collection day.</w:t>
      </w:r>
    </w:p>
    <w:p>
      <w:pPr>
        <w:pStyle w:val="BodyText"/>
      </w:pPr>
      <w:r>
        <w:t xml:space="preserve">##B)</w:t>
      </w:r>
      <w:r>
        <w:t xml:space="preserve"> </w:t>
      </w:r>
      <w:r>
        <w:t xml:space="preserve">Confidence intervals of the coefficients for model 11 showed that salmon id had the greatest effect on otolith width but salmon length has very little effect as confidence intervals overlap with 0. Similarly, model 6 without salmon length shows the greatest effect attributed to salmon id and a relatively small effect (close to 0) from longitude and collection day of year, with a consistently greater effect of longitude compared to collection day of year across both models. Salmon id, longitude and collection day of year explain the variation in herring otolith width compared to salmon length. Interestingly, longitude is a better predictor than latitude in this modelling exercise; however, these conclusions are approximate.</w:t>
      </w:r>
    </w:p>
    <w:p>
      <w:pPr>
        <w:pStyle w:val="BodyText"/>
      </w:pPr>
      <w:r>
        <w:t xml:space="preserve">##C)</w:t>
      </w:r>
      <w:r>
        <w:t xml:space="preserve"> </w:t>
      </w:r>
      <w:r>
        <w:t xml:space="preserve">The limitations of the predictor variables included in our models are that longitude may relate to the spatial distribution of larger and smaller groups of herring that occupy different regions within the Salish Sea. Longitude is not capturing east-west patterns from shallow to deep water habitats at a constant latitude, but rather herring caught in more westerly regions in Juan de Fuca Strait and easterly regions near Nanaimo and Denman and Hornby Island due to the geographic constraints of Vancouver Island. Modelling capture location as a categorical instead of a continuous longitude will allow us to look at patterns within different regions. Otolith width versus collection day may represent two or more different age classes and recruitment patterns of herring available to salmon. Modelling different age classes separately may allow us to model herring size better as they aren’t confounded by different size classes that occur together. Alternatively, we could model herring size as a quadratic relationship. Otolith width versus salmon length shows few data points for salmon below 62cm and model overprediction. We suspect this could be either due to gape limitation or an artifact of sampling effort due to size restrictions &gt; 62cm for recreational catch. We may consider sourcing more salmon &lt; 62cm or to run models with and without fish &lt; 62cm to determine whether omitting this subset changes our result.</w:t>
      </w:r>
    </w:p>
    <w:p>
      <w:pPr>
        <w:pStyle w:val="BodyText"/>
      </w:pPr>
      <w:r>
        <w:t xml:space="preserve">##D)</w:t>
      </w:r>
      <w:r>
        <w:t xml:space="preserve"> </w:t>
      </w:r>
      <w:r>
        <w:t xml:space="preserve">Two non-stats papers supporting statements above.</w:t>
      </w:r>
    </w:p>
    <w:p>
      <w:pPr>
        <w:pStyle w:val="Heading2"/>
      </w:pPr>
      <w:bookmarkStart w:id="44" w:name="references"/>
      <w:r>
        <w:t xml:space="preserve">References</w:t>
      </w:r>
      <w:bookmarkEnd w:id="44"/>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93">
    <w:nsid w:val="4fbe019a"/>
    <w:multiLevelType w:val="multilevel"/>
    <w:lvl w:ilvl="0">
      <w:start w:val="193"/>
      <w:numFmt w:val="decimal"/>
      <w:lvlText w:val="(%1)"/>
      <w:lvlJc w:val="left"/>
      <w:pPr>
        <w:tabs>
          <w:tab w:val="num" w:pos="0"/>
        </w:tabs>
        <w:ind w:left="480" w:hanging="480"/>
      </w:pPr>
    </w:lvl>
    <w:lvl w:ilvl="1">
      <w:start w:val="193"/>
      <w:numFmt w:val="decimal"/>
      <w:lvlText w:val="(%2)"/>
      <w:lvlJc w:val="left"/>
      <w:pPr>
        <w:tabs>
          <w:tab w:val="num" w:pos="720"/>
        </w:tabs>
        <w:ind w:left="1200" w:hanging="480"/>
      </w:pPr>
    </w:lvl>
    <w:lvl w:ilvl="2">
      <w:start w:val="193"/>
      <w:numFmt w:val="decimal"/>
      <w:lvlText w:val="(%3)"/>
      <w:lvlJc w:val="left"/>
      <w:pPr>
        <w:tabs>
          <w:tab w:val="num" w:pos="1440"/>
        </w:tabs>
        <w:ind w:left="1920" w:hanging="480"/>
      </w:pPr>
    </w:lvl>
    <w:lvl w:ilvl="3">
      <w:start w:val="193"/>
      <w:numFmt w:val="decimal"/>
      <w:lvlText w:val="(%4)"/>
      <w:lvlJc w:val="left"/>
      <w:pPr>
        <w:tabs>
          <w:tab w:val="num" w:pos="2160"/>
        </w:tabs>
        <w:ind w:left="2640" w:hanging="480"/>
      </w:pPr>
    </w:lvl>
    <w:lvl w:ilvl="4">
      <w:start w:val="193"/>
      <w:numFmt w:val="decimal"/>
      <w:lvlText w:val="(%5)"/>
      <w:lvlJc w:val="left"/>
      <w:pPr>
        <w:tabs>
          <w:tab w:val="num" w:pos="2880"/>
        </w:tabs>
        <w:ind w:left="3360" w:hanging="480"/>
      </w:pPr>
    </w:lvl>
    <w:lvl w:ilvl="5">
      <w:start w:val="193"/>
      <w:numFmt w:val="decimal"/>
      <w:lvlText w:val="(%6)"/>
      <w:lvlJc w:val="left"/>
      <w:pPr>
        <w:tabs>
          <w:tab w:val="num" w:pos="3600"/>
        </w:tabs>
        <w:ind w:left="4080" w:hanging="480"/>
      </w:pPr>
    </w:lvl>
    <w:lvl w:ilvl="6">
      <w:start w:val="193"/>
      <w:numFmt w:val="decimal"/>
      <w:lvlText w:val="(%7)"/>
      <w:lvlJc w:val="left"/>
      <w:pPr>
        <w:tabs>
          <w:tab w:val="num" w:pos="4320"/>
        </w:tabs>
        <w:ind w:left="4800" w:hanging="480"/>
      </w:pPr>
    </w:lvl>
    <w:lvl w:ilvl="7">
      <w:start w:val="193"/>
      <w:numFmt w:val="decimal"/>
      <w:lvlText w:val="(%8)"/>
      <w:lvlJc w:val="left"/>
      <w:pPr>
        <w:tabs>
          <w:tab w:val="num" w:pos="5040"/>
        </w:tabs>
        <w:ind w:left="5520" w:hanging="480"/>
      </w:pPr>
    </w:lvl>
    <w:lvl w:ilvl="8">
      <w:start w:val="193"/>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93"/>
    <w:lvlOverride w:ilvl="0">
      <w:startOverride w:val="193"/>
    </w:lvlOverride>
    <w:lvlOverride w:ilvl="1">
      <w:startOverride w:val="193"/>
    </w:lvlOverride>
    <w:lvlOverride w:ilvl="2">
      <w:startOverride w:val="193"/>
    </w:lvlOverride>
    <w:lvlOverride w:ilvl="3">
      <w:startOverride w:val="193"/>
    </w:lvlOverride>
    <w:lvlOverride w:ilvl="4">
      <w:startOverride w:val="193"/>
    </w:lvlOverride>
    <w:lvlOverride w:ilvl="5">
      <w:startOverride w:val="193"/>
    </w:lvlOverride>
    <w:lvlOverride w:ilvl="6">
      <w:startOverride w:val="193"/>
    </w:lvlOverride>
    <w:lvlOverride w:ilvl="7">
      <w:startOverride w:val="193"/>
    </w:lvlOverride>
    <w:lvlOverride w:ilvl="8">
      <w:startOverride w:val="19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2020-04-05T18:45:59Z</dcterms:created>
  <dcterms:modified xsi:type="dcterms:W3CDTF">2020-04-05T18:45:59Z</dcterms:modified>
</cp:coreProperties>
</file>