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FORGED NDT Intelligence OS</w:t>
      </w:r>
    </w:p>
    <w:p>
      <w:pPr>
        <w:spacing w:after="120"/>
        <w:jc w:val="center"/>
      </w:pPr>
      <w:r>
        <w:rPr>
          <w:rFonts w:ascii="Arial" w:cs="Arial" w:eastAsia="Arial" w:hAnsi="Arial"/>
          <w:color w:val="2D5F8A"/>
          <w:sz w:val="28"/>
          <w:szCs w:val="28"/>
        </w:rPr>
        <w:t xml:space="preserve">10/10 Roadmap: Red Team Fixes + Domain Expansion</w:t>
      </w:r>
    </w:p>
    <w:p>
      <w:pPr>
        <w:spacing w:after="400"/>
        <w:jc w:val="center"/>
      </w:pPr>
      <w:r>
        <w:rPr>
          <w:rFonts w:ascii="Arial" w:cs="Arial" w:eastAsia="Arial" w:hAnsi="Arial"/>
          <w:color w:val="888888"/>
          <w:sz w:val="20"/>
          <w:szCs w:val="20"/>
        </w:rPr>
        <w:t xml:space="preserve">DEPLOY220 through DEPLOY235  |  April 2026  |  Confidential</w:t>
      </w:r>
    </w:p>
    <w:p>
      <w:pPr>
        <w:spacing w:after="120"/>
        <w:jc w:val="center"/>
      </w:pPr>
      <w:r>
        <w:rPr>
          <w:rFonts w:ascii="Arial" w:cs="Arial" w:eastAsia="Arial" w:hAnsi="Arial"/>
          <w:color w:val="555555"/>
          <w:sz w:val="20"/>
          <w:szCs w:val="20"/>
        </w:rPr>
        <w:t xml:space="preserve">This document maps every GPT red-team criticism to a concrete deployment,</w:t>
      </w:r>
    </w:p>
    <w:p>
      <w:pPr>
        <w:spacing w:after="120"/>
        <w:jc w:val="center"/>
      </w:pPr>
      <w:r>
        <w:rPr>
          <w:rFonts w:ascii="Arial" w:cs="Arial" w:eastAsia="Arial" w:hAnsi="Arial"/>
          <w:color w:val="555555"/>
          <w:sz w:val="20"/>
          <w:szCs w:val="20"/>
        </w:rPr>
        <w:t xml:space="preserve">then extends the platform across 10 industry verticals and 3 system-wide upgrades.</w:t>
      </w:r>
    </w:p>
    <w:p>
      <w:pPr>
        <w:jc w:val="center"/>
      </w:pPr>
      <w:r>
        <w:rPr>
          <w:rFonts w:ascii="Arial" w:cs="Arial" w:eastAsia="Arial" w:hAnsi="Arial"/>
          <w:color w:val="555555"/>
          <w:sz w:val="20"/>
          <w:szCs w:val="20"/>
        </w:rPr>
        <w:t xml:space="preserve">Each DEPLOY includes: the problem it solves, the files it touches, and the acceptance criteria.</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Part I: Red Team Scorecard</w:t>
      </w:r>
    </w:p>
    <w:p>
      <w:pPr>
        <w:spacing w:after="120"/>
      </w:pPr>
      <w:r>
        <w:rPr>
          <w:rFonts w:ascii="Arial" w:cs="Arial" w:eastAsia="Arial" w:hAnsi="Arial"/>
          <w:color w:val="333333"/>
          <w:sz w:val="20"/>
          <w:szCs w:val="20"/>
        </w:rPr>
        <w:t xml:space="preserve">The GPT evaluation identified 7 risks and 8 required fixes. After auditing every function in the codebase, here is the current state of each criticism mapped to what actually exists in the code today versus what the evaluator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GPT Criticism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Actual State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Confidence misaligned with physics + OOD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Confidence comes from authority engine (run-authority.ts line 277), not spine. OOD is separate (decision-spine.ts lines 74-99). They never reconcile.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DEPLOY220: Unified confidence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 hallucination" claim overstated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decision-core.ts is 100% deterministic (1704 lines, zero LLM calls). But run-authority.ts lines 32-121 use dual-LLM conflict resolution (OpenAI + Claude). Boundary unmarked.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DEPLOY221: AI boundary tagging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Authority resolution lacks precedence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run-authority.ts has 11 rules in flat array (lines 127-139). hard_reject executes first by position, not by explicit hierarchy. No fallback chain.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DEPLOY222: Authority precedence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Deterministic vs AI boundary unclear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Same root cause as row 2. No function self-declares whether it uses 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DEPLOY221 covers this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Audit not enterprise-grade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export-audit-bundle.ts: SHA-256 hash only (no private key signature). No version locking. No replay prevention. Mismatch warning but no enforcement.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DEPLOY223: Enterprise audit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@ts-nocheck reduces 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House style choice. Every .tsx and .ts file uses it. Risk is cosmetic for demo but real for enterprise.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DEPLOY224: Type safety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Large function count != maturity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42 functions, many untested in production. No health checks, no smoke test suite.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DEPLOY225: Production hardening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 BLOCKED/PROVISIONAL 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decision-core.ts has hold_for_review (line 1431) and engineering_review_required (line 1435). Decision-spine has none. UI shows only ACCEPT/REJECT.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DEPLOY220 covers this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 minimum physics sufficiency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decision-spine.ts tracks coverage % but has no gate. A case with 0% coverage can still produce a REJECT.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DEPLOY220 covers this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 inspector adjudication/override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truth-engine flags adjudication_required (line 190). Planner escalates. But no function accepts an override or records inspector disagreement.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DEPLOY226: Inspector adjudication</w:t>
            </w:r>
          </w:p>
        </w:tc>
      </w:tr>
    </w:tbl>
    <w:p>
      <w:r>
        <w:br w:type="page"/>
      </w:r>
    </w:p>
    <w:p>
      <w:pPr>
        <w:pStyle w:val="Heading1"/>
        <w:spacing w:after="200" w:before="360"/>
      </w:pPr>
      <w:r>
        <w:rPr>
          <w:rFonts w:ascii="Arial" w:cs="Arial" w:eastAsia="Arial" w:hAnsi="Arial"/>
          <w:b/>
          <w:bCs/>
          <w:color w:val="1B3A5C"/>
          <w:sz w:val="32"/>
          <w:szCs w:val="32"/>
        </w:rPr>
        <w:t xml:space="preserve">Part II: Critical Path (DEPLOY220-226)</w:t>
      </w:r>
    </w:p>
    <w:p>
      <w:pPr>
        <w:spacing w:after="120"/>
      </w:pPr>
      <w:r>
        <w:rPr>
          <w:rFonts w:ascii="Arial" w:cs="Arial" w:eastAsia="Arial" w:hAnsi="Arial"/>
          <w:color w:val="333333"/>
          <w:sz w:val="20"/>
          <w:szCs w:val="20"/>
        </w:rPr>
        <w:t xml:space="preserve">These 7 deployments close every gap the red team identified. They should be built in order because each one depends on the previous.</w:t>
      </w:r>
    </w:p>
    <w:p>
      <w:pPr>
        <w:pStyle w:val="Heading2"/>
        <w:spacing w:after="160" w:before="280"/>
      </w:pPr>
      <w:r>
        <w:rPr>
          <w:rFonts w:ascii="Arial" w:cs="Arial" w:eastAsia="Arial" w:hAnsi="Arial"/>
          <w:b/>
          <w:bCs/>
          <w:color w:val="2D5F8A"/>
          <w:sz w:val="26"/>
          <w:szCs w:val="26"/>
        </w:rPr>
        <w:t xml:space="preserve">DEPLOY220: Decision State Machine + Unified Confidence</w:t>
      </w:r>
    </w:p>
    <w:p>
      <w:pPr>
        <w:spacing w:after="120"/>
      </w:pPr>
      <w:r>
        <w:rPr>
          <w:rFonts w:ascii="Arial" w:cs="Arial" w:eastAsia="Arial" w:hAnsi="Arial"/>
          <w:b/>
          <w:bCs/>
          <w:color w:val="CC0000"/>
          <w:sz w:val="20"/>
          <w:szCs w:val="20"/>
        </w:rPr>
        <w:t xml:space="preserve">FIXES: </w:t>
      </w:r>
      <w:r>
        <w:rPr>
          <w:rFonts w:ascii="Arial" w:cs="Arial" w:eastAsia="Arial" w:hAnsi="Arial"/>
          <w:color w:val="333333"/>
          <w:sz w:val="20"/>
          <w:szCs w:val="20"/>
        </w:rPr>
        <w:t xml:space="preserve">Confidence misaligned, no BLOCKED/PROVISIONAL states, no minimum physics sufficiency</w:t>
      </w:r>
    </w:p>
    <w:p>
      <w:pPr>
        <w:spacing w:after="120"/>
      </w:pPr>
      <w:r>
        <w:rPr>
          <w:rFonts w:ascii="Arial" w:cs="Arial" w:eastAsia="Arial" w:hAnsi="Arial"/>
          <w:color w:val="333333"/>
          <w:sz w:val="20"/>
          <w:szCs w:val="20"/>
        </w:rPr>
        <w:t xml:space="preserve">This is the highest-impact deploy. It replaces the current loose coupling between decision-spine, run-authority, and decision-core with a formal state machine that enforces physics sufficiency before any decision can be issued.</w:t>
      </w:r>
    </w:p>
    <w:p>
      <w:pPr>
        <w:pStyle w:val="Heading3"/>
        <w:spacing w:after="120" w:before="200"/>
      </w:pPr>
      <w:r>
        <w:rPr>
          <w:rFonts w:ascii="Arial" w:cs="Arial" w:eastAsia="Arial" w:hAnsi="Arial"/>
          <w:b/>
          <w:bCs/>
          <w:color w:val="3A7CA5"/>
          <w:sz w:val="22"/>
          <w:szCs w:val="22"/>
        </w:rPr>
        <w:t xml:space="preserve">New Decision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Physics coverage &lt; 60% OR critical inputs missing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System refuses to issue any decision. UI shows exactly what data is missing.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PROVISIONAL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Physics coverage 60-85% OR OOD marginal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 issued with mandatory human review flag. Cannot be authority-locked.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ADVISORY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AI-sourced findings present without measurement confirmation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 is informational only. Clearly labeled as AI-assisted, not code-authoritative.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AUTHORITY 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Physics &gt;= 85%, all hard rules pass, no BLOCKED actions in planner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Final, immutable, signed decision. Full audit trail. This is the only state that produces a regulatory-grade output.</w:t>
            </w:r>
          </w:p>
        </w:tc>
      </w:tr>
    </w:tbl>
    <w:p>
      <w:pPr>
        <w:pStyle w:val="Heading3"/>
        <w:spacing w:after="120" w:before="200"/>
      </w:pPr>
      <w:r>
        <w:rPr>
          <w:rFonts w:ascii="Arial" w:cs="Arial" w:eastAsia="Arial" w:hAnsi="Arial"/>
          <w:b/>
          <w:bCs/>
          <w:color w:val="3A7CA5"/>
          <w:sz w:val="22"/>
          <w:szCs w:val="22"/>
        </w:rPr>
        <w:t xml:space="preserve">Unified Confidence Model</w:t>
      </w:r>
    </w:p>
    <w:p>
      <w:pPr>
        <w:spacing w:after="120"/>
      </w:pPr>
      <w:r>
        <w:rPr>
          <w:rFonts w:ascii="Arial" w:cs="Arial" w:eastAsia="Arial" w:hAnsi="Arial"/>
          <w:color w:val="333333"/>
          <w:sz w:val="20"/>
          <w:szCs w:val="20"/>
        </w:rPr>
        <w:t xml:space="preserve">Current problem: confidence comes from run-authority (dual-LLM agreement scoring), OOD comes from decision-spine (cosine similarity), and physics coverage is a separate percentage. They never reconcile. A case can show 98% confidence with 50% physics coverage and OOD UNKNOWN simultaneously.</w:t>
      </w:r>
    </w:p>
    <w:p>
      <w:pPr>
        <w:spacing w:after="120"/>
      </w:pPr>
      <w:r>
        <w:rPr>
          <w:rFonts w:ascii="Arial" w:cs="Arial" w:eastAsia="Arial" w:hAnsi="Arial"/>
          <w:color w:val="333333"/>
          <w:sz w:val="20"/>
          <w:szCs w:val="20"/>
        </w:rPr>
        <w:t xml:space="preserve">Fix: Replace with a single composite score. Final confidence = min(authority_confidence, physics_coverage_fraction) * ood_discount. OOD discount: in_distribution = 1.0, marginal = 0.75, out_of_distribution = 0.50. This means a case with 50% physics coverage can never show more than 50% confidence regardless of how many rules it passes.</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netlify/functions/decision-spine.ts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STATE_MACHINE enum, enforce physics gate before decision, compute unified confidence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netlify/functions/run-authority.ts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Consume state machine output instead of computing confidence independently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src/components/DecisionSpineCard.tsx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Render all 4 states with distinct colors and explanatory text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DEPLOY220-migration.sql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decision_state (text) and unified_confidence (numeric) columns to inspection_cases</w:t>
            </w:r>
          </w:p>
        </w:tc>
      </w:tr>
    </w:tbl>
    <w:p>
      <w:pPr>
        <w:pStyle w:val="Heading3"/>
        <w:spacing w:after="120" w:before="200"/>
      </w:pPr>
      <w:r>
        <w:rPr>
          <w:rFonts w:ascii="Arial" w:cs="Arial" w:eastAsia="Arial" w:hAnsi="Arial"/>
          <w:b/>
          <w:bCs/>
          <w:color w:val="3A7CA5"/>
          <w:sz w:val="22"/>
          <w:szCs w:val="22"/>
        </w:rPr>
        <w:t xml:space="preserve">Acceptance Criteria</w:t>
      </w:r>
    </w:p>
    <w:p>
      <w:pPr>
        <w:spacing w:after="120"/>
      </w:pPr>
      <w:r>
        <w:rPr>
          <w:rFonts w:ascii="Arial" w:cs="Arial" w:eastAsia="Arial" w:hAnsi="Arial"/>
          <w:color w:val="333333"/>
          <w:sz w:val="20"/>
          <w:szCs w:val="20"/>
        </w:rPr>
        <w:t xml:space="preserve">1. A case with 0% physics coverage shows BLOCKED, not REJECT. 2. A case with 70% coverage shows PROVISIONAL with review flag. 3. Unified confidence never exceeds physics coverage fraction. 4. OOD out_of_distribution halves the displayed confidence. 5. Only AUTHORITY LOCKED state can generate an audit bundle.</w:t>
      </w:r>
    </w:p>
    <w:p>
      <w:r>
        <w:br w:type="page"/>
      </w:r>
    </w:p>
    <w:p>
      <w:pPr>
        <w:pStyle w:val="Heading2"/>
        <w:spacing w:after="160" w:before="280"/>
      </w:pPr>
      <w:r>
        <w:rPr>
          <w:rFonts w:ascii="Arial" w:cs="Arial" w:eastAsia="Arial" w:hAnsi="Arial"/>
          <w:b/>
          <w:bCs/>
          <w:color w:val="2D5F8A"/>
          <w:sz w:val="26"/>
          <w:szCs w:val="26"/>
        </w:rPr>
        <w:t xml:space="preserve">DEPLOY221: AI Boundary Enforcement</w:t>
      </w:r>
    </w:p>
    <w:p>
      <w:pPr>
        <w:spacing w:after="120"/>
      </w:pPr>
      <w:r>
        <w:rPr>
          <w:rFonts w:ascii="Arial" w:cs="Arial" w:eastAsia="Arial" w:hAnsi="Arial"/>
          <w:b/>
          <w:bCs/>
          <w:color w:val="CC0000"/>
          <w:sz w:val="20"/>
          <w:szCs w:val="20"/>
        </w:rPr>
        <w:t xml:space="preserve">FIXES: </w:t>
      </w:r>
      <w:r>
        <w:rPr>
          <w:rFonts w:ascii="Arial" w:cs="Arial" w:eastAsia="Arial" w:hAnsi="Arial"/>
          <w:color w:val="333333"/>
          <w:sz w:val="20"/>
          <w:szCs w:val="20"/>
        </w:rPr>
        <w:t xml:space="preserve">"No hallucination" claim overstated, deterministic vs AI boundary unclear</w:t>
      </w:r>
    </w:p>
    <w:p>
      <w:pPr>
        <w:spacing w:after="120"/>
      </w:pPr>
      <w:r>
        <w:rPr>
          <w:rFonts w:ascii="Arial" w:cs="Arial" w:eastAsia="Arial" w:hAnsi="Arial"/>
          <w:color w:val="333333"/>
          <w:sz w:val="20"/>
          <w:szCs w:val="20"/>
        </w:rPr>
        <w:t xml:space="preserve">Every function already falls into one of two categories: pure deterministic (decision-core, truth-engine, decision-spine, planner-agent, material-authority, composite-repair-authority) or AI-assisted (run-authority conflict resolution, chat, observation-layer, reasoning-layer, embed-case). The problem is that nothing in the code or UI declares which category a function belongs to.</w:t>
      </w:r>
    </w:p>
    <w:p>
      <w:pPr>
        <w:pStyle w:val="Heading3"/>
        <w:spacing w:after="120" w:before="200"/>
      </w:pPr>
      <w:r>
        <w:rPr>
          <w:rFonts w:ascii="Arial" w:cs="Arial" w:eastAsia="Arial" w:hAnsi="Arial"/>
          <w:b/>
          <w:bCs/>
          <w:color w:val="3A7CA5"/>
          <w:sz w:val="22"/>
          <w:szCs w:val="22"/>
        </w:rPr>
        <w:t xml:space="preserve">Implementation</w:t>
      </w:r>
    </w:p>
    <w:p>
      <w:pPr>
        <w:spacing w:after="120"/>
      </w:pPr>
      <w:r>
        <w:rPr>
          <w:rFonts w:ascii="Arial" w:cs="Arial" w:eastAsia="Arial" w:hAnsi="Arial"/>
          <w:color w:val="333333"/>
          <w:sz w:val="20"/>
          <w:szCs w:val="20"/>
        </w:rPr>
        <w:t xml:space="preserve">Add an execution_mode header to every function response: "deterministic" or "ai_assisted". Each function self-declares at the top of its handler. The UI renders a small badge on each card: a green lock icon for deterministic outputs and an amber brain icon for AI-assisted outputs. The audit bundle records the execution_mode of every function that contributed to the decision.</w:t>
      </w:r>
    </w:p>
    <w:p>
      <w:pPr>
        <w:spacing w:after="120"/>
      </w:pPr>
      <w:r>
        <w:rPr>
          <w:rFonts w:ascii="Arial" w:cs="Arial" w:eastAsia="Arial" w:hAnsi="Arial"/>
          <w:color w:val="333333"/>
          <w:sz w:val="20"/>
          <w:szCs w:val="20"/>
        </w:rPr>
        <w:t xml:space="preserve">For run-authority.ts specifically: split the function into two phases. Phase 1 (deterministic): threshold rules, wall loss calculations, hard reject logic. Phase 2 (AI-assisted): dual-LLM conflict resolution. The audit bundle records both phases separately with their execution modes. The "no hallucination" claim is reframed: "All authority decisions are deterministic. AI assists with evidence classification but never overrides code-based rules."</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All 42 netlify/functions/*.ts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execution_mode: 'deterministic' | 'ai_assisted' to response JSON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netlify/functions/run-authority.ts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Split into deterministic phase + AI phase with separate tracking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src/components/* (all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Render execution mode badge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netlify/functions/export-audit-bundle.ts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Record execution_mode per contributing function</w:t>
            </w:r>
          </w:p>
        </w:tc>
      </w:tr>
    </w:tbl>
    <w:p>
      <w:r>
        <w:br w:type="page"/>
      </w:r>
    </w:p>
    <w:p>
      <w:pPr>
        <w:pStyle w:val="Heading2"/>
        <w:spacing w:after="160" w:before="280"/>
      </w:pPr>
      <w:r>
        <w:rPr>
          <w:rFonts w:ascii="Arial" w:cs="Arial" w:eastAsia="Arial" w:hAnsi="Arial"/>
          <w:b/>
          <w:bCs/>
          <w:color w:val="2D5F8A"/>
          <w:sz w:val="26"/>
          <w:szCs w:val="26"/>
        </w:rPr>
        <w:t xml:space="preserve">DEPLOY222: Authority Precedence Engine</w:t>
      </w:r>
    </w:p>
    <w:p>
      <w:pPr>
        <w:spacing w:after="120"/>
      </w:pPr>
      <w:r>
        <w:rPr>
          <w:rFonts w:ascii="Arial" w:cs="Arial" w:eastAsia="Arial" w:hAnsi="Arial"/>
          <w:b/>
          <w:bCs/>
          <w:color w:val="CC0000"/>
          <w:sz w:val="20"/>
          <w:szCs w:val="20"/>
        </w:rPr>
        <w:t xml:space="preserve">FIXES: </w:t>
      </w:r>
      <w:r>
        <w:rPr>
          <w:rFonts w:ascii="Arial" w:cs="Arial" w:eastAsia="Arial" w:hAnsi="Arial"/>
          <w:color w:val="333333"/>
          <w:sz w:val="20"/>
          <w:szCs w:val="20"/>
        </w:rPr>
        <w:t xml:space="preserve">Authority resolution lacks explicit precedence and fallback rules</w:t>
      </w:r>
    </w:p>
    <w:p>
      <w:pPr>
        <w:spacing w:after="120"/>
      </w:pPr>
      <w:r>
        <w:rPr>
          <w:rFonts w:ascii="Arial" w:cs="Arial" w:eastAsia="Arial" w:hAnsi="Arial"/>
          <w:color w:val="333333"/>
          <w:sz w:val="20"/>
          <w:szCs w:val="20"/>
        </w:rPr>
        <w:t xml:space="preserve">Current state: run-authority.ts has 11 rules in a flat array. hard_reject rules execute first only because they appear earlier in the array. There is no explicit hierarchy, no conflict resolution when two codes disagree, and no fallback when a code is inapplicable.</w:t>
      </w:r>
    </w:p>
    <w:p>
      <w:pPr>
        <w:pStyle w:val="Heading3"/>
        <w:spacing w:after="120" w:before="200"/>
      </w:pPr>
      <w:r>
        <w:rPr>
          <w:rFonts w:ascii="Arial" w:cs="Arial" w:eastAsia="Arial" w:hAnsi="Arial"/>
          <w:b/>
          <w:bCs/>
          <w:color w:val="3A7CA5"/>
          <w:sz w:val="22"/>
          <w:szCs w:val="22"/>
        </w:rPr>
        <w:t xml:space="preserve">Precedence Hierarchy</w:t>
      </w:r>
    </w:p>
    <w:p>
      <w:pPr>
        <w:spacing w:after="120"/>
      </w:pPr>
      <w:r>
        <w:rPr>
          <w:rFonts w:ascii="Arial" w:cs="Arial" w:eastAsia="Arial" w:hAnsi="Arial"/>
          <w:color w:val="333333"/>
          <w:sz w:val="20"/>
          <w:szCs w:val="20"/>
        </w:rPr>
        <w:t xml:space="preserve">Implement a formal 4-tier resolution order: Tier 1 (Jurisdictional): NRC/OSHA/state regulations override everything. Tier 2 (Owner-specified): The asset owner's inspection plan and acceptance criteria. Tier 3 (Consensus codes): API 510, API 570, ASME PCC-2, etc. Tier 4 (Industry practice): Best practices, manufacturer recommendations. When two codes at the same tier conflict, the more conservative (stricter) result wins. Each resolved conflict is recorded in the audit trail with the specific clause references.</w:t>
      </w:r>
    </w:p>
    <w:p>
      <w:pPr>
        <w:pStyle w:val="Heading3"/>
        <w:spacing w:after="120" w:before="200"/>
      </w:pPr>
      <w:r>
        <w:rPr>
          <w:rFonts w:ascii="Arial" w:cs="Arial" w:eastAsia="Arial" w:hAnsi="Arial"/>
          <w:b/>
          <w:bCs/>
          <w:color w:val="3A7CA5"/>
          <w:sz w:val="22"/>
          <w:szCs w:val="22"/>
        </w:rPr>
        <w:t xml:space="preserve">Fallback Chain</w:t>
      </w:r>
    </w:p>
    <w:p>
      <w:pPr>
        <w:spacing w:after="120"/>
      </w:pPr>
      <w:r>
        <w:rPr>
          <w:rFonts w:ascii="Arial" w:cs="Arial" w:eastAsia="Arial" w:hAnsi="Arial"/>
          <w:color w:val="333333"/>
          <w:sz w:val="20"/>
          <w:szCs w:val="20"/>
        </w:rPr>
        <w:t xml:space="preserve">When a primary code is inapplicable (e.g., API 510 on a non-pressure-vessel), the engine walks the chain: primary code -&gt; owner specification -&gt; general ASME Section V -&gt; engineering judgment (flagged ADVISORY). If no code applies, the decision state becomes PROVISIONAL with a mandatory "code applicability review" action in the planner.</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netlify/functions/run-authority.ts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Replace flat AUTHORITY_RULES array with tiered precedence engine. Add conflict resolution log.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netlify/functions/code-authority-resolution.ts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fallback chain logic and inapplicability detection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netlify/functions/governance-matrix.ts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tier classification for each code family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DEPLOY222-migration.sql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authority_precedence_log (jsonb) to inspection_cases</w:t>
            </w:r>
          </w:p>
        </w:tc>
      </w:tr>
    </w:tbl>
    <w:p>
      <w:r>
        <w:br w:type="page"/>
      </w:r>
    </w:p>
    <w:p>
      <w:pPr>
        <w:pStyle w:val="Heading2"/>
        <w:spacing w:after="160" w:before="280"/>
      </w:pPr>
      <w:r>
        <w:rPr>
          <w:rFonts w:ascii="Arial" w:cs="Arial" w:eastAsia="Arial" w:hAnsi="Arial"/>
          <w:b/>
          <w:bCs/>
          <w:color w:val="2D5F8A"/>
          <w:sz w:val="26"/>
          <w:szCs w:val="26"/>
        </w:rPr>
        <w:t xml:space="preserve">DEPLOY223: Enterprise Audit System</w:t>
      </w:r>
    </w:p>
    <w:p>
      <w:pPr>
        <w:spacing w:after="120"/>
      </w:pPr>
      <w:r>
        <w:rPr>
          <w:rFonts w:ascii="Arial" w:cs="Arial" w:eastAsia="Arial" w:hAnsi="Arial"/>
          <w:b/>
          <w:bCs/>
          <w:color w:val="CC0000"/>
          <w:sz w:val="20"/>
          <w:szCs w:val="20"/>
        </w:rPr>
        <w:t xml:space="preserve">FIXES: </w:t>
      </w:r>
      <w:r>
        <w:rPr>
          <w:rFonts w:ascii="Arial" w:cs="Arial" w:eastAsia="Arial" w:hAnsi="Arial"/>
          <w:color w:val="333333"/>
          <w:sz w:val="20"/>
          <w:szCs w:val="20"/>
        </w:rPr>
        <w:t xml:space="preserve">Audit system not enterprise-grade, no versioning, no immutability, no replay</w:t>
      </w:r>
    </w:p>
    <w:p>
      <w:pPr>
        <w:spacing w:after="120"/>
      </w:pPr>
      <w:r>
        <w:rPr>
          <w:rFonts w:ascii="Arial" w:cs="Arial" w:eastAsia="Arial" w:hAnsi="Arial"/>
          <w:color w:val="333333"/>
          <w:sz w:val="20"/>
          <w:szCs w:val="20"/>
        </w:rPr>
        <w:t xml:space="preserve">Current state: export-audit-bundle.ts computes a SHA-256 hash of the bundle JSON. This is a digest, not a signature. There is no private key. The hash is stored in the same database row as the bundle, meaning anyone with database access can modify both. There is no version history and no replay prevention.</w:t>
      </w:r>
    </w:p>
    <w:p>
      <w:pPr>
        <w:pStyle w:val="Heading3"/>
        <w:spacing w:after="120" w:before="200"/>
      </w:pPr>
      <w:r>
        <w:rPr>
          <w:rFonts w:ascii="Arial" w:cs="Arial" w:eastAsia="Arial" w:hAnsi="Arial"/>
          <w:b/>
          <w:bCs/>
          <w:color w:val="3A7CA5"/>
          <w:sz w:val="22"/>
          <w:szCs w:val="22"/>
        </w:rPr>
        <w:t xml:space="preserve">Upgrades</w:t>
      </w:r>
    </w:p>
    <w:p>
      <w:pPr>
        <w:spacing w:after="120"/>
      </w:pPr>
      <w:r>
        <w:rPr>
          <w:rFonts w:ascii="Arial" w:cs="Arial" w:eastAsia="Arial" w:hAnsi="Arial"/>
          <w:color w:val="333333"/>
          <w:sz w:val="20"/>
          <w:szCs w:val="20"/>
        </w:rPr>
        <w:t xml:space="preserve">1. Cryptographic signing: Generate an Ed25519 keypair per organization. Sign bundles with the private key. Store the public key separately. Verification does not require database trust. 2. Version chain: Each bundle includes the hash of the previous bundle for that case, creating an append-only chain (like a blockchain per case). Tampering with any historical bundle breaks the chain. 3. Immutability: Once signed, the bundle is written to a separate audit_bundles table with an INSERT-only RLS policy (no UPDATE, no DELETE). 4. Replay guarantee: Store the complete input snapshot (all evidence, measurements, findings at the moment of decision) so the exact same output can be reproduced by re-running the deterministic pipeline. 5. Tamper detection: A verification endpoint that walks the chain and validates every signature.</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netlify/functions/export-audit-bundle.ts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Replace SHA-256 digest with Ed25519 signature. Add chain linking. Write to audit_bundles 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netlify/functions/verify-audit-chain.ts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Walks the audit chain for a case, validates all signatures, reports integrity.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DEPLOY223-migration.sql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Create audit_bundles table (INSERT-only RLS). Add org_signing_keys table. Add chain_hash column.</w:t>
            </w:r>
          </w:p>
        </w:tc>
      </w:tr>
    </w:tbl>
    <w:p>
      <w:r>
        <w:br w:type="page"/>
      </w:r>
    </w:p>
    <w:p>
      <w:pPr>
        <w:pStyle w:val="Heading2"/>
        <w:spacing w:after="160" w:before="280"/>
      </w:pPr>
      <w:r>
        <w:rPr>
          <w:rFonts w:ascii="Arial" w:cs="Arial" w:eastAsia="Arial" w:hAnsi="Arial"/>
          <w:b/>
          <w:bCs/>
          <w:color w:val="2D5F8A"/>
          <w:sz w:val="26"/>
          <w:szCs w:val="26"/>
        </w:rPr>
        <w:t xml:space="preserve">DEPLOY224: Type Safety Layer</w:t>
      </w:r>
    </w:p>
    <w:p>
      <w:pPr>
        <w:spacing w:after="120"/>
      </w:pPr>
      <w:r>
        <w:rPr>
          <w:rFonts w:ascii="Arial" w:cs="Arial" w:eastAsia="Arial" w:hAnsi="Arial"/>
          <w:b/>
          <w:bCs/>
          <w:color w:val="CC7A00"/>
          <w:sz w:val="20"/>
          <w:szCs w:val="20"/>
        </w:rPr>
        <w:t xml:space="preserve">FIXES: </w:t>
      </w:r>
      <w:r>
        <w:rPr>
          <w:rFonts w:ascii="Arial" w:cs="Arial" w:eastAsia="Arial" w:hAnsi="Arial"/>
          <w:color w:val="333333"/>
          <w:sz w:val="20"/>
          <w:szCs w:val="20"/>
        </w:rPr>
        <w:t xml:space="preserve">@ts-nocheck reduces perceived reliability</w:t>
      </w:r>
    </w:p>
    <w:p>
      <w:pPr>
        <w:spacing w:after="120"/>
      </w:pPr>
      <w:r>
        <w:rPr>
          <w:rFonts w:ascii="Arial" w:cs="Arial" w:eastAsia="Arial" w:hAnsi="Arial"/>
          <w:color w:val="333333"/>
          <w:sz w:val="20"/>
          <w:szCs w:val="20"/>
        </w:rPr>
        <w:t xml:space="preserve">The house style (@ts-nocheck, var-only, string concatenation) exists for development speed. For enterprise credibility, introduce a types/ directory with shared interfaces that all functions import. Keep @ts-nocheck on component files but remove it from critical-path functions (decision-spine, run-authority, export-audit-bundle, decision-core, truth-engine). This signals to evaluators that safety-critical code has type guarantees while preserving the rapid development style elsewhere.</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src/types/decision.ts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Shared interfaces for DecisionState, UnifiedConfidence, AuthorityResult, AuditBundle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src/types/materials.ts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Shared interfaces for MaterialClass, Mechanism, InspectionPlan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 critical-path functions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Remove @ts-nocheck, add proper type annotations, import shared types</w:t>
            </w:r>
          </w:p>
        </w:tc>
      </w:tr>
    </w:tbl>
    <w:p>
      <w:r>
        <w:br w:type="page"/>
      </w:r>
    </w:p>
    <w:p>
      <w:pPr>
        <w:pStyle w:val="Heading2"/>
        <w:spacing w:after="160" w:before="280"/>
      </w:pPr>
      <w:r>
        <w:rPr>
          <w:rFonts w:ascii="Arial" w:cs="Arial" w:eastAsia="Arial" w:hAnsi="Arial"/>
          <w:b/>
          <w:bCs/>
          <w:color w:val="2D5F8A"/>
          <w:sz w:val="26"/>
          <w:szCs w:val="26"/>
        </w:rPr>
        <w:t xml:space="preserve">DEPLOY225: Production Hardening</w:t>
      </w:r>
    </w:p>
    <w:p>
      <w:pPr>
        <w:spacing w:after="120"/>
      </w:pPr>
      <w:r>
        <w:rPr>
          <w:rFonts w:ascii="Arial" w:cs="Arial" w:eastAsia="Arial" w:hAnsi="Arial"/>
          <w:b/>
          <w:bCs/>
          <w:color w:val="CC7A00"/>
          <w:sz w:val="20"/>
          <w:szCs w:val="20"/>
        </w:rPr>
        <w:t xml:space="preserve">FIXES: </w:t>
      </w:r>
      <w:r>
        <w:rPr>
          <w:rFonts w:ascii="Arial" w:cs="Arial" w:eastAsia="Arial" w:hAnsi="Arial"/>
          <w:color w:val="333333"/>
          <w:sz w:val="20"/>
          <w:szCs w:val="20"/>
        </w:rPr>
        <w:t xml:space="preserve">Large function count does not guarantee production maturity</w:t>
      </w:r>
    </w:p>
    <w:p>
      <w:pPr>
        <w:spacing w:after="120"/>
      </w:pPr>
      <w:r>
        <w:rPr>
          <w:rFonts w:ascii="Arial" w:cs="Arial" w:eastAsia="Arial" w:hAnsi="Arial"/>
          <w:color w:val="333333"/>
          <w:sz w:val="20"/>
          <w:szCs w:val="20"/>
        </w:rPr>
        <w:t xml:space="preserve">Add a /api/health endpoint that smoke-tests every critical function. Add structured error handling with error codes (not just string messages). Add request validation (zod schemas) on all POST endpoints. Add rate limiting per organization. Add a function dependency map so the UI can show which functions contributed to each decision.</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netlify/functions/health.ts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Smoke-tests DB connection, critical functions, returns system 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netlify/functions/shared/validate.ts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Zod schemas for all POST request bodies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netlify/functions/shared/errors.ts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Structured error codes (CASE_NOT_FOUND, INSUFFICIENT_EVIDENCE, etc.)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All 42 functions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Add try/catch with structured error responses, input validation</w:t>
            </w:r>
          </w:p>
        </w:tc>
      </w:tr>
    </w:tbl>
    <w:p>
      <w:r>
        <w:br w:type="page"/>
      </w:r>
    </w:p>
    <w:p>
      <w:pPr>
        <w:pStyle w:val="Heading2"/>
        <w:spacing w:after="160" w:before="280"/>
      </w:pPr>
      <w:r>
        <w:rPr>
          <w:rFonts w:ascii="Arial" w:cs="Arial" w:eastAsia="Arial" w:hAnsi="Arial"/>
          <w:b/>
          <w:bCs/>
          <w:color w:val="2D5F8A"/>
          <w:sz w:val="26"/>
          <w:szCs w:val="26"/>
        </w:rPr>
        <w:t xml:space="preserve">DEPLOY226: Inspector Adjudication Engine</w:t>
      </w:r>
    </w:p>
    <w:p>
      <w:pPr>
        <w:spacing w:after="120"/>
      </w:pPr>
      <w:r>
        <w:rPr>
          <w:rFonts w:ascii="Arial" w:cs="Arial" w:eastAsia="Arial" w:hAnsi="Arial"/>
          <w:b/>
          <w:bCs/>
          <w:color w:val="CC0000"/>
          <w:sz w:val="20"/>
          <w:szCs w:val="20"/>
        </w:rPr>
        <w:t xml:space="preserve">FIXES: </w:t>
      </w:r>
      <w:r>
        <w:rPr>
          <w:rFonts w:ascii="Arial" w:cs="Arial" w:eastAsia="Arial" w:hAnsi="Arial"/>
          <w:color w:val="333333"/>
          <w:sz w:val="20"/>
          <w:szCs w:val="20"/>
        </w:rPr>
        <w:t xml:space="preserve">No inspector override tracking, no adjudication mechanism</w:t>
      </w:r>
    </w:p>
    <w:p>
      <w:pPr>
        <w:spacing w:after="120"/>
      </w:pPr>
      <w:r>
        <w:rPr>
          <w:rFonts w:ascii="Arial" w:cs="Arial" w:eastAsia="Arial" w:hAnsi="Arial"/>
          <w:color w:val="333333"/>
          <w:sz w:val="20"/>
          <w:szCs w:val="20"/>
        </w:rPr>
        <w:t xml:space="preserve">Current state: truth-engine flags adjudication_required but there is no function that accepts an inspector's override decision, no UI to record it, and no audit trail of disagreements. This is the single biggest gap for enterprise adoption because every real inspection organization needs inspectors to be able to override or concur with system decisions.</w:t>
      </w:r>
    </w:p>
    <w:p>
      <w:pPr>
        <w:pStyle w:val="Heading3"/>
        <w:spacing w:after="120" w:before="200"/>
      </w:pPr>
      <w:r>
        <w:rPr>
          <w:rFonts w:ascii="Arial" w:cs="Arial" w:eastAsia="Arial" w:hAnsi="Arial"/>
          <w:b/>
          <w:bCs/>
          <w:color w:val="3A7CA5"/>
          <w:sz w:val="22"/>
          <w:szCs w:val="22"/>
        </w:rPr>
        <w:t xml:space="preserve">Implementation</w:t>
      </w:r>
    </w:p>
    <w:p>
      <w:pPr>
        <w:spacing w:after="120"/>
      </w:pPr>
      <w:r>
        <w:rPr>
          <w:rFonts w:ascii="Arial" w:cs="Arial" w:eastAsia="Arial" w:hAnsi="Arial"/>
          <w:color w:val="333333"/>
          <w:sz w:val="20"/>
          <w:szCs w:val="20"/>
        </w:rPr>
        <w:t xml:space="preserve">New function: inspector-adjudication.ts. Accepts: case_id, inspector_id, adjudication_type (concur, override, escalate), override_decision (if overriding), rationale (free text, required), evidence_references (optional). The override does NOT modify the original system decision. Instead, it creates a parallel record: the system said X, the inspector said Y, with full rationale. The final case disposition becomes the inspector's decision, but the system decision is preserved for comparison. The audit bundle includes both. A new InspectorAdjudicationCard renders on the Decision tab showing the current adjudication status, any overrides, and the rationale.</w:t>
      </w:r>
    </w:p>
    <w:p>
      <w:pPr>
        <w:spacing w:after="120"/>
      </w:pPr>
      <w:r>
        <w:rPr>
          <w:rFonts w:ascii="Arial" w:cs="Arial" w:eastAsia="Arial" w:hAnsi="Arial"/>
          <w:color w:val="333333"/>
          <w:sz w:val="20"/>
          <w:szCs w:val="20"/>
        </w:rPr>
        <w:t xml:space="preserve">Analytics function: inspector-disagreement-analysis.ts. Aggregates all cases where inspectors overrode system decisions. Shows patterns: which rules get overridden most, which inspectors disagree most, whether overrides correlate with better outcomes. This feeds the Human Intelligence Layer in the expansion roadmap.</w:t>
      </w:r>
    </w:p>
    <w:p>
      <w:pPr>
        <w:pStyle w:val="Heading3"/>
        <w:spacing w:after="120" w:before="200"/>
      </w:pPr>
      <w:r>
        <w:rPr>
          <w:rFonts w:ascii="Arial" w:cs="Arial" w:eastAsia="Arial" w:hAnsi="Arial"/>
          <w:b/>
          <w:bCs/>
          <w:color w:val="3A7CA5"/>
          <w:sz w:val="22"/>
          <w:szCs w:val="22"/>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netlify/functions/inspector-adjudication.ts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Records inspector concur/override/escalate with rationale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netlify/functions/inspector-disagreement-analysis.ts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Aggregates override patterns for training feedback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src/components/InspectorAdjudicationCard.tsx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UI for adjudication with rationale input and history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src/pages/CaseDetail.tsx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Mount InspectorAdjudicationCard on Decision tab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DEPLOY226-migration.sql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Create inspector_adjudications table with FK to inspection_cases and profiles</w:t>
            </w:r>
          </w:p>
        </w:tc>
      </w:tr>
    </w:tbl>
    <w:p>
      <w:r>
        <w:br w:type="page"/>
      </w:r>
    </w:p>
    <w:p>
      <w:pPr>
        <w:pStyle w:val="Heading1"/>
        <w:spacing w:after="200" w:before="360"/>
      </w:pPr>
      <w:r>
        <w:rPr>
          <w:rFonts w:ascii="Arial" w:cs="Arial" w:eastAsia="Arial" w:hAnsi="Arial"/>
          <w:b/>
          <w:bCs/>
          <w:color w:val="1B3A5C"/>
          <w:sz w:val="32"/>
          <w:szCs w:val="32"/>
        </w:rPr>
        <w:t xml:space="preserve">Part III: Domain Expansion (DEPLOY227-235)</w:t>
      </w:r>
    </w:p>
    <w:p>
      <w:pPr>
        <w:spacing w:after="120"/>
      </w:pPr>
      <w:r>
        <w:rPr>
          <w:rFonts w:ascii="Arial" w:cs="Arial" w:eastAsia="Arial" w:hAnsi="Arial"/>
          <w:color w:val="333333"/>
          <w:sz w:val="20"/>
          <w:szCs w:val="20"/>
        </w:rPr>
        <w:t xml:space="preserve">With the red team gaps closed, the platform can expand into new industry verticals. Each DEPLOY adds a domain-specific module that plugs into the existing three-layer stack. The architecture is the same: domain-specific physics rules feed into the governance matrix, which feeds into the decision spine. No new architecture is needed, only new rule sets and code libraries.</w:t>
      </w:r>
    </w:p>
    <w:p>
      <w:pPr>
        <w:pStyle w:val="Heading2"/>
        <w:spacing w:after="160" w:before="280"/>
      </w:pPr>
      <w:r>
        <w:rPr>
          <w:rFonts w:ascii="Arial" w:cs="Arial" w:eastAsia="Arial" w:hAnsi="Arial"/>
          <w:b/>
          <w:bCs/>
          <w:color w:val="2D5F8A"/>
          <w:sz w:val="26"/>
          <w:szCs w:val="26"/>
        </w:rPr>
        <w:t xml:space="preserve">DEPLOY227: Universal Damage Mechanism Engine (API 571)</w:t>
      </w:r>
    </w:p>
    <w:p>
      <w:pPr>
        <w:spacing w:after="120"/>
      </w:pPr>
      <w:r>
        <w:rPr>
          <w:rFonts w:ascii="Arial" w:cs="Arial" w:eastAsia="Arial" w:hAnsi="Arial"/>
          <w:color w:val="333333"/>
          <w:sz w:val="20"/>
          <w:szCs w:val="20"/>
        </w:rPr>
        <w:t xml:space="preserve">Foundation for all domain expansion. Replaces ad-hoc mechanism detection with a structured engine that maps 70+ damage mechanisms from API 571 to their detection methods, susceptibility factors, and inspection intervals. Every domain module references this engine rather than reimplementing mechanism logic.</w:t>
      </w:r>
    </w:p>
    <w:p>
      <w:pPr>
        <w:pStyle w:val="Heading3"/>
        <w:spacing w:after="120" w:before="200"/>
      </w:pPr>
      <w:r>
        <w:rPr>
          <w:rFonts w:ascii="Arial" w:cs="Arial" w:eastAsia="Arial" w:hAnsi="Arial"/>
          <w:b/>
          <w:bCs/>
          <w:color w:val="3A7CA5"/>
          <w:sz w:val="22"/>
          <w:szCs w:val="22"/>
        </w:rPr>
        <w:t xml:space="preserve">Scope</w:t>
      </w:r>
    </w:p>
    <w:p>
      <w:pPr>
        <w:spacing w:after="120"/>
      </w:pPr>
      <w:r>
        <w:rPr>
          <w:rFonts w:ascii="Arial" w:cs="Arial" w:eastAsia="Arial" w:hAnsi="Arial"/>
          <w:color w:val="333333"/>
          <w:sz w:val="20"/>
          <w:szCs w:val="20"/>
        </w:rPr>
        <w:t xml:space="preserve">Full API 571 mechanism catalog with: mechanism ID, name, material susceptibility, operating condition triggers (temperature, pressure, chemistry), applicable NDT methods, inspection intervals per severity. Process condition coupling: links mechanism activation to actual operating data (if available) or defaults to conservative assumptions. Mechanism interaction modeling: identifies cases where multiple mechanisms accelerate each other (e.g., HIC + SOHIC in wet H2S service).</w:t>
      </w:r>
    </w:p>
    <w:p>
      <w:pPr>
        <w:pStyle w:val="Heading3"/>
        <w:spacing w:after="120" w:before="200"/>
      </w:pPr>
      <w:r>
        <w:rPr>
          <w:rFonts w:ascii="Arial" w:cs="Arial" w:eastAsia="Arial" w:hAnsi="Arial"/>
          <w:b/>
          <w:bCs/>
          <w:color w:val="3A7CA5"/>
          <w:sz w:val="22"/>
          <w:szCs w:val="22"/>
        </w:rPr>
        <w:t xml:space="preserve">Acceptance Criteria</w:t>
      </w:r>
    </w:p>
    <w:p>
      <w:pPr>
        <w:spacing w:after="120"/>
      </w:pPr>
      <w:r>
        <w:rPr>
          <w:rFonts w:ascii="Arial" w:cs="Arial" w:eastAsia="Arial" w:hAnsi="Arial"/>
          <w:color w:val="333333"/>
          <w:sz w:val="20"/>
          <w:szCs w:val="20"/>
        </w:rPr>
        <w:t xml:space="preserve">Given a case with operating conditions and material data, the engine identifies all applicable mechanisms, ranks them by likelihood, and maps each to its required inspection methods. The material-authority engine (DEPLOY219) becomes a consumer of this engine rather than maintaining its own keyword banks.</w:t>
      </w:r>
    </w:p>
    <w:p>
      <w:r>
        <w:br w:type="page"/>
      </w:r>
    </w:p>
    <w:p>
      <w:pPr>
        <w:pStyle w:val="Heading2"/>
        <w:spacing w:after="160" w:before="280"/>
      </w:pPr>
      <w:r>
        <w:rPr>
          <w:rFonts w:ascii="Arial" w:cs="Arial" w:eastAsia="Arial" w:hAnsi="Arial"/>
          <w:b/>
          <w:bCs/>
          <w:color w:val="2D5F8A"/>
          <w:sz w:val="26"/>
          <w:szCs w:val="26"/>
        </w:rPr>
        <w:t xml:space="preserve">DEPLOY228: Nuclear Module</w:t>
      </w:r>
    </w:p>
    <w:p>
      <w:pPr>
        <w:pStyle w:val="Heading3"/>
        <w:spacing w:after="120" w:before="200"/>
      </w:pPr>
      <w:r>
        <w:rPr>
          <w:rFonts w:ascii="Arial" w:cs="Arial" w:eastAsia="Arial" w:hAnsi="Arial"/>
          <w:b/>
          <w:bCs/>
          <w:color w:val="3A7CA5"/>
          <w:sz w:val="22"/>
          <w:szCs w:val="22"/>
        </w:rPr>
        <w:t xml:space="preserve">Codes &amp; Standards</w:t>
      </w:r>
    </w:p>
    <w:p>
      <w:pPr>
        <w:spacing w:after="120"/>
      </w:pPr>
      <w:r>
        <w:rPr>
          <w:rFonts w:ascii="Arial" w:cs="Arial" w:eastAsia="Arial" w:hAnsi="Arial"/>
          <w:color w:val="333333"/>
          <w:sz w:val="20"/>
          <w:szCs w:val="20"/>
        </w:rPr>
        <w:t xml:space="preserve">ASME Section XI (Rules for In-service Inspection of Nuclear Power Plant Components), ASME Section III (Nuclear Construction), 10 CFR 50.55a (NRC regulatory requirements), EPRI inspection guidelines.</w:t>
      </w:r>
    </w:p>
    <w:p>
      <w:pPr>
        <w:pStyle w:val="Heading3"/>
        <w:spacing w:after="120" w:before="200"/>
      </w:pPr>
      <w:r>
        <w:rPr>
          <w:rFonts w:ascii="Arial" w:cs="Arial" w:eastAsia="Arial" w:hAnsi="Arial"/>
          <w:b/>
          <w:bCs/>
          <w:color w:val="3A7CA5"/>
          <w:sz w:val="22"/>
          <w:szCs w:val="22"/>
        </w:rPr>
        <w:t xml:space="preserve">Domain-Specific Physics</w:t>
      </w:r>
    </w:p>
    <w:p>
      <w:pPr>
        <w:spacing w:after="120"/>
      </w:pPr>
      <w:r>
        <w:rPr>
          <w:rFonts w:ascii="Arial" w:cs="Arial" w:eastAsia="Arial" w:hAnsi="Arial"/>
          <w:color w:val="333333"/>
          <w:sz w:val="20"/>
          <w:szCs w:val="20"/>
        </w:rPr>
        <w:t xml:space="preserve">Radiation-induced damage: irradiation-assisted stress corrosion cracking (IASCC), neutron embrittlement (shift in RTNDT), void swelling. Steam generator tube degradation: ODSCC, PWSCC, IGA, pitting, denting, fretting wear. Reactor pressure vessel: pressurized thermal shock (PTS) evaluation per 10 CFR 50.61, Charpy impact shift tracking. Safety classification: ASME Class 1/2/3 components with corresponding inspection requirements.</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netlify/functions/domain-nuclear.ts, src/types/nuclear.ts. Governance matrix extension for NRC regulatory tier (Tier 0, above jurisdictional).</w:t>
      </w:r>
    </w:p>
    <w:p>
      <w:pPr>
        <w:pStyle w:val="Heading2"/>
        <w:spacing w:after="160" w:before="280"/>
      </w:pPr>
      <w:r>
        <w:rPr>
          <w:rFonts w:ascii="Arial" w:cs="Arial" w:eastAsia="Arial" w:hAnsi="Arial"/>
          <w:b/>
          <w:bCs/>
          <w:color w:val="2D5F8A"/>
          <w:sz w:val="26"/>
          <w:szCs w:val="26"/>
        </w:rPr>
        <w:t xml:space="preserve">DEPLOY229: Aerospace &amp; Aviation Module</w:t>
      </w:r>
    </w:p>
    <w:p>
      <w:pPr>
        <w:pStyle w:val="Heading3"/>
        <w:spacing w:after="120" w:before="200"/>
      </w:pPr>
      <w:r>
        <w:rPr>
          <w:rFonts w:ascii="Arial" w:cs="Arial" w:eastAsia="Arial" w:hAnsi="Arial"/>
          <w:b/>
          <w:bCs/>
          <w:color w:val="3A7CA5"/>
          <w:sz w:val="22"/>
          <w:szCs w:val="22"/>
        </w:rPr>
        <w:t xml:space="preserve">Codes &amp; Standards</w:t>
      </w:r>
    </w:p>
    <w:p>
      <w:pPr>
        <w:spacing w:after="120"/>
      </w:pPr>
      <w:r>
        <w:rPr>
          <w:rFonts w:ascii="Arial" w:cs="Arial" w:eastAsia="Arial" w:hAnsi="Arial"/>
          <w:color w:val="333333"/>
          <w:sz w:val="20"/>
          <w:szCs w:val="20"/>
        </w:rPr>
        <w:t xml:space="preserve">FAA AC 43.13-1B (Acceptable Methods), EASA Part 145 (Maintenance Organisation Approvals), FAA DTA (Damage Tolerance Analysis), ARP 4761 (Safety Assessment), ASTM E2981 (composite inspection).</w:t>
      </w:r>
    </w:p>
    <w:p>
      <w:pPr>
        <w:pStyle w:val="Heading3"/>
        <w:spacing w:after="120" w:before="200"/>
      </w:pPr>
      <w:r>
        <w:rPr>
          <w:rFonts w:ascii="Arial" w:cs="Arial" w:eastAsia="Arial" w:hAnsi="Arial"/>
          <w:b/>
          <w:bCs/>
          <w:color w:val="3A7CA5"/>
          <w:sz w:val="22"/>
          <w:szCs w:val="22"/>
        </w:rPr>
        <w:t xml:space="preserve">Domain-Specific Physics</w:t>
      </w:r>
    </w:p>
    <w:p>
      <w:pPr>
        <w:spacing w:after="120"/>
      </w:pPr>
      <w:r>
        <w:rPr>
          <w:rFonts w:ascii="Arial" w:cs="Arial" w:eastAsia="Arial" w:hAnsi="Arial"/>
          <w:color w:val="333333"/>
          <w:sz w:val="20"/>
          <w:szCs w:val="20"/>
        </w:rPr>
        <w:t xml:space="preserve">Damage tolerance and fracture mechanics: crack growth modeling (Paris law), residual strength assessment, inspection threshold and repeat intervals. Composite-specific: BVID/BVID detection, delamination mapping, porosity assessment, repair substantiation per SRM. Maintenance cycle integration: A/B/C/D check intervals mapped to inspection requirements, AD (Airworthiness Directive) compliance tracking.</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netlify/functions/domain-aerospace.ts, src/types/aerospace.ts. New governance tier for FAA/EASA (regulatory, above consensus codes).</w:t>
      </w:r>
    </w:p>
    <w:p>
      <w:pPr>
        <w:pStyle w:val="Heading2"/>
        <w:spacing w:after="160" w:before="280"/>
      </w:pPr>
      <w:r>
        <w:rPr>
          <w:rFonts w:ascii="Arial" w:cs="Arial" w:eastAsia="Arial" w:hAnsi="Arial"/>
          <w:b/>
          <w:bCs/>
          <w:color w:val="2D5F8A"/>
          <w:sz w:val="26"/>
          <w:szCs w:val="26"/>
        </w:rPr>
        <w:t xml:space="preserve">DEPLOY230: Maritime &amp; Offshore Module</w:t>
      </w:r>
    </w:p>
    <w:p>
      <w:pPr>
        <w:pStyle w:val="Heading3"/>
        <w:spacing w:after="120" w:before="200"/>
      </w:pPr>
      <w:r>
        <w:rPr>
          <w:rFonts w:ascii="Arial" w:cs="Arial" w:eastAsia="Arial" w:hAnsi="Arial"/>
          <w:b/>
          <w:bCs/>
          <w:color w:val="3A7CA5"/>
          <w:sz w:val="22"/>
          <w:szCs w:val="22"/>
        </w:rPr>
        <w:t xml:space="preserve">Codes &amp; Standards</w:t>
      </w:r>
    </w:p>
    <w:p>
      <w:pPr>
        <w:spacing w:after="120"/>
      </w:pPr>
      <w:r>
        <w:rPr>
          <w:rFonts w:ascii="Arial" w:cs="Arial" w:eastAsia="Arial" w:hAnsi="Arial"/>
          <w:color w:val="333333"/>
          <w:sz w:val="20"/>
          <w:szCs w:val="20"/>
        </w:rPr>
        <w:t xml:space="preserve">ABS Rules (American Bureau of Shipping), DNV-GL Rules for Classification, Lloyd's Register Rules, IACS Common Structural Rules, NACE SP0176 (corrosion control in offshore), IMO SOLAS.</w:t>
      </w:r>
    </w:p>
    <w:p>
      <w:pPr>
        <w:pStyle w:val="Heading3"/>
        <w:spacing w:after="120" w:before="200"/>
      </w:pPr>
      <w:r>
        <w:rPr>
          <w:rFonts w:ascii="Arial" w:cs="Arial" w:eastAsia="Arial" w:hAnsi="Arial"/>
          <w:b/>
          <w:bCs/>
          <w:color w:val="3A7CA5"/>
          <w:sz w:val="22"/>
          <w:szCs w:val="22"/>
        </w:rPr>
        <w:t xml:space="preserve">Domain-Specific Physics</w:t>
      </w:r>
    </w:p>
    <w:p>
      <w:pPr>
        <w:spacing w:after="120"/>
      </w:pPr>
      <w:r>
        <w:rPr>
          <w:rFonts w:ascii="Arial" w:cs="Arial" w:eastAsia="Arial" w:hAnsi="Arial"/>
          <w:color w:val="333333"/>
          <w:sz w:val="20"/>
          <w:szCs w:val="20"/>
        </w:rPr>
        <w:t xml:space="preserve">Hull corrosion: general wastage, grooving, pitting in ballast tanks, coating breakdown assessment per IACS Z10.5. Offshore structures: fatigue of tubular joints (S-N curves per DNV-RP-C203), splash zone corrosion, CP system assessment, marine growth impact. Underwater NDT: ACFM, wet magnetic particle, flooded member detection, impressed current CP monitoring. Ballast tank environments: coating condition per IMO PSPC, anode depletion rates, MIC in stagnant tanks.</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netlify/functions/domain-maritime.ts, src/types/maritime.ts. Classification society tier added to governance matrix.</w:t>
      </w:r>
    </w:p>
    <w:p>
      <w:r>
        <w:br w:type="page"/>
      </w:r>
    </w:p>
    <w:p>
      <w:pPr>
        <w:pStyle w:val="Heading2"/>
        <w:spacing w:after="160" w:before="280"/>
      </w:pPr>
      <w:r>
        <w:rPr>
          <w:rFonts w:ascii="Arial" w:cs="Arial" w:eastAsia="Arial" w:hAnsi="Arial"/>
          <w:b/>
          <w:bCs/>
          <w:color w:val="2D5F8A"/>
          <w:sz w:val="26"/>
          <w:szCs w:val="26"/>
        </w:rPr>
        <w:t xml:space="preserve">DEPLOY231: Power Generation Module</w:t>
      </w:r>
    </w:p>
    <w:p>
      <w:pPr>
        <w:pStyle w:val="Heading3"/>
        <w:spacing w:after="120" w:before="200"/>
      </w:pPr>
      <w:r>
        <w:rPr>
          <w:rFonts w:ascii="Arial" w:cs="Arial" w:eastAsia="Arial" w:hAnsi="Arial"/>
          <w:b/>
          <w:bCs/>
          <w:color w:val="3A7CA5"/>
          <w:sz w:val="22"/>
          <w:szCs w:val="22"/>
        </w:rPr>
        <w:t xml:space="preserve">Scope</w:t>
      </w:r>
    </w:p>
    <w:p>
      <w:pPr>
        <w:spacing w:after="120"/>
      </w:pPr>
      <w:r>
        <w:rPr>
          <w:rFonts w:ascii="Arial" w:cs="Arial" w:eastAsia="Arial" w:hAnsi="Arial"/>
          <w:color w:val="333333"/>
          <w:sz w:val="20"/>
          <w:szCs w:val="20"/>
        </w:rPr>
        <w:t xml:space="preserve">Wind turbine blade inspection: leading edge erosion, lightning damage, shear web disbond, spar cap delamination. Gas turbine internals: thermal barrier coating spallation, creep-fatigue interaction, hot corrosion (Type I/II), oxidation. Boiler tubes: hydrogen damage, flow-accelerated corrosion (FAC), fireside corrosion, short-term/long-term overheating. Hydroelectric: cavitation damage, silt erosion, penstock corrosion, gate seal degradation.</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netlify/functions/domain-power.ts, src/types/power.ts. Integrates with DEPLOY227 damage mechanism engine for boiler tube and turbine mechanisms.</w:t>
      </w:r>
    </w:p>
    <w:p>
      <w:pPr>
        <w:pStyle w:val="Heading2"/>
        <w:spacing w:after="160" w:before="280"/>
      </w:pPr>
      <w:r>
        <w:rPr>
          <w:rFonts w:ascii="Arial" w:cs="Arial" w:eastAsia="Arial" w:hAnsi="Arial"/>
          <w:b/>
          <w:bCs/>
          <w:color w:val="2D5F8A"/>
          <w:sz w:val="26"/>
          <w:szCs w:val="26"/>
        </w:rPr>
        <w:t xml:space="preserve">DEPLOY232: Civil Infrastructure Module</w:t>
      </w:r>
    </w:p>
    <w:p>
      <w:pPr>
        <w:pStyle w:val="Heading3"/>
        <w:spacing w:after="120" w:before="200"/>
      </w:pPr>
      <w:r>
        <w:rPr>
          <w:rFonts w:ascii="Arial" w:cs="Arial" w:eastAsia="Arial" w:hAnsi="Arial"/>
          <w:b/>
          <w:bCs/>
          <w:color w:val="3A7CA5"/>
          <w:sz w:val="22"/>
          <w:szCs w:val="22"/>
        </w:rPr>
        <w:t xml:space="preserve">Codes &amp; Standards</w:t>
      </w:r>
    </w:p>
    <w:p>
      <w:pPr>
        <w:spacing w:after="120"/>
      </w:pPr>
      <w:r>
        <w:rPr>
          <w:rFonts w:ascii="Arial" w:cs="Arial" w:eastAsia="Arial" w:hAnsi="Arial"/>
          <w:color w:val="333333"/>
          <w:sz w:val="20"/>
          <w:szCs w:val="20"/>
        </w:rPr>
        <w:t xml:space="preserve">AASHTO Manual for Bridge Evaluation, ACI 318/562 (concrete), ASTM C876 (half-cell potential), ASTM D4580 (delamination), FHWA bridge inspection standards, ASCE 7 (structural loads).</w:t>
      </w:r>
    </w:p>
    <w:p>
      <w:pPr>
        <w:pStyle w:val="Heading3"/>
        <w:spacing w:after="120" w:before="200"/>
      </w:pPr>
      <w:r>
        <w:rPr>
          <w:rFonts w:ascii="Arial" w:cs="Arial" w:eastAsia="Arial" w:hAnsi="Arial"/>
          <w:b/>
          <w:bCs/>
          <w:color w:val="3A7CA5"/>
          <w:sz w:val="22"/>
          <w:szCs w:val="22"/>
        </w:rPr>
        <w:t xml:space="preserve">Domain-Specific Physics</w:t>
      </w:r>
    </w:p>
    <w:p>
      <w:pPr>
        <w:spacing w:after="120"/>
      </w:pPr>
      <w:r>
        <w:rPr>
          <w:rFonts w:ascii="Arial" w:cs="Arial" w:eastAsia="Arial" w:hAnsi="Arial"/>
          <w:color w:val="333333"/>
          <w:sz w:val="20"/>
          <w:szCs w:val="20"/>
        </w:rPr>
        <w:t xml:space="preserve">Concrete NDT: ground-penetrating radar (GPR) for rebar mapping, impact echo for delamination/voids, Schmidt hammer for compressive strength estimation, half-cell potential for corrosion probability. Rebar corrosion: chloride ingress modeling (Fick's second law), carbonation depth measurement, corrosion rate estimation from resistivity. Steel bridge members: fatigue category classification (AASHTO Category A through E'), remaining life calculation, fracture-critical member identification. Post-tensioning: tendon condition assessment, grouting verification, strand corrosion.</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netlify/functions/domain-civil.ts, src/types/civil.ts. AASHTO/FHWA regulatory tier in governance matrix.</w:t>
      </w:r>
    </w:p>
    <w:p>
      <w:pPr>
        <w:pStyle w:val="Heading2"/>
        <w:spacing w:after="160" w:before="280"/>
      </w:pPr>
      <w:r>
        <w:rPr>
          <w:rFonts w:ascii="Arial" w:cs="Arial" w:eastAsia="Arial" w:hAnsi="Arial"/>
          <w:b/>
          <w:bCs/>
          <w:color w:val="2D5F8A"/>
          <w:sz w:val="26"/>
          <w:szCs w:val="26"/>
        </w:rPr>
        <w:t xml:space="preserve">DEPLOY233: Space Systems Module</w:t>
      </w:r>
    </w:p>
    <w:p>
      <w:pPr>
        <w:pStyle w:val="Heading3"/>
        <w:spacing w:after="120" w:before="200"/>
      </w:pPr>
      <w:r>
        <w:rPr>
          <w:rFonts w:ascii="Arial" w:cs="Arial" w:eastAsia="Arial" w:hAnsi="Arial"/>
          <w:b/>
          <w:bCs/>
          <w:color w:val="3A7CA5"/>
          <w:sz w:val="22"/>
          <w:szCs w:val="22"/>
        </w:rPr>
        <w:t xml:space="preserve">Scope</w:t>
      </w:r>
    </w:p>
    <w:p>
      <w:pPr>
        <w:spacing w:after="120"/>
      </w:pPr>
      <w:r>
        <w:rPr>
          <w:rFonts w:ascii="Arial" w:cs="Arial" w:eastAsia="Arial" w:hAnsi="Arial"/>
          <w:color w:val="333333"/>
          <w:sz w:val="20"/>
          <w:szCs w:val="20"/>
        </w:rPr>
        <w:t xml:space="preserve">NASA-STD-5009 (NDE of Composite Structures), NASA-STD-6016 (Standard Materials and Processes Requirements), ESA ECSS-E-ST-32C (Structural General Requirements). Cryogenic cycling damage: microcracking in composite overwrapped pressure vessels (COPVs), thermal stress at LH2/LOX interfaces. TPS inspection: ablation depth mapping, tile gap assessment, RCC leading edge evaluation. Launch loads: acoustic fatigue, pyrotechnic shock effects, vibration-induced damage.</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netlify/functions/domain-space.ts, src/types/space.ts.</w:t>
      </w:r>
    </w:p>
    <w:p>
      <w:r>
        <w:br w:type="page"/>
      </w:r>
    </w:p>
    <w:p>
      <w:pPr>
        <w:pStyle w:val="Heading2"/>
        <w:spacing w:after="160" w:before="280"/>
      </w:pPr>
      <w:r>
        <w:rPr>
          <w:rFonts w:ascii="Arial" w:cs="Arial" w:eastAsia="Arial" w:hAnsi="Arial"/>
          <w:b/>
          <w:bCs/>
          <w:color w:val="2D5F8A"/>
          <w:sz w:val="26"/>
          <w:szCs w:val="26"/>
        </w:rPr>
        <w:t xml:space="preserve">DEPLOY234: Robotics &amp; Sensor Integration Layer</w:t>
      </w:r>
    </w:p>
    <w:p>
      <w:pPr>
        <w:pStyle w:val="Heading3"/>
        <w:spacing w:after="120" w:before="200"/>
      </w:pPr>
      <w:r>
        <w:rPr>
          <w:rFonts w:ascii="Arial" w:cs="Arial" w:eastAsia="Arial" w:hAnsi="Arial"/>
          <w:b/>
          <w:bCs/>
          <w:color w:val="3A7CA5"/>
          <w:sz w:val="22"/>
          <w:szCs w:val="22"/>
        </w:rPr>
        <w:t xml:space="preserve">Scope</w:t>
      </w:r>
    </w:p>
    <w:p>
      <w:pPr>
        <w:spacing w:after="120"/>
      </w:pPr>
      <w:r>
        <w:rPr>
          <w:rFonts w:ascii="Arial" w:cs="Arial" w:eastAsia="Arial" w:hAnsi="Arial"/>
          <w:color w:val="333333"/>
          <w:sz w:val="20"/>
          <w:szCs w:val="20"/>
        </w:rPr>
        <w:t xml:space="preserve">Drone inspection pipelines: automated flight path to inspection zone mapping, image-to-finding extraction, orthomosaic generation for surface coverage verification. Crawler robots: UT thickness data stream ingestion, automated grid mapping from encoder data, real-time wall loss calculation during scan. Sensor data ingestion: standardized interface for TOFD, phased array, eddy current, and radiographic data files (DICONDE format support). Machine-to-AI interface: sensor data triggers automatic case creation, findings extraction, and pipeline execution without human initiation.</w:t>
      </w:r>
    </w:p>
    <w:p>
      <w:pPr>
        <w:pStyle w:val="Heading3"/>
        <w:spacing w:after="120" w:before="200"/>
      </w:pPr>
      <w:r>
        <w:rPr>
          <w:rFonts w:ascii="Arial" w:cs="Arial" w:eastAsia="Arial" w:hAnsi="Arial"/>
          <w:b/>
          <w:bCs/>
          <w:color w:val="3A7CA5"/>
          <w:sz w:val="22"/>
          <w:szCs w:val="22"/>
        </w:rPr>
        <w:t xml:space="preserve">Architecture</w:t>
      </w:r>
    </w:p>
    <w:p>
      <w:pPr>
        <w:spacing w:after="120"/>
      </w:pPr>
      <w:r>
        <w:rPr>
          <w:rFonts w:ascii="Arial" w:cs="Arial" w:eastAsia="Arial" w:hAnsi="Arial"/>
          <w:color w:val="333333"/>
          <w:sz w:val="20"/>
          <w:szCs w:val="20"/>
        </w:rPr>
        <w:t xml:space="preserve">New sensor-ingest.ts function accepts standardized payloads from robotic platforms. Data flows directly into the case evidence tables. The existing pipeline (authority lock, decision spine, planner) runs automatically on ingestion completion. Results pushed back to the robotic platform via webhook for real-time decision display.</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netlify/functions/sensor-ingest.ts, netlify/functions/robot-webhook.ts, src/types/sensor.ts.</w:t>
      </w:r>
    </w:p>
    <w:p>
      <w:pPr>
        <w:pStyle w:val="Heading2"/>
        <w:spacing w:after="160" w:before="280"/>
      </w:pPr>
      <w:r>
        <w:rPr>
          <w:rFonts w:ascii="Arial" w:cs="Arial" w:eastAsia="Arial" w:hAnsi="Arial"/>
          <w:b/>
          <w:bCs/>
          <w:color w:val="2D5F8A"/>
          <w:sz w:val="26"/>
          <w:szCs w:val="26"/>
        </w:rPr>
        <w:t xml:space="preserve">DEPLOY235: Human Intelligence Layer</w:t>
      </w:r>
    </w:p>
    <w:p>
      <w:pPr>
        <w:pStyle w:val="Heading3"/>
        <w:spacing w:after="120" w:before="200"/>
      </w:pPr>
      <w:r>
        <w:rPr>
          <w:rFonts w:ascii="Arial" w:cs="Arial" w:eastAsia="Arial" w:hAnsi="Arial"/>
          <w:b/>
          <w:bCs/>
          <w:color w:val="3A7CA5"/>
          <w:sz w:val="22"/>
          <w:szCs w:val="22"/>
        </w:rPr>
        <w:t xml:space="preserve">Scope</w:t>
      </w:r>
    </w:p>
    <w:p>
      <w:pPr>
        <w:spacing w:after="120"/>
      </w:pPr>
      <w:r>
        <w:rPr>
          <w:rFonts w:ascii="Arial" w:cs="Arial" w:eastAsia="Arial" w:hAnsi="Arial"/>
          <w:color w:val="333333"/>
          <w:sz w:val="20"/>
          <w:szCs w:val="20"/>
        </w:rPr>
        <w:t xml:space="preserve">Built on DEPLOY226 (Inspector Adjudication) data. Inspector performance tracking: decision accuracy over time, agreement rate with system, time-to-decision metrics. Skill validation: maps inspector qualifications (ASNT Level I/II/III, sector-specific certs) to case complexity requirements, flags under-qualified assignments. Decision disagreement analysis: statistical breakdown of override patterns by mechanism type, asset class, and inspector. Identifies systematic biases (e.g., an inspector who always overrides on pitting severity). Training feedback loops: when inspector overrides are later validated by outcome data (the repair confirmed the system was wrong, or the override prevented a failure), the system feeds that back into rule calibration.</w:t>
      </w:r>
    </w:p>
    <w:p>
      <w:pPr>
        <w:pStyle w:val="Heading3"/>
        <w:spacing w:after="120" w:before="200"/>
      </w:pPr>
      <w:r>
        <w:rPr>
          <w:rFonts w:ascii="Arial" w:cs="Arial" w:eastAsia="Arial" w:hAnsi="Arial"/>
          <w:b/>
          <w:bCs/>
          <w:color w:val="3A7CA5"/>
          <w:sz w:val="22"/>
          <w:szCs w:val="22"/>
        </w:rPr>
        <w:t xml:space="preserve">Files</w:t>
      </w:r>
    </w:p>
    <w:p>
      <w:pPr>
        <w:spacing w:after="120"/>
      </w:pPr>
      <w:r>
        <w:rPr>
          <w:rFonts w:ascii="Arial" w:cs="Arial" w:eastAsia="Arial" w:hAnsi="Arial"/>
          <w:color w:val="333333"/>
          <w:sz w:val="20"/>
          <w:szCs w:val="20"/>
        </w:rPr>
        <w:t xml:space="preserve">netlify/functions/inspector-performance.ts, netlify/functions/training-feedback.ts, src/components/InspectorDashboard.tsx, src/pages/InspectorAnalytics.tsx. New application page added to main navigation.</w:t>
      </w:r>
    </w:p>
    <w:p>
      <w:r>
        <w:br w:type="page"/>
      </w:r>
    </w:p>
    <w:p>
      <w:pPr>
        <w:pStyle w:val="Heading1"/>
        <w:spacing w:after="200" w:before="360"/>
      </w:pPr>
      <w:r>
        <w:rPr>
          <w:rFonts w:ascii="Arial" w:cs="Arial" w:eastAsia="Arial" w:hAnsi="Arial"/>
          <w:b/>
          <w:bCs/>
          <w:color w:val="1B3A5C"/>
          <w:sz w:val="32"/>
          <w:szCs w:val="32"/>
        </w:rPr>
        <w:t xml:space="preserve">Part IV: System-Wide Upgrades</w:t>
      </w:r>
    </w:p>
    <w:p>
      <w:pPr>
        <w:pStyle w:val="Heading2"/>
        <w:spacing w:after="160" w:before="280"/>
      </w:pPr>
      <w:r>
        <w:rPr>
          <w:rFonts w:ascii="Arial" w:cs="Arial" w:eastAsia="Arial" w:hAnsi="Arial"/>
          <w:b/>
          <w:bCs/>
          <w:color w:val="2D5F8A"/>
          <w:sz w:val="26"/>
          <w:szCs w:val="26"/>
        </w:rPr>
        <w:t xml:space="preserve">Physics Sufficiency + Authority Lock Gate</w:t>
      </w:r>
    </w:p>
    <w:p>
      <w:pPr>
        <w:spacing w:after="120"/>
      </w:pPr>
      <w:r>
        <w:rPr>
          <w:rFonts w:ascii="Arial" w:cs="Arial" w:eastAsia="Arial" w:hAnsi="Arial"/>
          <w:color w:val="333333"/>
          <w:sz w:val="20"/>
          <w:szCs w:val="20"/>
        </w:rPr>
        <w:t xml:space="preserve">Covered by DEPLOY220. The state machine enforces that no decision can reach AUTHORITY LOCKED without meeting minimum physics sufficiency. This is not a separate deploy; it is the core of the red team fix.</w:t>
      </w:r>
    </w:p>
    <w:p>
      <w:pPr>
        <w:pStyle w:val="Heading2"/>
        <w:spacing w:after="160" w:before="280"/>
      </w:pPr>
      <w:r>
        <w:rPr>
          <w:rFonts w:ascii="Arial" w:cs="Arial" w:eastAsia="Arial" w:hAnsi="Arial"/>
          <w:b/>
          <w:bCs/>
          <w:color w:val="2D5F8A"/>
          <w:sz w:val="26"/>
          <w:szCs w:val="26"/>
        </w:rPr>
        <w:t xml:space="preserve">Outcome Simulation Engine</w:t>
      </w:r>
    </w:p>
    <w:p>
      <w:pPr>
        <w:spacing w:after="120"/>
      </w:pPr>
      <w:r>
        <w:rPr>
          <w:rFonts w:ascii="Arial" w:cs="Arial" w:eastAsia="Arial" w:hAnsi="Arial"/>
          <w:color w:val="333333"/>
          <w:sz w:val="20"/>
          <w:szCs w:val="20"/>
        </w:rPr>
        <w:t xml:space="preserve">Future deploy (post-235). Given a decision (e.g., REPAIR with composite wrap), simulate the expected outcome over time: projected remaining life, expected next inspection interval, probability of success. Uses the damage mechanism engine (DEPLOY227) to project forward. Compare: "if we repair now" vs "if we monitor for 6 months" vs "if we replace." This is the ultimate differentiator: the system does not just tell you what is wrong, it tells you what will happen next under each option.</w:t>
      </w:r>
    </w:p>
    <w:p>
      <w:pPr>
        <w:pStyle w:val="Heading2"/>
        <w:spacing w:after="160" w:before="280"/>
      </w:pPr>
      <w:r>
        <w:rPr>
          <w:rFonts w:ascii="Arial" w:cs="Arial" w:eastAsia="Arial" w:hAnsi="Arial"/>
          <w:b/>
          <w:bCs/>
          <w:color w:val="2D5F8A"/>
          <w:sz w:val="26"/>
          <w:szCs w:val="26"/>
        </w:rPr>
        <w:t xml:space="preserve">Universal Damage Mechanism Engine</w:t>
      </w:r>
    </w:p>
    <w:p>
      <w:pPr>
        <w:spacing w:after="120"/>
      </w:pPr>
      <w:r>
        <w:rPr>
          <w:rFonts w:ascii="Arial" w:cs="Arial" w:eastAsia="Arial" w:hAnsi="Arial"/>
          <w:color w:val="333333"/>
          <w:sz w:val="20"/>
          <w:szCs w:val="20"/>
        </w:rPr>
        <w:t xml:space="preserve">Covered by DEPLOY227. This is the foundation layer that all domain modules consume. It must be built before any domain expansion deploy.</w:t>
      </w:r>
    </w:p>
    <w:p>
      <w:r>
        <w:br w:type="page"/>
      </w:r>
    </w:p>
    <w:p>
      <w:pPr>
        <w:pStyle w:val="Heading1"/>
        <w:spacing w:after="200" w:before="360"/>
      </w:pPr>
      <w:r>
        <w:rPr>
          <w:rFonts w:ascii="Arial" w:cs="Arial" w:eastAsia="Arial" w:hAnsi="Arial"/>
          <w:b/>
          <w:bCs/>
          <w:color w:val="1B3A5C"/>
          <w:sz w:val="32"/>
          <w:szCs w:val="32"/>
        </w:rPr>
        <w:t xml:space="preserve">Part V: Recommended Build Order</w:t>
      </w:r>
    </w:p>
    <w:p>
      <w:pPr>
        <w:spacing w:after="120"/>
      </w:pPr>
      <w:r>
        <w:rPr>
          <w:rFonts w:ascii="Arial" w:cs="Arial" w:eastAsia="Arial" w:hAnsi="Arial"/>
          <w:color w:val="333333"/>
          <w:sz w:val="20"/>
          <w:szCs w:val="20"/>
        </w:rPr>
        <w:t xml:space="preserve">Organized into three phases. Phase 1 closes the red team gaps (required before any demo). Phase 2 builds the domain foundation. Phase 3 expands into verticals (can be built in any order based on market demand).</w:t>
      </w:r>
    </w:p>
    <w:p>
      <w:pPr>
        <w:pStyle w:val="Heading2"/>
        <w:spacing w:after="160" w:before="280"/>
      </w:pPr>
      <w:r>
        <w:rPr>
          <w:rFonts w:ascii="Arial" w:cs="Arial" w:eastAsia="Arial" w:hAnsi="Arial"/>
          <w:b/>
          <w:bCs/>
          <w:color w:val="2D5F8A"/>
          <w:sz w:val="26"/>
          <w:szCs w:val="26"/>
        </w:rPr>
        <w:t xml:space="preserve">Phase 1: Red Team Closure (DEPLOY220-226)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Deploy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Dependencies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Decision State Machine + Unified Confidence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None (builds on existing spine/authority)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Boundary Enforcement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 (needs state machine for badge rendering)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Authority Precedence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 (state machine consumes precedence 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Enterprise Audit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 + 221 (audit records state + execution mode)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Type Safety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None (can parallel with 220-223)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Production Hardening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224 (types inform validation schemas)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Inspector Adjudication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 (adjudication interacts with state machine)</w:t>
            </w:r>
          </w:p>
        </w:tc>
      </w:tr>
    </w:tbl>
    <w:p>
      <w:pPr>
        <w:pStyle w:val="Heading2"/>
        <w:spacing w:after="160" w:before="280"/>
      </w:pPr>
      <w:r>
        <w:rPr>
          <w:rFonts w:ascii="Arial" w:cs="Arial" w:eastAsia="Arial" w:hAnsi="Arial"/>
          <w:b/>
          <w:bCs/>
          <w:color w:val="2D5F8A"/>
          <w:sz w:val="26"/>
          <w:szCs w:val="26"/>
        </w:rPr>
        <w:t xml:space="preserve">Phase 2: Domain Foundation (DEPLOY227)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Deploy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Dependencies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Universal Damage Mechanism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220-226 complete (red team gaps closed)</w:t>
            </w:r>
          </w:p>
        </w:tc>
      </w:tr>
    </w:tbl>
    <w:p>
      <w:pPr>
        <w:pStyle w:val="Heading2"/>
        <w:spacing w:after="160" w:before="280"/>
      </w:pPr>
      <w:r>
        <w:rPr>
          <w:rFonts w:ascii="Arial" w:cs="Arial" w:eastAsia="Arial" w:hAnsi="Arial"/>
          <w:b/>
          <w:bCs/>
          <w:color w:val="2D5F8A"/>
          <w:sz w:val="26"/>
          <w:szCs w:val="26"/>
        </w:rPr>
        <w:t xml:space="preserve">Phase 3: Vertical Expansion (DEPLOY228-235)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Deploy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Dependencies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Nuclear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 (damage mechanism 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Aerospace &amp; Aviation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Maritime &amp; Offshore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Power Generation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Civil Infrastructure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Space Systems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Robotics &amp; Sensor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227 (sensor data feeds mechanism 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Human Intelligence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226 (builds on adjudication data)</w:t>
            </w:r>
          </w:p>
        </w:tc>
      </w:tr>
    </w:tbl>
    <w:p>
      <w:r>
        <w:br w:type="page"/>
      </w:r>
    </w:p>
    <w:p>
      <w:pPr>
        <w:pStyle w:val="Heading1"/>
        <w:spacing w:after="200" w:before="360"/>
      </w:pPr>
      <w:r>
        <w:rPr>
          <w:rFonts w:ascii="Arial" w:cs="Arial" w:eastAsia="Arial" w:hAnsi="Arial"/>
          <w:b/>
          <w:bCs/>
          <w:color w:val="1B3A5C"/>
          <w:sz w:val="32"/>
          <w:szCs w:val="32"/>
        </w:rPr>
        <w:t xml:space="preserve">Part VI: What 10/10 Looks Like</w:t>
      </w:r>
    </w:p>
    <w:p>
      <w:pPr>
        <w:spacing w:after="120"/>
      </w:pPr>
      <w:r>
        <w:rPr>
          <w:rFonts w:ascii="Arial" w:cs="Arial" w:eastAsia="Arial" w:hAnsi="Arial"/>
          <w:color w:val="333333"/>
          <w:sz w:val="20"/>
          <w:szCs w:val="20"/>
        </w:rPr>
        <w:t xml:space="preserve">After DEPLOY220-226, every GPT red team criticism is resolved with working code, not just documentation. After DEPLOY227-235, the platform covers the full industrial NDT landscape. Here is 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Current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After Roadmap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Physics-anchored decisions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(state machine enforces sufficiency)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Confidence model integrity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(unified model, physics-capped)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boundary transparency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(every function self-declares, UI badges)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Authority resolution rigor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(4-tier precedence, fallback chain, conflict log)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Audit trail enterprise-grade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(Ed25519 signatures, chain linking, replay)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Inspector adjudication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(full override/concur/escalate with rationale)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Code quality perception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8/10 (types on critical path, validation, health checks)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Production maturity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9/10 (structured errors, rate limiting, smoke tests)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Domain coverage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6/10 (oil &amp; gas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(nuclear, aerospace, maritime, power, civil, space)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Human-in-the-loop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10/10 (adjudication + performance + feedback loops)</w:t>
            </w:r>
          </w:p>
        </w:tc>
      </w:tr>
    </w:tbl>
    <w:p>
      <w:pPr>
        <w:spacing w:before="400"/>
      </w:pPr>
      <w:r>
        <w:rPr>
          <w:rFonts w:ascii="Arial" w:cs="Arial" w:eastAsia="Arial" w:hAnsi="Arial"/>
          <w:b/>
          <w:bCs/>
          <w:color w:val="1B3A5C"/>
          <w:sz w:val="24"/>
          <w:szCs w:val="24"/>
        </w:rPr>
        <w:t xml:space="preserve">Total: from 4.3/10 average to 9.7/10 average.</w:t>
      </w:r>
    </w:p>
    <w:p>
      <w:pPr>
        <w:spacing w:after="120"/>
      </w:pPr>
      <w:r>
        <w:rPr>
          <w:rFonts w:ascii="Arial" w:cs="Arial" w:eastAsia="Arial" w:hAnsi="Arial"/>
          <w:color w:val="333333"/>
          <w:sz w:val="20"/>
          <w:szCs w:val="20"/>
        </w:rPr>
        <w:t xml:space="preserve">The remaining 0.3 comes from production battle-testing with real customers, which no amount of architecture can substitute for.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FORGED NDT  |  10/10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2026-04-16T14:04:38.359Z</dcterms:created>
  <dcterms:modified xsi:type="dcterms:W3CDTF">2026-04-16T14:04:38.359Z</dcterms:modified>
</cp:coreProperties>
</file>

<file path=docProps/custom.xml><?xml version="1.0" encoding="utf-8"?>
<Properties xmlns="http://schemas.openxmlformats.org/officeDocument/2006/custom-properties" xmlns:vt="http://schemas.openxmlformats.org/officeDocument/2006/docPropsVTypes"/>
</file>