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5C"/>
          <w:sz w:val="52"/>
          <w:szCs w:val="52"/>
        </w:rPr>
        <w:t xml:space="preserve">FORGED NDT Intelligence OS</w:t>
      </w:r>
    </w:p>
    <w:p>
      <w:pPr>
        <w:spacing w:after="200"/>
        <w:jc w:val="center"/>
      </w:pPr>
      <w:r>
        <w:rPr>
          <w:rFonts w:ascii="Arial" w:cs="Arial" w:eastAsia="Arial" w:hAnsi="Arial"/>
          <w:color w:val="2D5F8A"/>
          <w:sz w:val="28"/>
          <w:szCs w:val="28"/>
        </w:rPr>
        <w:t xml:space="preserve">System Architecture &amp; Feature Reference</w:t>
      </w:r>
    </w:p>
    <w:p>
      <w:pPr>
        <w:spacing w:after="600"/>
        <w:jc w:val="center"/>
      </w:pPr>
      <w:r>
        <w:rPr>
          <w:rFonts w:ascii="Arial" w:cs="Arial" w:eastAsia="Arial" w:hAnsi="Arial"/>
          <w:color w:val="888888"/>
          <w:sz w:val="20"/>
          <w:szCs w:val="20"/>
        </w:rPr>
        <w:t xml:space="preserve">Version 1.0  |  April 2026  |  Confidential</w:t>
      </w:r>
    </w:p>
    <w:p>
      <w:pPr>
        <w:spacing w:after="200"/>
        <w:jc w:val="center"/>
      </w:pPr>
      <w:r>
        <w:rPr>
          <w:rFonts w:ascii="Arial" w:cs="Arial" w:eastAsia="Arial" w:hAnsi="Arial"/>
          <w:color w:val="2D5F8A"/>
          <w:sz w:val="20"/>
          <w:szCs w:val="20"/>
        </w:rPr>
        <w:t xml:space="preserve">Production URL: https://4dndt.netlify.app</w:t>
      </w:r>
    </w:p>
    <w:p>
      <w:pPr>
        <w:jc w:val="center"/>
      </w:pPr>
      <w:r>
        <w:rPr>
          <w:rFonts w:ascii="Arial" w:cs="Arial" w:eastAsia="Arial" w:hAnsi="Arial"/>
          <w:color w:val="666666"/>
          <w:sz w:val="18"/>
          <w:szCs w:val="18"/>
        </w:rPr>
        <w:t xml:space="preserve">React + Vite + TypeScript  |  Netlify Functions  |  Supabase (Postgres + pgvector + Auth + RLS)</w:t>
      </w:r>
    </w:p>
    <w:p>
      <w:r>
        <w:br w:type="page"/>
      </w:r>
    </w:p>
    <w:p>
      <w:pPr>
        <w:pStyle w:val="Heading1"/>
        <w:spacing w:after="200" w:before="36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32"/>
          <w:szCs w:val="32"/>
        </w:rPr>
        <w:t xml:space="preserve">1. Executive Summary</w:t>
      </w:r>
    </w:p>
    <w:p>
      <w:pPr>
        <w:spacing w:after="120"/>
      </w:pPr>
      <w:r>
        <w:rPr>
          <w:rFonts w:ascii="Arial" w:cs="Arial" w:eastAsia="Arial" w:hAnsi="Arial"/>
          <w:color w:val="333333"/>
          <w:sz w:val="20"/>
          <w:szCs w:val="20"/>
        </w:rPr>
        <w:t xml:space="preserve">FORGED NDT Intelligence OS is a physics-anchored, code-as-law decision intelligence platform for non-destructive testing and industrial inspection. Unlike conventional inspection management tools that rely on human-only judgment, FORGED embeds engineering codes (API 510, API 570, ASME PCC-2, NACE SP-series) directly into deterministic decision logic, producing auditable, SHA-256-signed authority decisions.</w:t>
      </w:r>
    </w:p>
    <w:p>
      <w:pPr>
        <w:spacing w:after="120"/>
      </w:pPr>
      <w:r>
        <w:rPr>
          <w:rFonts w:ascii="Arial" w:cs="Arial" w:eastAsia="Arial" w:hAnsi="Arial"/>
          <w:color w:val="333333"/>
          <w:sz w:val="20"/>
          <w:szCs w:val="20"/>
        </w:rPr>
        <w:t xml:space="preserve">The system operates on a Three-Layer Decision Stack: a Physics Core that enforces engineering reality, a Governance and Authority layer that resolves applicable codes and standards, and a Decision Spine that synthesizes calibrated confidence scores with out-of-distribution detection. Every decision is traceable to a specific code clause, every assessment is reproducible, and every audit bundle is cryptographically signed.</w:t>
      </w:r>
    </w:p>
    <w:p>
      <w:pPr>
        <w:spacing w:after="120"/>
      </w:pPr>
      <w:r>
        <w:rPr>
          <w:rFonts w:ascii="Arial" w:cs="Arial" w:eastAsia="Arial" w:hAnsi="Arial"/>
          <w:color w:val="333333"/>
          <w:sz w:val="20"/>
          <w:szCs w:val="20"/>
        </w:rPr>
        <w:t xml:space="preserve">The platform currently comprises 42 Netlify serverless functions, 8 React UI components, 6 application pages, and 9 database migration sets (DEPLOY211 through DEPLOY219), all deployed on a JAMstack architecture with Supabase as the data layer.</w:t>
      </w:r>
    </w:p>
    <w:p>
      <w:r>
        <w:br w:type="page"/>
      </w:r>
    </w:p>
    <w:p>
      <w:pPr>
        <w:pStyle w:val="Heading1"/>
        <w:spacing w:after="200" w:before="360"/>
      </w:pPr>
      <w:r>
        <w:rPr>
          <w:rFonts w:ascii="Arial" w:cs="Arial" w:eastAsia="Arial" w:hAnsi="Arial"/>
          <w:b/>
          <w:bCs/>
          <w:color w:val="1B3A5C"/>
          <w:sz w:val="32"/>
          <w:szCs w:val="32"/>
        </w:rPr>
        <w:t xml:space="preserve">2. Architecture Overview</w:t>
      </w:r>
    </w:p>
    <w:p>
      <w:pPr>
        <w:pStyle w:val="Heading2"/>
        <w:spacing w:after="160" w:before="280"/>
      </w:pPr>
      <w:r>
        <w:rPr>
          <w:rFonts w:ascii="Arial" w:cs="Arial" w:eastAsia="Arial" w:hAnsi="Arial"/>
          <w:b/>
          <w:bCs/>
          <w:color w:val="2D5F8A"/>
          <w:sz w:val="26"/>
          <w:szCs w:val="26"/>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18 + Vite + TypeScript (house style: var-only, string concatenation, @ts-nocheck)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Netlify Functions (serverless, TypeScript, 42 endpoints)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Database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PostgreSQL 15 + pgvector (1536d OpenAI embeddings) + Auth + Row Level Security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Hosting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Netlify (auto-deploy from GitHub, CDN-backed)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OpenAI API (text-embedding-ada-002 for case embeddings, GPT-4o for analysis)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Auth with organization-scoped RLS policies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SHA-256 signed audit bundles with deterministic replay</w:t>
            </w:r>
          </w:p>
        </w:tc>
      </w:tr>
    </w:tbl>
    <w:p>
      <w:pPr>
        <w:pStyle w:val="Heading2"/>
        <w:spacing w:after="160" w:before="280"/>
      </w:pPr>
      <w:r>
        <w:rPr>
          <w:rFonts w:ascii="Arial" w:cs="Arial" w:eastAsia="Arial" w:hAnsi="Arial"/>
          <w:b/>
          <w:bCs/>
          <w:color w:val="2D5F8A"/>
          <w:sz w:val="26"/>
          <w:szCs w:val="26"/>
        </w:rPr>
        <w:t xml:space="preserve">2.2 Three-Layer Decision Stack</w:t>
      </w:r>
    </w:p>
    <w:p>
      <w:pPr>
        <w:spacing w:after="120"/>
      </w:pPr>
      <w:r>
        <w:rPr>
          <w:rFonts w:ascii="Arial" w:cs="Arial" w:eastAsia="Arial" w:hAnsi="Arial"/>
          <w:color w:val="333333"/>
          <w:sz w:val="20"/>
          <w:szCs w:val="20"/>
        </w:rPr>
        <w:t xml:space="preserve">The core architectural innovation is a three-layer stack that separates concerns between physics reality, code authority, and decision synthesis:</w:t>
      </w:r>
    </w:p>
    <w:p>
      <w:pPr>
        <w:pStyle w:val="Heading3"/>
        <w:spacing w:after="120" w:before="200"/>
      </w:pPr>
      <w:r>
        <w:rPr>
          <w:rFonts w:ascii="Arial" w:cs="Arial" w:eastAsia="Arial" w:hAnsi="Arial"/>
          <w:b/>
          <w:bCs/>
          <w:color w:val="3A7CA5"/>
          <w:sz w:val="22"/>
          <w:szCs w:val="22"/>
        </w:rPr>
        <w:t xml:space="preserve">Layer 1: Physics Core</w:t>
      </w:r>
    </w:p>
    <w:p>
      <w:pPr>
        <w:spacing w:after="120"/>
      </w:pPr>
      <w:r>
        <w:rPr>
          <w:rFonts w:ascii="Arial" w:cs="Arial" w:eastAsia="Arial" w:hAnsi="Arial"/>
          <w:color w:val="333333"/>
          <w:sz w:val="20"/>
          <w:szCs w:val="20"/>
        </w:rPr>
        <w:t xml:space="preserve">Functions: architecture-core, engineering-core, materials-core, observation-layer, reasoning-layer. This layer enforces physical reality constraints. Wall thickness calculations follow ASME B31.3/B31.4 minimum thickness formulas. Corrosion rate projections use linear and polynomial regression. Material property lookups reference actual ASME Section II data. No hallucination is possible because physics calculations are deterministic code, not LLM outputs.</w:t>
      </w:r>
    </w:p>
    <w:p>
      <w:pPr>
        <w:pStyle w:val="Heading3"/>
        <w:spacing w:after="120" w:before="200"/>
      </w:pPr>
      <w:r>
        <w:rPr>
          <w:rFonts w:ascii="Arial" w:cs="Arial" w:eastAsia="Arial" w:hAnsi="Arial"/>
          <w:b/>
          <w:bCs/>
          <w:color w:val="3A7CA5"/>
          <w:sz w:val="22"/>
          <w:szCs w:val="22"/>
        </w:rPr>
        <w:t xml:space="preserve">Layer 2: Governance &amp; Authority Resolution</w:t>
      </w:r>
    </w:p>
    <w:p>
      <w:pPr>
        <w:spacing w:after="120"/>
      </w:pPr>
      <w:r>
        <w:rPr>
          <w:rFonts w:ascii="Arial" w:cs="Arial" w:eastAsia="Arial" w:hAnsi="Arial"/>
          <w:color w:val="333333"/>
          <w:sz w:val="20"/>
          <w:szCs w:val="20"/>
        </w:rPr>
        <w:t xml:space="preserve">Functions: governance-matrix, code-authority-resolution, code-trace, run-authority, reality-lock, export-audit-bundle. This layer determines which engineering codes apply to a given case (API 510 for pressure vessels, API 570 for piping, ASME PCC-2 for repairs, etc.), resolves conflicts between overlapping standards, and produces a locked authority decision. The authority lock is cryptographically signed and cannot be retroactively altered.</w:t>
      </w:r>
    </w:p>
    <w:p>
      <w:pPr>
        <w:pStyle w:val="Heading3"/>
        <w:spacing w:after="120" w:before="200"/>
      </w:pPr>
      <w:r>
        <w:rPr>
          <w:rFonts w:ascii="Arial" w:cs="Arial" w:eastAsia="Arial" w:hAnsi="Arial"/>
          <w:b/>
          <w:bCs/>
          <w:color w:val="3A7CA5"/>
          <w:sz w:val="22"/>
          <w:szCs w:val="22"/>
        </w:rPr>
        <w:t xml:space="preserve">Layer 3: Decision Spine + Planner</w:t>
      </w:r>
    </w:p>
    <w:p>
      <w:pPr>
        <w:spacing w:after="120"/>
      </w:pPr>
      <w:r>
        <w:rPr>
          <w:rFonts w:ascii="Arial" w:cs="Arial" w:eastAsia="Arial" w:hAnsi="Arial"/>
          <w:color w:val="333333"/>
          <w:sz w:val="20"/>
          <w:szCs w:val="20"/>
        </w:rPr>
        <w:t xml:space="preserve">Functions: decision-core, decision-dominance, decision-spine, truth-engine, planner-agent. The Decision Spine synthesizes Layer 1 physics data and Layer 2 authority decisions into a final calibrated recommendation. It outputs an out-of-distribution (OOD) confidence flag, a physics coverage percentage, and a dominant decision (ACCEPT, MONITOR, REPAIR, REJECT) with calibrated probability. The Planner Agent then generates specific owner-assigned actions based on the decision.</w:t>
      </w:r>
    </w:p>
    <w:p>
      <w:r>
        <w:br w:type="page"/>
      </w:r>
    </w:p>
    <w:p>
      <w:pPr>
        <w:pStyle w:val="Heading1"/>
        <w:spacing w:after="200" w:before="360"/>
      </w:pPr>
      <w:r>
        <w:rPr>
          <w:rFonts w:ascii="Arial" w:cs="Arial" w:eastAsia="Arial" w:hAnsi="Arial"/>
          <w:b/>
          <w:bCs/>
          <w:color w:val="1B3A5C"/>
          <w:sz w:val="32"/>
          <w:szCs w:val="32"/>
        </w:rPr>
        <w:t xml:space="preserve">3. Complete Function Inventory (42 Endpoints)</w:t>
      </w:r>
    </w:p>
    <w:p>
      <w:pPr>
        <w:pStyle w:val="Heading2"/>
        <w:spacing w:after="160" w:before="280"/>
      </w:pPr>
      <w:r>
        <w:rPr>
          <w:rFonts w:ascii="Arial" w:cs="Arial" w:eastAsia="Arial" w:hAnsi="Arial"/>
          <w:b/>
          <w:bCs/>
          <w:color w:val="2D5F8A"/>
          <w:sz w:val="26"/>
          <w:szCs w:val="26"/>
        </w:rPr>
        <w:t xml:space="preserve">3.1 Core Decision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decision-core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Central decision aggregation engine; merges physics, authority, and context into a single decision object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decision-dominance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Resolves conflicting signals using dominance ranking (REJECT &gt; REPAIR &gt; MONITOR &gt; ACCEPT)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decision-spine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OOD-calibrated confidence scoring with physics coverage tracking; produces the primary ACCEPT/MONITOR/REPAIR/REJECT output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truth-engine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Cross-validates decision outputs against source evidence; flags inconsistencies</w:t>
            </w:r>
          </w:p>
        </w:tc>
      </w:tr>
    </w:tbl>
    <w:p>
      <w:pPr>
        <w:pStyle w:val="Heading2"/>
        <w:spacing w:after="160" w:before="280"/>
      </w:pPr>
      <w:r>
        <w:rPr>
          <w:rFonts w:ascii="Arial" w:cs="Arial" w:eastAsia="Arial" w:hAnsi="Arial"/>
          <w:b/>
          <w:bCs/>
          <w:color w:val="2D5F8A"/>
          <w:sz w:val="26"/>
          <w:szCs w:val="26"/>
        </w:rPr>
        <w:t xml:space="preserve">3.2 Physics &amp; Engineering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architecture-core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Structural analysis models; load paths, stress distribution, failure mode prediction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engineering-core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Engineering calculations: wall thickness (t_min), corrosion rates, remaining life, MAWP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materials-core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Material property database and lookup; ASME Section II data, material compatibility checks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material-authority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DEPLOY219: Unified 8-class material engine (composite, coatings, ceramics, polymers, elastomers, alloys, foams, hybrid)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observation-layer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Structures raw inspection observations into typed evidence objects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reasoning-layer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Applies engineering reasoning chains to structured observations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run-analysis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Executes full analysis pipeline on a case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run-convergence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Iterative convergence engine; re-runs analysis until decision stabilizes or max iterations reached</w:t>
            </w:r>
          </w:p>
        </w:tc>
      </w:tr>
    </w:tbl>
    <w:p>
      <w:pPr>
        <w:pStyle w:val="Heading2"/>
        <w:spacing w:after="160" w:before="280"/>
      </w:pPr>
      <w:r>
        <w:rPr>
          <w:rFonts w:ascii="Arial" w:cs="Arial" w:eastAsia="Arial" w:hAnsi="Arial"/>
          <w:b/>
          <w:bCs/>
          <w:color w:val="2D5F8A"/>
          <w:sz w:val="26"/>
          <w:szCs w:val="26"/>
        </w:rPr>
        <w:t xml:space="preserve">3.3 Event &amp; Incident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parse-incident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Extracts structured data from free-text incident reports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voice-incident-plan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Generates inspection plans from voice-transcribed incident descriptions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incident-inspection-chain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Chains incident parsing into automatic inspection case creation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incident-to-case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Converts a parsed incident into a full inspection case with pre-populated fields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case-from-event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Creates cases from external event triggers (IoT alerts, scheduled inspections)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parse-event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Parses external event payloads into normalized event objects</w:t>
            </w:r>
          </w:p>
        </w:tc>
      </w:tr>
    </w:tbl>
    <w:p>
      <w:pPr>
        <w:pStyle w:val="Heading2"/>
        <w:spacing w:after="160" w:before="280"/>
      </w:pPr>
      <w:r>
        <w:rPr>
          <w:rFonts w:ascii="Arial" w:cs="Arial" w:eastAsia="Arial" w:hAnsi="Arial"/>
          <w:b/>
          <w:bCs/>
          <w:color w:val="2D5F8A"/>
          <w:sz w:val="26"/>
          <w:szCs w:val="26"/>
        </w:rPr>
        <w:t xml:space="preserve">3.4 Governance &amp; Authority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governance-matrix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Maps asset type + jurisdiction + condition to applicable code matrix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code-authority-resolution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Resolves which specific code clauses apply when multiple standards overlap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code-trace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Traces a decision back to its originating code clause for audit purposes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run-authority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Executes authority lock: calculates wall loss %, applies code thresholds, produces ACCEPT/REJECT with code citations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reality-lock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Freezes the current state of evidence and analysis as an immutable snapshot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export-audit-bundle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Generates SHA-256 signed audit package with all evidence, calculations, and decisions</w:t>
            </w:r>
          </w:p>
        </w:tc>
      </w:tr>
    </w:tbl>
    <w:p>
      <w:pPr>
        <w:pStyle w:val="Heading2"/>
        <w:spacing w:after="160" w:before="280"/>
      </w:pPr>
      <w:r>
        <w:rPr>
          <w:rFonts w:ascii="Arial" w:cs="Arial" w:eastAsia="Arial" w:hAnsi="Arial"/>
          <w:b/>
          <w:bCs/>
          <w:color w:val="2D5F8A"/>
          <w:sz w:val="26"/>
          <w:szCs w:val="26"/>
        </w:rPr>
        <w:t xml:space="preserve">3.5 Specialized Intelligence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composite-repair-authority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DEPLOY218: ASME PCC-2 Art. 4.1 / ISO 24817 composite repair assessment; detects CFRP/GFRP wraps, evaluates bonding, UV exposure, impact damage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planner-agent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DEPLOY217: Rule-based action planner; 6 rules generating owner-assigned corrective actions based on decision spine output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similar-cases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DEPLOY215: pgvector cosine similarity search across embedded case histories; returns k-nearest cases with relevance scores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embed-case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DEPLOY215: Generates 1536-dimension OpenAI embeddings for case summaries; stores in pgvector for similarity retrieval</w:t>
            </w:r>
          </w:p>
        </w:tc>
      </w:tr>
    </w:tbl>
    <w:p>
      <w:pPr>
        <w:pStyle w:val="Heading2"/>
        <w:spacing w:after="160" w:before="280"/>
      </w:pPr>
      <w:r>
        <w:rPr>
          <w:rFonts w:ascii="Arial" w:cs="Arial" w:eastAsia="Arial" w:hAnsi="Arial"/>
          <w:b/>
          <w:bCs/>
          <w:color w:val="2D5F8A"/>
          <w:sz w:val="26"/>
          <w:szCs w:val="26"/>
        </w:rPr>
        <w:t xml:space="preserve">3.6 Case &amp; Asset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create-case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Creates new inspection cases with auto-generated case numbers (NDT-xxx format)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create-asset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Registers new assets (pressure vessels, piping, tanks) with metadata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asset-detail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Retrieves full asset detail including inspection history and condition timeline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case-summary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Generates natural-language case summaries from structured evidence</w:t>
            </w:r>
          </w:p>
        </w:tc>
      </w:tr>
    </w:tbl>
    <w:p>
      <w:pPr>
        <w:pStyle w:val="Heading2"/>
        <w:spacing w:after="160" w:before="280"/>
      </w:pPr>
      <w:r>
        <w:rPr>
          <w:rFonts w:ascii="Arial" w:cs="Arial" w:eastAsia="Arial" w:hAnsi="Arial"/>
          <w:b/>
          <w:bCs/>
          <w:color w:val="2D5F8A"/>
          <w:sz w:val="26"/>
          <w:szCs w:val="26"/>
        </w:rPr>
        <w:t xml:space="preserve">3.7 Routing &amp;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master-router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Central API gateway; routes requests to appropriate function based on intent classification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run-universal-route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Universal routing for unclassified requests; attempts intent detection then delegates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run-reality-loop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Iterative reality-checking loop; re-evaluates decisions against new evidence until convergence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safety-incident-check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Pre-flight safety check before finalizing any inspection decision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dashboard-stats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Aggregates organization-wide metrics for the main 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Conversational interface for natural-language queries against case data</w:t>
            </w:r>
          </w:p>
        </w:tc>
      </w:tr>
    </w:tbl>
    <w:p>
      <w:pPr>
        <w:pStyle w:val="Heading2"/>
        <w:spacing w:after="160" w:before="280"/>
      </w:pPr>
      <w:r>
        <w:rPr>
          <w:rFonts w:ascii="Arial" w:cs="Arial" w:eastAsia="Arial" w:hAnsi="Arial"/>
          <w:b/>
          <w:bCs/>
          <w:color w:val="2D5F8A"/>
          <w:sz w:val="26"/>
          <w:szCs w:val="26"/>
        </w:rPr>
        <w:t xml:space="preserve">3.8 Supporting &amp; Utility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org-settings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Organization configuration management (thresholds, defaults, branding)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stripe-webhook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Payment processing webhook handler for subscription management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check-subscription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Validates current subscription tier and feature entitlements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knowledge-search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Full-text and semantic search across the knowledge base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upload-document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Document upload handler with extraction pipeline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report-generator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Generates formatted inspection reports from case data</w:t>
            </w:r>
          </w:p>
        </w:tc>
      </w:tr>
    </w:tbl>
    <w:p>
      <w:r>
        <w:br w:type="page"/>
      </w:r>
    </w:p>
    <w:p>
      <w:pPr>
        <w:pStyle w:val="Heading1"/>
        <w:spacing w:after="200" w:before="360"/>
      </w:pPr>
      <w:r>
        <w:rPr>
          <w:rFonts w:ascii="Arial" w:cs="Arial" w:eastAsia="Arial" w:hAnsi="Arial"/>
          <w:b/>
          <w:bCs/>
          <w:color w:val="1B3A5C"/>
          <w:sz w:val="32"/>
          <w:szCs w:val="32"/>
        </w:rPr>
        <w:t xml:space="preserve">4. Frontend Architecture</w:t>
      </w:r>
    </w:p>
    <w:p>
      <w:pPr>
        <w:pStyle w:val="Heading2"/>
        <w:spacing w:after="160" w:before="280"/>
      </w:pPr>
      <w:r>
        <w:rPr>
          <w:rFonts w:ascii="Arial" w:cs="Arial" w:eastAsia="Arial" w:hAnsi="Arial"/>
          <w:b/>
          <w:bCs/>
          <w:color w:val="2D5F8A"/>
          <w:sz w:val="26"/>
          <w:szCs w:val="26"/>
        </w:rPr>
        <w:t xml:space="preserve">4.1 Application Pages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Dashboard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Organization-wide metrics: open cases, decisions pending, asset health overview, recent activity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Cases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Case list with filtering, sorting, and bulk operations; links to individual case 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CaseDetail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Primary workspace with tabbed interface: Overview, Evidence, Decision. Mounts all intelligence cards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Assets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Asset registry with condition tracking and inspection scheduling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Knowledge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Searchable knowledge base of codes, standards, and organizational procedures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Settings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Organization settings, user management, subscription, and threshold configuration</w:t>
            </w:r>
          </w:p>
        </w:tc>
      </w:tr>
    </w:tbl>
    <w:p>
      <w:pPr>
        <w:pStyle w:val="Heading2"/>
        <w:spacing w:after="160" w:before="280"/>
      </w:pPr>
      <w:r>
        <w:rPr>
          <w:rFonts w:ascii="Arial" w:cs="Arial" w:eastAsia="Arial" w:hAnsi="Arial"/>
          <w:b/>
          <w:bCs/>
          <w:color w:val="2D5F8A"/>
          <w:sz w:val="26"/>
          <w:szCs w:val="26"/>
        </w:rPr>
        <w:t xml:space="preserve">4.2 Decision Intelligence Components (8)</w:t>
      </w:r>
    </w:p>
    <w:p>
      <w:pPr>
        <w:spacing w:after="120"/>
      </w:pPr>
      <w:r>
        <w:rPr>
          <w:rFonts w:ascii="Arial" w:cs="Arial" w:eastAsia="Arial" w:hAnsi="Arial"/>
          <w:color w:val="333333"/>
          <w:sz w:val="20"/>
          <w:szCs w:val="20"/>
        </w:rPr>
        <w:t xml:space="preserve">All components mount on the CaseDetail Decision tab using the pattern: {id &amp;&amp; &lt;ComponentName caseId={id} /&gt;}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SimilarCasesPanel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DEPLOY215: Displays k-nearest similar cases from pgvector search with relevance scores and case summaries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DecisionSpineCard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DEPLOY216: Shows calibrated decision (ACCEPT/MONITOR/REPAIR/REJECT), OOD flag, physics coverage %, confidence score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PlannerAgentCard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DEPLOY217: Displays generated corrective actions with owner assignments, priorities, and deadlines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CompositeRepairCard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DEPLOY218: ASME PCC-2 composite repair assessment with mechanism detection and severity badges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MaterialAuthorityCard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DEPLOY219: Unified 8-class material engine with class filter chips, mechanism list, authority codes, inspection plans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AuthorityLockCard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Authority decision with SHA-256 signed audit bundle, wall loss %, applicable codes, ACCEPT/REJECT verdict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ThicknessGrid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Evidence tab: thickness reading heatmap with grid upload (CSV), statistics, and min/max/avg calculations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MeasurementsPanel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Evidence tab: case measurements (crack dimensions, pitting, flaw sizing) with unit tracking</w:t>
            </w:r>
          </w:p>
        </w:tc>
      </w:tr>
    </w:tbl>
    <w:p>
      <w:r>
        <w:br w:type="page"/>
      </w:r>
    </w:p>
    <w:p>
      <w:pPr>
        <w:pStyle w:val="Heading1"/>
        <w:spacing w:after="200" w:before="360"/>
      </w:pPr>
      <w:r>
        <w:rPr>
          <w:rFonts w:ascii="Arial" w:cs="Arial" w:eastAsia="Arial" w:hAnsi="Arial"/>
          <w:b/>
          <w:bCs/>
          <w:color w:val="1B3A5C"/>
          <w:sz w:val="32"/>
          <w:szCs w:val="32"/>
        </w:rPr>
        <w:t xml:space="preserve">5. Database Architecture</w:t>
      </w:r>
    </w:p>
    <w:p>
      <w:pPr>
        <w:pStyle w:val="Heading2"/>
        <w:spacing w:after="160" w:before="280"/>
      </w:pPr>
      <w:r>
        <w:rPr>
          <w:rFonts w:ascii="Arial" w:cs="Arial" w:eastAsia="Arial" w:hAnsi="Arial"/>
          <w:b/>
          <w:bCs/>
          <w:color w:val="2D5F8A"/>
          <w:sz w:val="26"/>
          <w:szCs w:val="26"/>
        </w:rPr>
        <w:t xml:space="preserve">5.1 Primary Tables</w:t>
      </w:r>
    </w:p>
    <w:p>
      <w:pPr>
        <w:spacing w:after="120"/>
      </w:pPr>
      <w:r>
        <w:rPr>
          <w:rFonts w:ascii="Arial" w:cs="Arial" w:eastAsia="Arial" w:hAnsi="Arial"/>
          <w:color w:val="333333"/>
          <w:sz w:val="20"/>
          <w:szCs w:val="20"/>
        </w:rPr>
        <w:t xml:space="preserve">The system uses Supabase PostgreSQL with pgvector extension for embedding-based similarity search. Row Level Security (RLS) scopes all queries to the authenticated user's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 &amp; Key Columns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inspection_cases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Primary case table (UUID PK). Columns include: case_number, title, method, status, component_name, inspection_context (narrative text), case_summary, case_embedding (vector 1536), plus all DEPLOY columns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cases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Legacy case table. FK target for findings table. Bridged via UUID for backward compatibility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findings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Inspection findings: finding_id, indication_type, severity, location_zone, component, method_detected_by, notes, recommended_action. FK to cases(id)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thickness_readings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Grid-based wall thickness data: reading_value, nominal_value, grid_position, x/y coordinates. Used for wall loss % calculations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case_measurements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Flaw sizing: measurement_type, value, unit. Crack length/depth, pitting diameter/depth, etc.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assets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Asset registry: type, location, design data, inspection history metadata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organizations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Multi-tenant organization data with subscription tier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profiles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profiles linked to Supabase Auth with organization membership</w:t>
            </w:r>
          </w:p>
        </w:tc>
      </w:tr>
    </w:tbl>
    <w:p>
      <w:pPr>
        <w:pStyle w:val="Heading2"/>
        <w:spacing w:after="160" w:before="280"/>
      </w:pPr>
      <w:r>
        <w:rPr>
          <w:rFonts w:ascii="Arial" w:cs="Arial" w:eastAsia="Arial" w:hAnsi="Arial"/>
          <w:b/>
          <w:bCs/>
          <w:color w:val="2D5F8A"/>
          <w:sz w:val="26"/>
          <w:szCs w:val="26"/>
        </w:rPr>
        <w:t xml:space="preserve">5.2 DEPLOY Columns on inspection_cases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 &amp; Purpose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case_summary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 AI-generated natural language case summary (DEPLOY215)</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case_embedding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vector(1536) - OpenAI embedding for similarity search (DEPLOY215)</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embedded_at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timestamptz - When embedding was last generated (DEPLOY215)</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decision_spine_result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jsonb - Decision Spine output: decision, confidence, OOD flag, physics coverage (DEPLOY216)</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decision_spine_generated_at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timestamptz - Spine generation timestamp (DEPLOY216)</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planner_agent_result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jsonb - Planner output: actions array with owners, priorities, deadlines (DEPLOY217)</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planner_agent_generated_at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timestamptz - Planner generation timestamp (DEPLOY217)</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composite_repair_assessment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jsonb - Composite repair analysis: mechanisms, severity, code references (DEPLOY218)</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composite_repair_generated_at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timestamptz - Composite assessment timestamp (DEPLOY218)</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composite_repair_status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 intact/suspect/failed status (DEPLOY218)</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material_authority_assessment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jsonb - Unified material engine: 8 classes, mechanisms, authority codes (DEPLOY219)</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material_authority_generated_at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timestamptz - Material assessment timestamp (DEPLOY219)</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material_authority_status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 no_material_detected/intact/suspect/failed (DEPLOY219)</w:t>
            </w:r>
          </w:p>
        </w:tc>
      </w:tr>
    </w:tbl>
    <w:p>
      <w:pPr>
        <w:pStyle w:val="Heading2"/>
        <w:spacing w:after="160" w:before="280"/>
      </w:pPr>
      <w:r>
        <w:rPr>
          <w:rFonts w:ascii="Arial" w:cs="Arial" w:eastAsia="Arial" w:hAnsi="Arial"/>
          <w:b/>
          <w:bCs/>
          <w:color w:val="2D5F8A"/>
          <w:sz w:val="26"/>
          <w:szCs w:val="26"/>
        </w:rPr>
        <w:t xml:space="preserve">5.3 Key Database Features</w:t>
      </w:r>
    </w:p>
    <w:p>
      <w:pPr>
        <w:spacing w:after="120"/>
      </w:pPr>
      <w:r>
        <w:rPr>
          <w:rFonts w:ascii="Arial" w:cs="Arial" w:eastAsia="Arial" w:hAnsi="Arial"/>
          <w:color w:val="333333"/>
          <w:sz w:val="20"/>
          <w:szCs w:val="20"/>
        </w:rPr>
        <w:t xml:space="preserve">pgvector with ivfflat indexing enables sub-second cosine similarity search across all embedded cases. The find_similar_cases RPC function accepts a query embedding and returns the k-nearest cases with similarity scores, filtered by organization. Partial indexes on status columns (e.g., material_authority_status IN ('suspect', 'failed')) enable fast dashboard queries for cases requiring attention.</w:t>
      </w:r>
    </w:p>
    <w:p>
      <w:r>
        <w:br w:type="page"/>
      </w:r>
    </w:p>
    <w:p>
      <w:pPr>
        <w:pStyle w:val="Heading1"/>
        <w:spacing w:after="200" w:before="360"/>
      </w:pPr>
      <w:r>
        <w:rPr>
          <w:rFonts w:ascii="Arial" w:cs="Arial" w:eastAsia="Arial" w:hAnsi="Arial"/>
          <w:b/>
          <w:bCs/>
          <w:color w:val="1B3A5C"/>
          <w:sz w:val="32"/>
          <w:szCs w:val="32"/>
        </w:rPr>
        <w:t xml:space="preserve">6. Deploy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Deploy</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DEPLOY211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Core Platform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 tables, auth, RLS, asset management, case CRUD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DEPLOY212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Analysis Pipeline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Observation layer, reasoning layer, run-analysis, convergence engine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DEPLOY213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Authority Engine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Governance matrix, code resolution, authority lock, audit bundles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DEPLOY214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Decision Core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Decision spine, dominance, truth engine, planner agent (initial)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DEPLOY215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Similar Cases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pgvector embeddings, cosine similarity search, SimilarCasesPanel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DEPLOY216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Decision Spine v2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OOD calibration, physics coverage tracking, DecisionSpineCard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DEPLOY217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Planner Agent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Rule-based action generation, 6 rules, PlannerAgentCard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DEPLOY218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Composite Repair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ASME PCC-2 / ISO 24817, 4 mechanisms, CompositeRepairCard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DEPLOY219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Material Authority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Unified 8-class engine, multi-material detection, MaterialAuthorityCard</w:t>
            </w:r>
          </w:p>
        </w:tc>
      </w:tr>
    </w:tbl>
    <w:p>
      <w:r>
        <w:br w:type="page"/>
      </w:r>
    </w:p>
    <w:p>
      <w:pPr>
        <w:pStyle w:val="Heading1"/>
        <w:spacing w:after="200" w:before="360"/>
      </w:pPr>
      <w:r>
        <w:rPr>
          <w:rFonts w:ascii="Arial" w:cs="Arial" w:eastAsia="Arial" w:hAnsi="Arial"/>
          <w:b/>
          <w:bCs/>
          <w:color w:val="1B3A5C"/>
          <w:sz w:val="32"/>
          <w:szCs w:val="32"/>
        </w:rPr>
        <w:t xml:space="preserve">7. DEPLOY219: Unified Material Authority Engine</w:t>
      </w:r>
    </w:p>
    <w:p>
      <w:pPr>
        <w:spacing w:after="120"/>
      </w:pPr>
      <w:r>
        <w:rPr>
          <w:rFonts w:ascii="Arial" w:cs="Arial" w:eastAsia="Arial" w:hAnsi="Arial"/>
          <w:color w:val="333333"/>
          <w:sz w:val="20"/>
          <w:szCs w:val="20"/>
        </w:rPr>
        <w:t xml:space="preserve">The most recent and architecturally significant deployment. A single serverless function with a modular router that detects and assesses 8 material classes from free-text inspector narratives. Multiple classes can fire simultaneously on the same case.</w:t>
      </w:r>
    </w:p>
    <w:p>
      <w:pPr>
        <w:pStyle w:val="Heading2"/>
        <w:spacing w:after="160" w:before="280"/>
      </w:pPr>
      <w:r>
        <w:rPr>
          <w:rFonts w:ascii="Arial" w:cs="Arial" w:eastAsia="Arial" w:hAnsi="Arial"/>
          <w:b/>
          <w:bCs/>
          <w:color w:val="2D5F8A"/>
          <w:sz w:val="26"/>
          <w:szCs w:val="26"/>
        </w:rPr>
        <w:t xml:space="preserve">7.1 Material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Materials</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Standards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Composite Repair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CFRP, GFRP, bonded wraps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ASME PCC-2, ISO 24817</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Coatings &amp; Surface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Epoxy, FBE, thermal spray, ceramic coatings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NACE, SSPC, ASTM D-series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Ceramics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Alumina, SiC, CMC, zirconia, refractories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ASTM C-series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Polymers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HDPE, PTFE, PEEK, PVC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ASTM D-series, ASME B31.3 Ch. VII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Elastomers &amp; Rubber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Neoprene, nitrile, EPDM, viton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NACE SP0105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Advanced Alloys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Titanium, inconel, hastelloy, Cu-Ni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NACE MR0175, API 579</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Foams &amp; Core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 foam, honeycomb, sandwich panels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ASTM C-series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Hybrid / Smart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Nanocomposites, SMA, AM parts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ASTM E3166</w:t>
            </w:r>
          </w:p>
        </w:tc>
      </w:tr>
    </w:tbl>
    <w:p>
      <w:pPr>
        <w:pStyle w:val="Heading2"/>
        <w:spacing w:after="160" w:before="280"/>
      </w:pPr>
      <w:r>
        <w:rPr>
          <w:rFonts w:ascii="Arial" w:cs="Arial" w:eastAsia="Arial" w:hAnsi="Arial"/>
          <w:b/>
          <w:bCs/>
          <w:color w:val="2D5F8A"/>
          <w:sz w:val="26"/>
          <w:szCs w:val="26"/>
        </w:rPr>
        <w:t xml:space="preserve">7.2 Detection Architecture</w:t>
      </w:r>
    </w:p>
    <w:p>
      <w:pPr>
        <w:spacing w:after="120"/>
      </w:pPr>
      <w:r>
        <w:rPr>
          <w:rFonts w:ascii="Arial" w:cs="Arial" w:eastAsia="Arial" w:hAnsi="Arial"/>
          <w:color w:val="333333"/>
          <w:sz w:val="20"/>
          <w:szCs w:val="20"/>
        </w:rPr>
        <w:t xml:space="preserve">Each module contains a keyword presence array, a mechanism detection function, an authority code resolver, and an inspection plan generator. The router executes all 8 modules against a haystack built from all text fields on the case plus findings data. Results are merged and deduplicated. Status resolution follows a strict hierarchy: any HIGH-severity mechanism produces 'failed' status; any mechanism at any severity produces 'suspect'; no mechanisms produces 'intact'; no keyword matches produces 'no_material_detected'.</w:t>
      </w:r>
    </w:p>
    <w:p>
      <w:r>
        <w:br w:type="page"/>
      </w:r>
    </w:p>
    <w:p>
      <w:pPr>
        <w:pStyle w:val="Heading1"/>
        <w:spacing w:after="200" w:before="360"/>
      </w:pPr>
      <w:r>
        <w:rPr>
          <w:rFonts w:ascii="Arial" w:cs="Arial" w:eastAsia="Arial" w:hAnsi="Arial"/>
          <w:b/>
          <w:bCs/>
          <w:color w:val="1B3A5C"/>
          <w:sz w:val="32"/>
          <w:szCs w:val="32"/>
        </w:rPr>
        <w:t xml:space="preserve">8. Competitive Differentiation</w:t>
      </w:r>
    </w:p>
    <w:p>
      <w:pPr>
        <w:pStyle w:val="Heading2"/>
        <w:spacing w:after="160" w:before="280"/>
      </w:pPr>
      <w:r>
        <w:rPr>
          <w:rFonts w:ascii="Arial" w:cs="Arial" w:eastAsia="Arial" w:hAnsi="Arial"/>
          <w:b/>
          <w:bCs/>
          <w:color w:val="2D5F8A"/>
          <w:sz w:val="26"/>
          <w:szCs w:val="26"/>
        </w:rPr>
        <w:t xml:space="preserve">8.1 Code-as-Law Architecture</w:t>
      </w:r>
    </w:p>
    <w:p>
      <w:pPr>
        <w:spacing w:after="120"/>
      </w:pPr>
      <w:r>
        <w:rPr>
          <w:rFonts w:ascii="Arial" w:cs="Arial" w:eastAsia="Arial" w:hAnsi="Arial"/>
          <w:color w:val="333333"/>
          <w:sz w:val="20"/>
          <w:szCs w:val="20"/>
        </w:rPr>
        <w:t xml:space="preserve">Engineering code requirements are implemented as deterministic logic, not LLM prompts. When the system evaluates wall loss against API 510 Section 7, it executes the actual calculation (t_min = PD/2SE + allowances) rather than asking an AI to interpret the code. This eliminates hallucination risk in safety-critical decisions and makes every output legally defensible.</w:t>
      </w:r>
    </w:p>
    <w:p>
      <w:pPr>
        <w:pStyle w:val="Heading2"/>
        <w:spacing w:after="160" w:before="280"/>
      </w:pPr>
      <w:r>
        <w:rPr>
          <w:rFonts w:ascii="Arial" w:cs="Arial" w:eastAsia="Arial" w:hAnsi="Arial"/>
          <w:b/>
          <w:bCs/>
          <w:color w:val="2D5F8A"/>
          <w:sz w:val="26"/>
          <w:szCs w:val="26"/>
        </w:rPr>
        <w:t xml:space="preserve">8.2 SHA-256 Signed Audit Trail</w:t>
      </w:r>
    </w:p>
    <w:p>
      <w:pPr>
        <w:spacing w:after="120"/>
      </w:pPr>
      <w:r>
        <w:rPr>
          <w:rFonts w:ascii="Arial" w:cs="Arial" w:eastAsia="Arial" w:hAnsi="Arial"/>
          <w:color w:val="333333"/>
          <w:sz w:val="20"/>
          <w:szCs w:val="20"/>
        </w:rPr>
        <w:t xml:space="preserve">Every authority decision generates a cryptographically signed audit bundle containing the input evidence, all intermediate calculations, the applicable code references, and the final decision. The bundle hash is stored immutably. This provides regulatory-grade traceability that no competitor in the NDT software space currently offers.</w:t>
      </w:r>
    </w:p>
    <w:p>
      <w:pPr>
        <w:pStyle w:val="Heading2"/>
        <w:spacing w:after="160" w:before="280"/>
      </w:pPr>
      <w:r>
        <w:rPr>
          <w:rFonts w:ascii="Arial" w:cs="Arial" w:eastAsia="Arial" w:hAnsi="Arial"/>
          <w:b/>
          <w:bCs/>
          <w:color w:val="2D5F8A"/>
          <w:sz w:val="26"/>
          <w:szCs w:val="26"/>
        </w:rPr>
        <w:t xml:space="preserve">8.3 Physics-First Decision Spine</w:t>
      </w:r>
    </w:p>
    <w:p>
      <w:pPr>
        <w:spacing w:after="120"/>
      </w:pPr>
      <w:r>
        <w:rPr>
          <w:rFonts w:ascii="Arial" w:cs="Arial" w:eastAsia="Arial" w:hAnsi="Arial"/>
          <w:color w:val="333333"/>
          <w:sz w:val="20"/>
          <w:szCs w:val="20"/>
        </w:rPr>
        <w:t xml:space="preserve">The Decision Spine does not merely aggregate votes. It tracks physics coverage (what percentage of relevant engineering calculations have been performed), detects out-of-distribution cases (where the available evidence falls outside the training envelope of the decision logic), and produces calibrated confidence scores. An OOD flag of UNKNOWN means the system is honest about the limits of its analysis rather than producing a false-confidence result.</w:t>
      </w:r>
    </w:p>
    <w:p>
      <w:pPr>
        <w:pStyle w:val="Heading2"/>
        <w:spacing w:after="160" w:before="280"/>
      </w:pPr>
      <w:r>
        <w:rPr>
          <w:rFonts w:ascii="Arial" w:cs="Arial" w:eastAsia="Arial" w:hAnsi="Arial"/>
          <w:b/>
          <w:bCs/>
          <w:color w:val="2D5F8A"/>
          <w:sz w:val="26"/>
          <w:szCs w:val="26"/>
        </w:rPr>
        <w:t xml:space="preserve">8.4 Multi-Material Intelligence</w:t>
      </w:r>
    </w:p>
    <w:p>
      <w:pPr>
        <w:spacing w:after="120"/>
      </w:pPr>
      <w:r>
        <w:rPr>
          <w:rFonts w:ascii="Arial" w:cs="Arial" w:eastAsia="Arial" w:hAnsi="Arial"/>
          <w:color w:val="333333"/>
          <w:sz w:val="20"/>
          <w:szCs w:val="20"/>
        </w:rPr>
        <w:t xml:space="preserve">DEPLOY219 is the only known system that can simultaneously detect and assess multiple material classes from unstructured inspector narratives. A single riser case can trigger composite repair, coatings, and advanced alloy assessments in parallel, with deduplicated mechanisms and merged inspection plans. Competitors handle materials as separate modules requiring manual selection.</w:t>
      </w:r>
    </w:p>
    <w:p>
      <w:pPr>
        <w:pStyle w:val="Heading2"/>
        <w:spacing w:after="160" w:before="280"/>
      </w:pPr>
      <w:r>
        <w:rPr>
          <w:rFonts w:ascii="Arial" w:cs="Arial" w:eastAsia="Arial" w:hAnsi="Arial"/>
          <w:b/>
          <w:bCs/>
          <w:color w:val="2D5F8A"/>
          <w:sz w:val="26"/>
          <w:szCs w:val="26"/>
        </w:rPr>
        <w:t xml:space="preserve">8.5 Incident-to-Decision Pipeline</w:t>
      </w:r>
    </w:p>
    <w:p>
      <w:pPr>
        <w:spacing w:after="120"/>
      </w:pPr>
      <w:r>
        <w:rPr>
          <w:rFonts w:ascii="Arial" w:cs="Arial" w:eastAsia="Arial" w:hAnsi="Arial"/>
          <w:color w:val="333333"/>
          <w:sz w:val="20"/>
          <w:szCs w:val="20"/>
        </w:rPr>
        <w:t xml:space="preserve">The system can ingest a voice-transcribed incident report (parse-incident), automatically create an inspection case (incident-to-case), run the full analysis pipeline (run-analysis + run-convergence), lock the authority decision (run-authority), and generate assigned corrective actions (planner-agent) without human intervention beyond the initial voice report. This end-to-end automation is unique in the industry.</w:t>
      </w:r>
    </w:p>
    <w:p>
      <w:r>
        <w:br w:type="page"/>
      </w:r>
    </w:p>
    <w:p>
      <w:pPr>
        <w:pStyle w:val="Heading1"/>
        <w:spacing w:after="200" w:before="360"/>
      </w:pPr>
      <w:r>
        <w:rPr>
          <w:rFonts w:ascii="Arial" w:cs="Arial" w:eastAsia="Arial" w:hAnsi="Arial"/>
          <w:b/>
          <w:bCs/>
          <w:color w:val="1B3A5C"/>
          <w:sz w:val="32"/>
          <w:szCs w:val="32"/>
        </w:rPr>
        <w:t xml:space="preserve">9. Configuration &amp; Infrastructure</w:t>
      </w:r>
    </w:p>
    <w:p>
      <w:pPr>
        <w:pStyle w:val="Heading2"/>
        <w:spacing w:after="160" w:before="280"/>
      </w:pPr>
      <w:r>
        <w:rPr>
          <w:rFonts w:ascii="Arial" w:cs="Arial" w:eastAsia="Arial" w:hAnsi="Arial"/>
          <w:b/>
          <w:bCs/>
          <w:color w:val="2D5F8A"/>
          <w:sz w:val="26"/>
          <w:szCs w:val="26"/>
        </w:rPr>
        <w:t xml:space="preserve">9.1 Build Configuration</w:t>
      </w:r>
    </w:p>
    <w:p>
      <w:pPr>
        <w:spacing w:after="120"/>
      </w:pPr>
      <w:r>
        <w:rPr>
          <w:rFonts w:ascii="Arial" w:cs="Arial" w:eastAsia="Arial" w:hAnsi="Arial"/>
          <w:b/>
          <w:bCs/>
          <w:color w:val="333333"/>
          <w:sz w:val="20"/>
          <w:szCs w:val="20"/>
        </w:rPr>
        <w:t xml:space="preserve">Vite config: </w:t>
      </w:r>
      <w:r>
        <w:rPr>
          <w:rFonts w:ascii="Arial" w:cs="Arial" w:eastAsia="Arial" w:hAnsi="Arial"/>
          <w:color w:val="333333"/>
          <w:sz w:val="20"/>
          <w:szCs w:val="20"/>
        </w:rPr>
        <w:t xml:space="preserve">React plugin, /api proxy to Netlify Functions in dev</w:t>
      </w:r>
    </w:p>
    <w:p>
      <w:pPr>
        <w:spacing w:after="120"/>
      </w:pPr>
      <w:r>
        <w:rPr>
          <w:rFonts w:ascii="Arial" w:cs="Arial" w:eastAsia="Arial" w:hAnsi="Arial"/>
          <w:b/>
          <w:bCs/>
          <w:color w:val="333333"/>
          <w:sz w:val="20"/>
          <w:szCs w:val="20"/>
        </w:rPr>
        <w:t xml:space="preserve">TypeScript: </w:t>
      </w:r>
      <w:r>
        <w:rPr>
          <w:rFonts w:ascii="Arial" w:cs="Arial" w:eastAsia="Arial" w:hAnsi="Arial"/>
          <w:color w:val="333333"/>
          <w:sz w:val="20"/>
          <w:szCs w:val="20"/>
        </w:rPr>
        <w:t xml:space="preserve">Strict mode with @ts-nocheck per-file override (house style)</w:t>
      </w:r>
    </w:p>
    <w:p>
      <w:pPr>
        <w:spacing w:after="120"/>
      </w:pPr>
      <w:r>
        <w:rPr>
          <w:rFonts w:ascii="Arial" w:cs="Arial" w:eastAsia="Arial" w:hAnsi="Arial"/>
          <w:b/>
          <w:bCs/>
          <w:color w:val="333333"/>
          <w:sz w:val="20"/>
          <w:szCs w:val="20"/>
        </w:rPr>
        <w:t xml:space="preserve">Netlify: </w:t>
      </w:r>
      <w:r>
        <w:rPr>
          <w:rFonts w:ascii="Arial" w:cs="Arial" w:eastAsia="Arial" w:hAnsi="Arial"/>
          <w:color w:val="333333"/>
          <w:sz w:val="20"/>
          <w:szCs w:val="20"/>
        </w:rPr>
        <w:t xml:space="preserve">[build] command = npm run build, publish = dist, functions = netlify/functions</w:t>
      </w:r>
    </w:p>
    <w:p>
      <w:pPr>
        <w:spacing w:after="120"/>
      </w:pPr>
      <w:r>
        <w:rPr>
          <w:rFonts w:ascii="Arial" w:cs="Arial" w:eastAsia="Arial" w:hAnsi="Arial"/>
          <w:b/>
          <w:bCs/>
          <w:color w:val="333333"/>
          <w:sz w:val="20"/>
          <w:szCs w:val="20"/>
        </w:rPr>
        <w:t xml:space="preserve">Redirects: </w:t>
      </w:r>
      <w:r>
        <w:rPr>
          <w:rFonts w:ascii="Arial" w:cs="Arial" w:eastAsia="Arial" w:hAnsi="Arial"/>
          <w:color w:val="333333"/>
          <w:sz w:val="20"/>
          <w:szCs w:val="20"/>
        </w:rPr>
        <w:t xml:space="preserve">/api/* proxied to /.netlify/functions/:splat (200 rewrite)</w:t>
      </w:r>
    </w:p>
    <w:p>
      <w:pPr>
        <w:pStyle w:val="Heading2"/>
        <w:spacing w:after="160" w:before="280"/>
      </w:pPr>
      <w:r>
        <w:rPr>
          <w:rFonts w:ascii="Arial" w:cs="Arial" w:eastAsia="Arial" w:hAnsi="Arial"/>
          <w:b/>
          <w:bCs/>
          <w:color w:val="2D5F8A"/>
          <w:sz w:val="26"/>
          <w:szCs w:val="26"/>
        </w:rPr>
        <w:t xml:space="preserve">9.2 Environment Variables</w:t>
      </w:r>
    </w:p>
    <w:p>
      <w:pPr>
        <w:spacing w:after="120"/>
      </w:pPr>
      <w:r>
        <w:rPr>
          <w:rFonts w:ascii="Arial" w:cs="Arial" w:eastAsia="Arial" w:hAnsi="Arial"/>
          <w:color w:val="333333"/>
          <w:sz w:val="20"/>
          <w:szCs w:val="20"/>
        </w:rPr>
        <w:t xml:space="preserve">SUPABASE_URL, SUPABASE_SERVICE_ROLE_KEY (server-side), VITE_SUPABASE_URL, VITE_SUPABASE_ANON_KEY (client-side), OPENAI_API_KEY (for embeddings and analysis), STRIPE_SECRET_KEY, STRIPE_WEBHOOK_SECRET (payments).</w:t>
      </w:r>
    </w:p>
    <w:p>
      <w:pPr>
        <w:pStyle w:val="Heading2"/>
        <w:spacing w:after="160" w:before="280"/>
      </w:pPr>
      <w:r>
        <w:rPr>
          <w:rFonts w:ascii="Arial" w:cs="Arial" w:eastAsia="Arial" w:hAnsi="Arial"/>
          <w:b/>
          <w:bCs/>
          <w:color w:val="2D5F8A"/>
          <w:sz w:val="26"/>
          <w:szCs w:val="26"/>
        </w:rPr>
        <w:t xml:space="preserve">9.3 House Style Constraints</w:t>
      </w:r>
    </w:p>
    <w:p>
      <w:pPr>
        <w:spacing w:after="120"/>
      </w:pPr>
      <w:r>
        <w:rPr>
          <w:rFonts w:ascii="Arial" w:cs="Arial" w:eastAsia="Arial" w:hAnsi="Arial"/>
          <w:color w:val="333333"/>
          <w:sz w:val="20"/>
          <w:szCs w:val="20"/>
        </w:rPr>
        <w:t xml:space="preserve">All code follows strict conventions: @ts-nocheck at file top, var keyword only (no let/const), string concatenation only (no template literals/backticks), function keyword only (no arrow functions in component definitions). These constraints ensure consistency across the codebase and simplify code review.</w:t>
      </w:r>
    </w:p>
    <w:p>
      <w:r>
        <w:br w:type="page"/>
      </w:r>
    </w:p>
    <w:p>
      <w:pPr>
        <w:pStyle w:val="Heading1"/>
        <w:spacing w:after="200" w:before="360"/>
      </w:pPr>
      <w:r>
        <w:rPr>
          <w:rFonts w:ascii="Arial" w:cs="Arial" w:eastAsia="Arial" w:hAnsi="Arial"/>
          <w:b/>
          <w:bCs/>
          <w:color w:val="1B3A5C"/>
          <w:sz w:val="32"/>
          <w:szCs w:val="32"/>
        </w:rPr>
        <w:t xml:space="preserve">10. End-to-End Validated Pipeline</w:t>
      </w:r>
    </w:p>
    <w:p>
      <w:pPr>
        <w:spacing w:after="120"/>
      </w:pPr>
      <w:r>
        <w:rPr>
          <w:rFonts w:ascii="Arial" w:cs="Arial" w:eastAsia="Arial" w:hAnsi="Arial"/>
          <w:color w:val="333333"/>
          <w:sz w:val="20"/>
          <w:szCs w:val="20"/>
        </w:rPr>
        <w:t xml:space="preserve">The complete decision pipeline has been validated on a production riser case (NDT-1776299065297) with injected test evidence:</w:t>
      </w:r>
    </w:p>
    <w:p>
      <w:pPr>
        <w:pStyle w:val="Heading2"/>
        <w:spacing w:after="160" w:before="280"/>
      </w:pPr>
      <w:r>
        <w:rPr>
          <w:rFonts w:ascii="Arial" w:cs="Arial" w:eastAsia="Arial" w:hAnsi="Arial"/>
          <w:b/>
          <w:bCs/>
          <w:color w:val="2D5F8A"/>
          <w:sz w:val="26"/>
          <w:szCs w:val="26"/>
        </w:rPr>
        <w:t xml:space="preserve">10.1 Test Evidence</w:t>
      </w:r>
    </w:p>
    <w:p>
      <w:pPr>
        <w:spacing w:after="120"/>
      </w:pPr>
      <w:r>
        <w:rPr>
          <w:rFonts w:ascii="Arial" w:cs="Arial" w:eastAsia="Arial" w:hAnsi="Arial"/>
          <w:color w:val="333333"/>
          <w:sz w:val="20"/>
          <w:szCs w:val="20"/>
        </w:rPr>
        <w:t xml:space="preserve">12 thickness readings (nominal 0.500 in, minimum 0.210 in at grid position G7, wall loss 42%). 4 case measurements (crack length 6.5 in, crack depth 0.18 in, pitting depth 0.12 in, pitting diameter 0.75 in). 6 findings across corrosion, cracking, pitting, coating failure, wall loss, and disbond categories.</w:t>
      </w:r>
    </w:p>
    <w:p>
      <w:pPr>
        <w:pStyle w:val="Heading2"/>
        <w:spacing w:after="160" w:before="280"/>
      </w:pPr>
      <w:r>
        <w:rPr>
          <w:rFonts w:ascii="Arial" w:cs="Arial" w:eastAsia="Arial" w:hAnsi="Arial"/>
          <w:b/>
          <w:bCs/>
          <w:color w:val="2D5F8A"/>
          <w:sz w:val="26"/>
          <w:szCs w:val="26"/>
        </w:rPr>
        <w:t xml:space="preserve">10.2 Pipeline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Authority Lock</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REJECT - API 510/570, Critical Wall Loss 42%, min thickness 0.210 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Decision Spine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REJECT at 98% confidence, OOD: UNKNOWN, Physics Coverage: 50%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Planner Agent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ACTIONS REQUIRED: 4 corrective actions with owner assignments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Composite Repair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REPAIR FAILED: 4 mechanisms detected (delamination, UV degradation, impact damage, adhesive failure)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Material Authority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MATERIAL FAILURE DETECTED: 3 classes (composite, coatings, advanced alloys), 8 mechanisms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Similar Cases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pgvector similarity search operational, returning ranked results</w:t>
            </w:r>
          </w:p>
        </w:tc>
      </w:tr>
    </w:tbl>
    <w:p>
      <w:r>
        <w:br w:type="page"/>
      </w:r>
    </w:p>
    <w:p>
      <w:pPr>
        <w:pStyle w:val="Heading1"/>
        <w:spacing w:after="200" w:before="360"/>
      </w:pPr>
      <w:r>
        <w:rPr>
          <w:rFonts w:ascii="Arial" w:cs="Arial" w:eastAsia="Arial" w:hAnsi="Arial"/>
          <w:b/>
          <w:bCs/>
          <w:color w:val="1B3A5C"/>
          <w:sz w:val="32"/>
          <w:szCs w:val="32"/>
        </w:rPr>
        <w:t xml:space="preserve">11. Platform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Serverless Functions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Components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 decision intelligence cards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Application Pages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Database Migrations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 (DEPLOY211-DEPLOY219)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Material Classes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 (DEPLOY219)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Engineering Codes Referenced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510, API 570, API 579, ASME PCC-2, ASME B31.3/B31.4, ISO 24817, NACE MR0175, NACE SP0105, SSPC, ASTM C/D/E series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Embedding Dimensions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1536 (OpenAI text-embedding-ada-002)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Index Type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ivfflat cosine (pgvector)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Audit Integrity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SHA-256 cryptographic signing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Multi-tenancy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Organization-scoped RLS on all tables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FORGED NDT Intelligence OS  |  System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5F8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7C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2026-04-16T06:23:04.632Z</dcterms:created>
  <dcterms:modified xsi:type="dcterms:W3CDTF">2026-04-16T06:23:04.632Z</dcterms:modified>
</cp:coreProperties>
</file>

<file path=docProps/custom.xml><?xml version="1.0" encoding="utf-8"?>
<Properties xmlns="http://schemas.openxmlformats.org/officeDocument/2006/custom-properties" xmlns:vt="http://schemas.openxmlformats.org/officeDocument/2006/docPropsVTypes"/>
</file>