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Times New Roman" w:cs="Times New Roman" w:eastAsia="Times New Roman" w:hAnsi="Times New Roman"/>
          <w:b/>
          <w:bCs/>
          <w:sz w:val="32"/>
          <w:szCs w:val="32"/>
        </w:rPr>
        <w:t xml:space="preserve">PROVISIONAL PATENT APPLICATION</w:t>
      </w:r>
    </w:p>
    <w:p>
      <w:pPr>
        <w:spacing w:after="600"/>
        <w:jc w:val="center"/>
      </w:pPr>
      <w:r>
        <w:rPr>
          <w:rFonts w:ascii="Times New Roman" w:cs="Times New Roman" w:eastAsia="Times New Roman" w:hAnsi="Times New Roman"/>
          <w:b/>
          <w:bCs/>
          <w:sz w:val="24"/>
          <w:szCs w:val="24"/>
        </w:rPr>
        <w:t xml:space="preserve">UNDER 35 U.S.C. § 111(b)</w:t>
      </w:r>
    </w:p>
    <w:p>
      <w:pPr>
        <w:spacing w:after="800"/>
        <w:jc w:val="center"/>
      </w:pPr>
      <w:r>
        <w:rPr>
          <w:rFonts w:ascii="Times New Roman" w:cs="Times New Roman" w:eastAsia="Times New Roman" w:hAnsi="Times New Roman"/>
          <w:b/>
          <w:bCs/>
          <w:sz w:val="28"/>
          <w:szCs w:val="28"/>
        </w:rPr>
        <w:t xml:space="preserve">PHYSICS-FIRST DETERMINISTIC DECISION AND DIAGNOSTIC INTELLIGENCE SYSTEM WITH MULTI-LAYER VALIDATION ARCHITECTURE FOR AUTHORITATIVE-KNOWLEDGE-GOVERNED DOMAINS, INCLUDING ASSET INTEGRITY INSPECTION AND EXPERT-DOMAIN TRAINING</w:t>
      </w:r>
    </w:p>
    <w:p>
      <w:pPr>
        <w:spacing w:after="200"/>
        <w:jc w:val="center"/>
      </w:pPr>
      <w:r>
        <w:rPr>
          <w:rFonts w:ascii="Times New Roman" w:cs="Times New Roman" w:eastAsia="Times New Roman" w:hAnsi="Times New Roman"/>
          <w:b/>
          <w:bCs/>
          <w:sz w:val="24"/>
          <w:szCs w:val="24"/>
        </w:rPr>
        <w:t xml:space="preserve">Inventor:</w:t>
      </w:r>
    </w:p>
    <w:p>
      <w:pPr>
        <w:spacing w:after="400"/>
        <w:jc w:val="center"/>
      </w:pPr>
      <w:r>
        <w:rPr>
          <w:rFonts w:ascii="Times New Roman" w:cs="Times New Roman" w:eastAsia="Times New Roman" w:hAnsi="Times New Roman"/>
          <w:sz w:val="24"/>
          <w:szCs w:val="24"/>
        </w:rPr>
        <w:t xml:space="preserve">Richard G. Johnston</w:t>
      </w:r>
    </w:p>
    <w:p>
      <w:pPr>
        <w:spacing w:after="200"/>
        <w:jc w:val="center"/>
      </w:pPr>
      <w:r>
        <w:rPr>
          <w:rFonts w:ascii="Times New Roman" w:cs="Times New Roman" w:eastAsia="Times New Roman" w:hAnsi="Times New Roman"/>
          <w:b/>
          <w:bCs/>
          <w:sz w:val="24"/>
          <w:szCs w:val="24"/>
        </w:rPr>
        <w:t xml:space="preserve">Applicant / Assignee:</w:t>
      </w:r>
    </w:p>
    <w:p>
      <w:pPr>
        <w:spacing w:after="600"/>
        <w:jc w:val="center"/>
      </w:pPr>
      <w:r>
        <w:rPr>
          <w:rFonts w:ascii="Times New Roman" w:cs="Times New Roman" w:eastAsia="Times New Roman" w:hAnsi="Times New Roman"/>
          <w:sz w:val="24"/>
          <w:szCs w:val="24"/>
        </w:rPr>
        <w:t xml:space="preserve">FORGED Educational Systems</w:t>
      </w:r>
    </w:p>
    <w:p>
      <w:pPr>
        <w:spacing w:after="200"/>
        <w:jc w:val="center"/>
      </w:pPr>
      <w:r>
        <w:rPr>
          <w:rFonts w:ascii="Times New Roman" w:cs="Times New Roman" w:eastAsia="Times New Roman" w:hAnsi="Times New Roman"/>
          <w:b/>
          <w:bCs/>
          <w:sz w:val="24"/>
          <w:szCs w:val="24"/>
        </w:rPr>
        <w:t xml:space="preserve">Filed:</w:t>
      </w:r>
    </w:p>
    <w:p>
      <w:pPr>
        <w:spacing w:after="800"/>
        <w:jc w:val="center"/>
      </w:pPr>
      <w:r>
        <w:rPr>
          <w:rFonts w:ascii="Times New Roman" w:cs="Times New Roman" w:eastAsia="Times New Roman" w:hAnsi="Times New Roman"/>
          <w:sz w:val="24"/>
          <w:szCs w:val="24"/>
        </w:rPr>
        <w:t xml:space="preserve">[FILING DATE]</w:t>
      </w:r>
    </w:p>
    <w:p>
      <w:pPr>
        <w:spacing w:after="200"/>
        <w:jc w:val="center"/>
      </w:pPr>
      <w:r>
        <w:rPr>
          <w:rFonts w:ascii="Times New Roman" w:cs="Times New Roman" w:eastAsia="Times New Roman" w:hAnsi="Times New Roman"/>
          <w:sz w:val="22"/>
          <w:szCs w:val="22"/>
        </w:rPr>
        <w:t xml:space="preserve">ATTORNEY DOCKET NO.: [TO BE ASSIGNED]</w:t>
      </w:r>
    </w:p>
    <w:p>
      <w:r>
        <w:br w:type="page"/>
      </w:r>
    </w:p>
    <w:p>
      <w:pPr>
        <w:pStyle w:val="Heading1"/>
        <w:spacing w:after="200" w:before="360"/>
        <w:jc w:val="left"/>
      </w:pPr>
      <w:r>
        <w:rPr>
          <w:rFonts w:ascii="Times New Roman" w:cs="Times New Roman" w:eastAsia="Times New Roman" w:hAnsi="Times New Roman"/>
          <w:b/>
          <w:bCs/>
          <w:sz w:val="26"/>
          <w:szCs w:val="26"/>
        </w:rPr>
        <w:t xml:space="preserve">FIELD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relates to systems and methods for computer-assisted decision-making and diagnostic reasoning in domains governed by authoritative knowledge sources. The invention applies in two principal domain classes: (i) industrial nondestructive testing (NDT) and asset integrity evaluation, in which engineering codes and recommended practices govern correct outcomes; and (ii) expert-domain training, qualification, and certification preparation, in which curriculum standards and certification body requirements govern correct outcomes. More particularly, the invention relates to a hybrid deterministic-and-generative artificial intelligence architecture that constrains large language model (LLM) outputs through physics-first or domain-first reasoning, evidence provenance classification, multi-layer validation gating, and authority enforcement, to produce reproducible, defensible, and auditable outputs. Such outputs include, without limitation, engineering disposition decisions for safety-critical assets (pressure vessels, process piping, structural members, offshore platforms, atmospheric storage tanks, underwater infrastructure, and welded fabrications), and instructional or diagnostic responses in safety-critical training contexts (welding inspector preparation, commercial diving training, NDT technician qualification, and analogous expert-domain education).</w:t>
      </w:r>
    </w:p>
    <w:p>
      <w:pPr>
        <w:pStyle w:val="Heading1"/>
        <w:spacing w:after="200" w:before="360"/>
        <w:jc w:val="left"/>
      </w:pPr>
      <w:r>
        <w:rPr>
          <w:rFonts w:ascii="Times New Roman" w:cs="Times New Roman" w:eastAsia="Times New Roman" w:hAnsi="Times New Roman"/>
          <w:b/>
          <w:bCs/>
          <w:sz w:val="26"/>
          <w:szCs w:val="26"/>
        </w:rPr>
        <w:t xml:space="preserve">BACKGROUND OF THE INVENTION</w:t>
      </w:r>
    </w:p>
    <w:p>
      <w:pPr>
        <w:pStyle w:val="Heading2"/>
        <w:spacing w:after="140" w:before="240"/>
        <w:jc w:val="left"/>
      </w:pPr>
      <w:r>
        <w:rPr>
          <w:rFonts w:ascii="Times New Roman" w:cs="Times New Roman" w:eastAsia="Times New Roman" w:hAnsi="Times New Roman"/>
          <w:b/>
          <w:bCs/>
          <w:sz w:val="24"/>
          <w:szCs w:val="24"/>
        </w:rPr>
        <w:t xml:space="preserve">A. The Technical Problem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Industrial asset integrity decisions — whether a given piece of equipment is fit for continued service, must be repaired, must be replaced, or requires further inspection — are safety-critical. An incorrect decision can result in loss of containment of hazardous fluids, fire, explosion, environmental release, structural collapse, and loss of human life. These decisions are governed by complex engineering codes including, without limitation, API 510 (Pressure Vessel Inspection Code), API 570 (Piping Inspection Code), API 579-1 / ASME FFS-1 (Fitness-For-Service), ASME Boiler and Pressure Vessel Code Sections V and VIII, NACE MR0175 / ISO 15156 (Materials for Use in H2S-Containing Environments), API 581 (Risk-Based Inspection Methodology), and analogous standards in offshore, structural, marine, and underwater inspection domains.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such code encodes domain expertise that has historically required licensed engineers and qualified inspectors to interpret and apply. The cost of human expertise, combined with the increasing complexity of aging assets, has driven the industry to seek computer-assisted inspection intelligence.</w:t>
      </w:r>
    </w:p>
    <w:p>
      <w:pPr>
        <w:pStyle w:val="Heading2"/>
        <w:spacing w:after="140" w:before="240"/>
        <w:jc w:val="left"/>
      </w:pPr>
      <w:r>
        <w:rPr>
          <w:rFonts w:ascii="Times New Roman" w:cs="Times New Roman" w:eastAsia="Times New Roman" w:hAnsi="Times New Roman"/>
          <w:b/>
          <w:bCs/>
          <w:sz w:val="24"/>
          <w:szCs w:val="24"/>
        </w:rPr>
        <w:t xml:space="preserve">B. Limitations of Existing Asset Management Software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software platforms for asset integrity — including products commercially known as PCMS, Meridium APM, Synergi Plant, Cenosco IMS, and various inline inspection (ILI) vendor platforms — are fundamentally databases of record. They store inspection observations, calculate remaining life from user-supplied corrosion rates, manage work orders, and generate compliance reports. They do not reason about damage mechanisms. They do not validate the adequacy of the inspection method against the suspected mechanism. They do not detect contradictions between observed evidence and physical possibility. They do not enforce code authority over user-entered conclusions. The user must already know the engineering answer to use them effectively. They are bookkeeping systems, not reasoning systems.</w:t>
      </w:r>
    </w:p>
    <w:p>
      <w:pPr>
        <w:pStyle w:val="Heading2"/>
        <w:spacing w:after="140" w:before="240"/>
        <w:jc w:val="left"/>
      </w:pPr>
      <w:r>
        <w:rPr>
          <w:rFonts w:ascii="Times New Roman" w:cs="Times New Roman" w:eastAsia="Times New Roman" w:hAnsi="Times New Roman"/>
          <w:b/>
          <w:bCs/>
          <w:sz w:val="24"/>
          <w:szCs w:val="24"/>
        </w:rPr>
        <w:t xml:space="preserve">C. Limitations of Generative AI Approaches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recent commercial availability of large language models (LLMs) such as GPT-4 and successor models has prompted attempts to apply generative AI to engineering decision support. These approaches, in their unconstrained form, exhibit critical failure modes that render them unsuitable for safety-critical inspection use. The inventor has identified the following failure modes through extensive empirical testing: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Hallucination. LLMs confidently produce plausible but incorrect engineering conclusions, particularly when the input is ambiguous or under-specified. The model exhibits no internal mechanism for distinguishing between knowledge and confabulation.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Prompt drift. Identical inputs produce non-identical outputs across calls, violating the reproducibility required for auditable engineering decisions and regulatory acceptance.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Substring collision in entity extraction. When an LLM or rule engine performs entity extraction on natural-language input, common substrings produce false-positive matches. By way of example, the substring "train" appearing within the word "restraint" can cause an extraction layer to incorrectly identify "train" as a separate token; the substring "car" within "carbon" can cause spurious matches against unrelated transportation vocabulary; the substring "jacket" within "jacketing" (an insulation system) can cause spurious matches against offshore jacket structures. These collisions cascade, producing downstream misclassification of asset type, environmental classification, and ultimately damage mechanism identification.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Lack of physics grounding. LLMs do not natively distinguish between mechanically plausible and mechanically impossible damage scenarios. An unconstrained LLM may simultaneously assert that an asset is failing by hydrogen-induced cracking and brittle fracture under conditions in which one or the other is precluded by material chemistry, temperature, or stress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Inability to enforce code authority. Where an engineering code specifies a mandatory action (e.g., "if the component operates in wet H2S service and the as-measured hardness exceeds 22 HRC, the component shall be rejected"), an unconstrained LLM may rationalize around the code rather than enforce it, producing engineering opinions that contradict binding standards.</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conflation. LLMs do not natively distinguish between observed evidence (e.g., a measured wall thickness reading taken at a specific date and location), inferred evidence (e.g., a damage mechanism deduced from environmental and process conditions), and assumed evidence (e.g., a default value used in the absence of data). All three are presented in LLM output with equal apparent confidence.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Inspection method-mechanism mismatch. A given inspection technique may be inappropriate for the suspected damage mechanism. By way of example, ultrasonic thickness measurement does not detect environmental cracking; magnetic particle testing does not detect subsurface degradation in austenitic stainless steel. Existing systems do not validate that the chosen inspection method is capable of detecting the suspected damage.</w:t>
      </w:r>
    </w:p>
    <w:p>
      <w:pPr>
        <w:pStyle w:val="ListParagraph"/>
        <w:numPr>
          <w:ilvl w:val="0"/>
          <w:numId w:val="2"/>
        </w:numPr>
        <w:spacing w:after="60" w:before="60" w:line="300"/>
      </w:pPr>
      <w:r>
        <w:rPr>
          <w:rFonts w:ascii="Times New Roman" w:cs="Times New Roman" w:eastAsia="Times New Roman" w:hAnsi="Times New Roman"/>
          <w:sz w:val="22"/>
          <w:szCs w:val="22"/>
        </w:rPr>
        <w:t xml:space="preserve">Compound mechanism mishandling. When two or more damage mechanisms operate concurrently, but one mechanism produces failure on a markedly faster time horizon than the others, existing systems either average the rates (producing nonsense) or report "compound" without identifying the dominant rate-controlling mechanism.</w:t>
      </w:r>
    </w:p>
    <w:p>
      <w:pPr>
        <w:pStyle w:val="Heading2"/>
        <w:spacing w:after="140" w:before="240"/>
        <w:jc w:val="left"/>
      </w:pPr>
      <w:r>
        <w:rPr>
          <w:rFonts w:ascii="Times New Roman" w:cs="Times New Roman" w:eastAsia="Times New Roman" w:hAnsi="Times New Roman"/>
          <w:b/>
          <w:bCs/>
          <w:sz w:val="24"/>
          <w:szCs w:val="24"/>
        </w:rPr>
        <w:t xml:space="preserve">D. The Need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a need for a system that can convert natural-language inspection input into auditable engineering disposition decisions while: (i) enforcing physics-based constraints on candidate damage mechanisms; (ii) classifying each evidentiary input by provenance and propagating that provenance through downstream reasoning; (iii) validating that the chosen inspection method is capable of detecting the suspected damage; (iv) enforcing engineering code authority over LLM-derived conclusions; (v) detecting and resolving contradictions between observation, environmental classification, and physics; (vi) producing reproducible, deterministic outputs for identical inputs; (vii) blocking the issuance of a final disposition decision when validation criteria are not satisfied; and (viii) producing a complete audit trail traceable from final disposition back to each input observation, classification, and code reference.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satisfies these needs through a multi-layer architecture in which a deterministic decision core constrains and arbitrates the output of one or more generative AI models, and in which a series of validation gates prevents the system from issuing any disposition until all gates have been satisfied.</w:t>
      </w:r>
    </w:p>
    <w:p>
      <w:pPr>
        <w:pStyle w:val="Heading2"/>
        <w:spacing w:after="140" w:before="240"/>
        <w:jc w:val="left"/>
      </w:pPr>
      <w:r>
        <w:rPr>
          <w:rFonts w:ascii="Times New Roman" w:cs="Times New Roman" w:eastAsia="Times New Roman" w:hAnsi="Times New Roman"/>
          <w:b/>
          <w:bCs/>
          <w:sz w:val="24"/>
          <w:szCs w:val="24"/>
        </w:rPr>
        <w:t xml:space="preserve">E. The Parallel Problem in Expert-Domain Training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analogous problem exists in computer-assisted training and qualification preparation in safety-critical expert domains. Welding inspector preparation (AWS Certified Welding Inspector qualification under AWS QC1), commercial diver training (governed by ADCI Consensus Standards and OSHA 29 CFR 1910 Subpart T), and NDT technician qualification (governed by ASNT SNT-TC-1A or ASNT CP-189) all involve learners who must demonstrate not merely factual recall but the application of authoritative codes and standards to physical scenarios. Errors in field practice carried forward from training have safety consequences indistinguishable from errors made by qualified practitioners.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Existing computer-assisted training platforms in these domains — including conventional learning management systems, adaptive tutoring platforms (e.g., Carnegie Learning, ALEKS, Knewton), and recent LLM-driven tutoring systems — exhibit failure modes that parallel and partially overlap those described above for inspection systems. They include: (i) hallucination of standards content (an LLM tutor confidently reciting an AWS acceptance criterion that does not exist or has been superseded); (ii) confirmation of unsafe practice when a student's plausible-sounding-but-wrong answer is accepted by a permissive grading layer; (iii) failure to distinguish between knowledge the student has demonstrated and knowledge the system has assumed; (iv) failure to enforce certification body prerequisite gating, allowing learners to advance past unmastered foundational topics; and (v) inability to identify the dominant misconception when a student response is consistent with multiple distinct knowledge gaps.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There is therefore a parallel need for a system that can convert natural-language student response input into auditable instructional and diagnostic outputs while: (i) enforcing curriculum and certification body authority over LLM-derived feedback; (ii) classifying student response evidence by provenance; (iii) validating that the proposed instructional response addresses the dominant misconception rather than a peripheral one; (iv) preventing endorsement of unsafe practices regardless of how the student response is framed; (v) producing reproducible, deterministic outputs for identical inputs; (vi) blocking confirmation of mastery or progression when validation criteria are not satisfied; and (vii) producing a complete audit trail traceable from final instructional response back to the specific learner response, the inferred misconception, the bound curriculum objective, and the safety-critical considerations.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disclosed herein addresses both the inspection problem and the training problem through a single unified approach in which the same core subsystems — deterministic decision core, evidence provenance engine, authority lock, contradiction engine, hard-lock system, constrained-LLM synthesis, and multi-LLM adversarial validation — are applied to whichever domain is active. Engineering codes and curriculum standards are alternative classes of authoritative knowledge sources; damage mechanisms and learner misconceptions are alternative classes of dominance-ranked candidates; engineering dispositions and instructional responses are alternative classes of gated outputs.</w:t>
      </w:r>
    </w:p>
    <w:p>
      <w:r>
        <w:br w:type="page"/>
      </w:r>
    </w:p>
    <w:p>
      <w:pPr>
        <w:pStyle w:val="Heading1"/>
        <w:spacing w:after="200" w:before="360"/>
        <w:jc w:val="left"/>
      </w:pPr>
      <w:r>
        <w:rPr>
          <w:rFonts w:ascii="Times New Roman" w:cs="Times New Roman" w:eastAsia="Times New Roman" w:hAnsi="Times New Roman"/>
          <w:b/>
          <w:bCs/>
          <w:sz w:val="26"/>
          <w:szCs w:val="26"/>
        </w:rPr>
        <w:t xml:space="preserve">SUMMARY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present invention provides a physics-first deterministic inspection intelligence system, herein referred to as the "System," that overcomes the limitations described above through the integration of the following novel subsystems and methods, each of which is described in detail below and which may be claimed independently or in combination.</w:t>
      </w:r>
    </w:p>
    <w:p>
      <w:pPr>
        <w:pStyle w:val="Heading2"/>
        <w:spacing w:after="140" w:before="240"/>
        <w:jc w:val="left"/>
      </w:pPr>
      <w:r>
        <w:rPr>
          <w:rFonts w:ascii="Times New Roman" w:cs="Times New Roman" w:eastAsia="Times New Roman" w:hAnsi="Times New Roman"/>
          <w:b/>
          <w:bCs/>
          <w:sz w:val="24"/>
          <w:szCs w:val="24"/>
        </w:rPr>
        <w:t xml:space="preserve">A. Summary of Principal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aspect, the System comprises:</w:t>
      </w:r>
    </w:p>
    <w:p>
      <w:pPr>
        <w:pStyle w:val="ListParagraph"/>
        <w:numPr>
          <w:ilvl w:val="0"/>
          <w:numId w:val="3"/>
        </w:numPr>
        <w:spacing w:after="60" w:before="60" w:line="300"/>
      </w:pPr>
      <w:r>
        <w:rPr>
          <w:rFonts w:ascii="Times New Roman" w:cs="Times New Roman" w:eastAsia="Times New Roman" w:hAnsi="Times New Roman"/>
          <w:sz w:val="22"/>
          <w:szCs w:val="22"/>
        </w:rPr>
        <w:t xml:space="preserve">(a) a physics-first decision core organized as a six-state cyclic processing topology, herein referred to as the "Klein bottle decision core," that performs deterministic damage mechanism reasoning over a finite, enumerated state space;</w:t>
      </w:r>
    </w:p>
    <w:p>
      <w:pPr>
        <w:pStyle w:val="ListParagraph"/>
        <w:numPr>
          <w:ilvl w:val="0"/>
          <w:numId w:val="3"/>
        </w:numPr>
        <w:spacing w:after="60" w:before="60" w:line="300"/>
      </w:pPr>
      <w:r>
        <w:rPr>
          <w:rFonts w:ascii="Times New Roman" w:cs="Times New Roman" w:eastAsia="Times New Roman" w:hAnsi="Times New Roman"/>
          <w:sz w:val="22"/>
          <w:szCs w:val="22"/>
        </w:rPr>
        <w:t xml:space="preserve">(b) a twelve-step deterministic processing pipeline in which each step is implemented as a pure function of its input state, such that identical inputs produce bitwise-identical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(c) an evidence provenance engine that classifies each evidentiary input as OBSERVED, INFERRED, or ASSUMED, propagates the classification through downstream reasoning, and constrains the confidence of any output by the lowest-provenance input in its dependency chain;</w:t>
      </w:r>
    </w:p>
    <w:p>
      <w:pPr>
        <w:pStyle w:val="ListParagraph"/>
        <w:numPr>
          <w:ilvl w:val="0"/>
          <w:numId w:val="3"/>
        </w:numPr>
        <w:spacing w:after="60" w:before="60" w:line="300"/>
      </w:pPr>
      <w:r>
        <w:rPr>
          <w:rFonts w:ascii="Times New Roman" w:cs="Times New Roman" w:eastAsia="Times New Roman" w:hAnsi="Times New Roman"/>
          <w:sz w:val="22"/>
          <w:szCs w:val="22"/>
        </w:rPr>
        <w:t xml:space="preserve">(d) a reality lock domain gating subsystem that constrains reasoning to a finite enumerated set of asset domains and rejects inputs that cannot be unambiguously assigned to a domain;</w:t>
      </w:r>
    </w:p>
    <w:p>
      <w:pPr>
        <w:pStyle w:val="ListParagraph"/>
        <w:numPr>
          <w:ilvl w:val="0"/>
          <w:numId w:val="3"/>
        </w:numPr>
        <w:spacing w:after="60" w:before="60" w:line="300"/>
      </w:pPr>
      <w:r>
        <w:rPr>
          <w:rFonts w:ascii="Times New Roman" w:cs="Times New Roman" w:eastAsia="Times New Roman" w:hAnsi="Times New Roman"/>
          <w:sz w:val="22"/>
          <w:szCs w:val="22"/>
        </w:rPr>
        <w:t xml:space="preserve">(e) an authority lock subsystem that binds each engineering disposition to one or more clauses of an applicable engineering code, refuses to issue any disposition that contradicts an applicable clause, and surfaces the binding clause text in the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(f) a word-boundary semantic validation subsystem that prevents substring-based extraction collisions through enforced regex word boundaries during entity extraction;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(g) a failure mode dominance (FMD) engine that ranks candidate damage mechanisms by physical plausibility, environmental compatibility, and observable signature, and outputs a single dominant mechanism with quantified margin over secondary mechanisms;</w:t>
      </w:r>
    </w:p>
    <w:p>
      <w:pPr>
        <w:pStyle w:val="ListParagraph"/>
        <w:numPr>
          <w:ilvl w:val="0"/>
          <w:numId w:val="3"/>
        </w:numPr>
        <w:spacing w:after="60" w:before="60" w:line="300"/>
      </w:pPr>
      <w:r>
        <w:rPr>
          <w:rFonts w:ascii="Times New Roman" w:cs="Times New Roman" w:eastAsia="Times New Roman" w:hAnsi="Times New Roman"/>
          <w:sz w:val="22"/>
          <w:szCs w:val="22"/>
        </w:rPr>
        <w:t xml:space="preserve">(h) a failure timeline engine that projects damage progression along a physics-based time axis and identifies, in the case of compound mechanisms, when a single mechanism governs the time-to-failure;</w:t>
      </w:r>
    </w:p>
    <w:p>
      <w:pPr>
        <w:pStyle w:val="ListParagraph"/>
        <w:numPr>
          <w:ilvl w:val="0"/>
          <w:numId w:val="3"/>
        </w:numPr>
        <w:spacing w:after="60" w:before="60" w:line="300"/>
      </w:pPr>
      <w:r>
        <w:rPr>
          <w:rFonts w:ascii="Times New Roman" w:cs="Times New Roman" w:eastAsia="Times New Roman" w:hAnsi="Times New Roman"/>
          <w:sz w:val="22"/>
          <w:szCs w:val="22"/>
        </w:rPr>
        <w:t xml:space="preserve">(i) a disposition pathway engine that generates a deterministic action plan from the FMD output, code authority, and remaining strength calculation;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(j) a contradiction engine that detects logical contradictions across observations, environmental classification, mechanism hypotheses, and code requirements, and blocks output when an unresolved contradiction exists;</w:t>
      </w:r>
    </w:p>
    <w:p>
      <w:pPr>
        <w:pStyle w:val="ListParagraph"/>
        <w:numPr>
          <w:ilvl w:val="0"/>
          <w:numId w:val="3"/>
        </w:numPr>
        <w:spacing w:after="60" w:before="60" w:line="300"/>
      </w:pPr>
      <w:r>
        <w:rPr>
          <w:rFonts w:ascii="Times New Roman" w:cs="Times New Roman" w:eastAsia="Times New Roman" w:hAnsi="Times New Roman"/>
          <w:sz w:val="22"/>
          <w:szCs w:val="22"/>
        </w:rPr>
        <w:t xml:space="preserve">(k) a hard lock system comprising a finite enumerated set of trigger conditions that, when matched, force the System to a defined safe disposition regardless of LLM output;</w:t>
      </w:r>
    </w:p>
    <w:p>
      <w:pPr>
        <w:pStyle w:val="ListParagraph"/>
        <w:numPr>
          <w:ilvl w:val="0"/>
          <w:numId w:val="3"/>
        </w:numPr>
        <w:spacing w:after="60" w:before="60" w:line="300"/>
      </w:pPr>
      <w:r>
        <w:rPr>
          <w:rFonts w:ascii="Times New Roman" w:cs="Times New Roman" w:eastAsia="Times New Roman" w:hAnsi="Times New Roman"/>
          <w:sz w:val="22"/>
          <w:szCs w:val="22"/>
        </w:rPr>
        <w:t xml:space="preserve">(l) a voice grammar bridge that converts free-form spoken or typed inspector input into a normalized structured representation suitable for deterministic processing;</w:t>
      </w:r>
    </w:p>
    <w:p>
      <w:pPr>
        <w:pStyle w:val="ListParagraph"/>
        <w:numPr>
          <w:ilvl w:val="0"/>
          <w:numId w:val="3"/>
        </w:numPr>
        <w:spacing w:after="60" w:before="60" w:line="300"/>
      </w:pPr>
      <w:r>
        <w:rPr>
          <w:rFonts w:ascii="Times New Roman" w:cs="Times New Roman" w:eastAsia="Times New Roman" w:hAnsi="Times New Roman"/>
          <w:sz w:val="22"/>
          <w:szCs w:val="22"/>
        </w:rPr>
        <w:t xml:space="preserve">(m) a remaining strength engine that performs API 579-style fitness-for-service calculations as deterministic functions of structured input;</w:t>
      </w:r>
    </w:p>
    <w:p>
      <w:pPr>
        <w:pStyle w:val="ListParagraph"/>
        <w:numPr>
          <w:ilvl w:val="0"/>
          <w:numId w:val="3"/>
        </w:numPr>
        <w:spacing w:after="60" w:before="60" w:line="300"/>
      </w:pPr>
      <w:r>
        <w:rPr>
          <w:rFonts w:ascii="Times New Roman" w:cs="Times New Roman" w:eastAsia="Times New Roman" w:hAnsi="Times New Roman"/>
          <w:sz w:val="22"/>
          <w:szCs w:val="22"/>
        </w:rPr>
        <w:t xml:space="preserve">(n) an architectural reality engine that resolves the asset's structural context and constrains downstream reasoning to mechanisms compatible with that context;</w:t>
      </w:r>
    </w:p>
    <w:p>
      <w:pPr>
        <w:pStyle w:val="ListParagraph"/>
        <w:numPr>
          <w:ilvl w:val="0"/>
          <w:numId w:val="3"/>
        </w:numPr>
        <w:spacing w:after="60" w:before="60" w:line="300"/>
      </w:pPr>
      <w:r>
        <w:rPr>
          <w:rFonts w:ascii="Times New Roman" w:cs="Times New Roman" w:eastAsia="Times New Roman" w:hAnsi="Times New Roman"/>
          <w:sz w:val="22"/>
          <w:szCs w:val="22"/>
        </w:rPr>
        <w:t xml:space="preserve">(o) a materials intelligence layer that resolves the asset's material specification, applicable temperature range, and known degradation modes;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(p) a superbrain synthesis layer that performs a single constrained LLM call whose prompt is fully determined by the deterministic pipeline output, eliminating prompt drift by restricting the LLM to natural-language synthesis of decisions already made deterministically; and</w:t>
      </w:r>
    </w:p>
    <w:p>
      <w:pPr>
        <w:pStyle w:val="ListParagraph"/>
        <w:numPr>
          <w:ilvl w:val="0"/>
          <w:numId w:val="3"/>
        </w:numPr>
        <w:spacing w:after="60" w:before="60" w:line="300"/>
      </w:pPr>
      <w:r>
        <w:rPr>
          <w:rFonts w:ascii="Times New Roman" w:cs="Times New Roman" w:eastAsia="Times New Roman" w:hAnsi="Times New Roman"/>
          <w:sz w:val="22"/>
          <w:szCs w:val="22"/>
        </w:rPr>
        <w:t xml:space="preserve">(q) a multi-LLM adversarial validation layer in which a second LLM evaluates the synthesis layer output for contradictions, hallucinations, and code violations, with a deterministic arbiter resolving disputes by reference to the underlying decision core state.</w:t>
      </w:r>
    </w:p>
    <w:p>
      <w:pPr>
        <w:pStyle w:val="ListParagraph"/>
        <w:numPr>
          <w:ilvl w:val="0"/>
          <w:numId w:val="3"/>
        </w:numPr>
        <w:spacing w:after="60" w:before="60" w:line="300"/>
      </w:pPr>
      <w:r>
        <w:rPr>
          <w:rFonts w:ascii="Times New Roman" w:cs="Times New Roman" w:eastAsia="Times New Roman" w:hAnsi="Times New Roman"/>
          <w:sz w:val="22"/>
          <w:szCs w:val="22"/>
        </w:rPr>
        <w:t xml:space="preserve">(r) in an educational and diagnostic embodiment of the System, an analogous architecture in which engineering codes are replaced by curriculum and certification body standards, damage mechanisms are replaced by learner misconceptions, dispositions are replaced by instructional responses, and the same deterministic decision core, evidence provenance engine, authority lock, contradiction engine, hard-lock system, constrained-LLM synthesis layer, and multi-LLM adversarial validation layer are retained, including specifically: a Student Response Classifier; a Misconception Dominance Engine; a Curriculum Authority Lock; and a Pedagogical Hard-Lock Subsystem, each as further described in the detailed description below.</w:t>
      </w:r>
    </w:p>
    <w:p>
      <w:pPr>
        <w:pStyle w:val="Heading2"/>
        <w:spacing w:after="140" w:before="240"/>
        <w:jc w:val="left"/>
      </w:pPr>
      <w:r>
        <w:rPr>
          <w:rFonts w:ascii="Times New Roman" w:cs="Times New Roman" w:eastAsia="Times New Roman" w:hAnsi="Times New Roman"/>
          <w:b/>
          <w:bCs/>
          <w:sz w:val="24"/>
          <w:szCs w:val="24"/>
        </w:rPr>
        <w:t xml:space="preserve">B. Summary of Technical Advantages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produces, for each engineering disposition decision, a complete audit trail in which the disposition is traceable to: (i) each extracted observation; (ii) the provenance classification of each observation; (iii) the resolved environmental and material classification; (iv) the binding code clause; (v) the deterministic pipeline state at each of the twelve steps; (vi) the FMD ranking with margins; (vii) any contradictions detected and how they were resolved; (viii) any hard locks triggered; and (ix) the constrained LLM synthesis. The System refuses to issue a final disposition until every applicable validation gate has been satisfied.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addresses each of the prior-art failure modes identified above. Hallucination is constrained by limiting the LLM to synthesis of pre-decided outputs. Prompt drift is eliminated by deterministic pipeline pre-processing. Substring collisions are eliminated by enforced word-boundary extraction. Physics grounding is enforced by the Klein bottle decision core's enumerated state space. Code authority is enforced by the authority lock. Evidence conflation is prevented by provenance classification. Inspection method-mechanism mismatch is detected by the FMD engine. Compound mechanism mishandling is resolved by the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architectural pattern, applied in the educational and diagnostic embodiment, addresses the parallel failure modes in expert-domain training: hallucinated curriculum content is prevented by the Curriculum Authority Lock; confirmation of unsafe practice is prevented by the Pedagogical Hard-Lock Subsystem; conflation of demonstrated and assumed prior knowledge is prevented by provenance-classified response evidence; failure to identify the dominant misconception is prevented by the Misconception Dominance Engine; and unauthorized advancement past unmastered prerequisites is prevented by the Curriculum Authority Lock's gating logic. The unification of inspection-domain and training-domain reasoning under a single architecture is itself a non-obvious technical contribution and permits, in particular embodiments, a single system to operate seamlessly across qualification training, examination preparation, supervised field practice, and unsupervised professional inspection.</w:t>
      </w:r>
    </w:p>
    <w:p>
      <w:r>
        <w:br w:type="page"/>
      </w:r>
    </w:p>
    <w:p>
      <w:pPr>
        <w:pStyle w:val="Heading1"/>
        <w:spacing w:after="200" w:before="360"/>
        <w:jc w:val="left"/>
      </w:pPr>
      <w:r>
        <w:rPr>
          <w:rFonts w:ascii="Times New Roman" w:cs="Times New Roman" w:eastAsia="Times New Roman" w:hAnsi="Times New Roman"/>
          <w:b/>
          <w:bCs/>
          <w:sz w:val="26"/>
          <w:szCs w:val="26"/>
        </w:rPr>
        <w:t xml:space="preserve">BRIEF DESCRIPTION OF THE DRAWINGS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drawings, which may be added in connection with the non-provisional filing claiming priority to this application, illustrate non-limiting embodiments of the invention: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 is a system-level block diagram of the System showing the relationship of the deterministic decision core, evidence provenance engine, validation gates, and constrained LLM synthesis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 is a state diagram of the Klein bottle six-state decision core showing the cyclic topology and inter-state transitions.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3 is a flow diagram of the twelve-step deterministic processing pipeline.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4 is a data flow diagram of the evidence provenance engine showing classification propagation and confidence cascading.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5 is a block diagram of the reality lock domain gating subsystem with enumerated domain set.</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6 is a block diagram of the authority lock subsystem showing code clause binding.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7 illustrates the substring collision problem and the word-boundary validation solution.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8 is a block diagram of the failure mode dominance (FMD)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9 is a flow diagram of the failure timeline engine showing compound-mechanism handling.</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10 is a flow diagram of the disposition pathway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11 is a block diagram of the contradiction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12 is a block diagram of the hard lock system showing trigger conditions and safe-state outputs.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13 is a flow diagram of the voice grammar bridge.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14 is a block diagram of the multi-LLM adversarial validation layer.</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15 is an end-to-end sequence diagram showing processing of an example inspection scenario.</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16 is a block diagram of the educational and diagnostic variant of the System showing the parallel architecture and the substitution of curriculum standards for engineering codes.</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17 is a flow diagram of the Student Response Classifier (Student Copy Mapper) showing template selection.</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18 is a block diagram of the Misconception Dominance Engine.</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19 is a block diagram of the Curriculum Authority Lock and the Pedagogical Hard-Lock Subsystem.</w:t>
      </w:r>
    </w:p>
    <w:p>
      <w:pPr>
        <w:pStyle w:val="ListParagraph"/>
        <w:numPr>
          <w:ilvl w:val="0"/>
          <w:numId w:val="3"/>
        </w:numPr>
        <w:spacing w:after="60" w:before="60" w:line="300"/>
      </w:pPr>
      <w:r>
        <w:rPr>
          <w:rFonts w:ascii="Times New Roman" w:cs="Times New Roman" w:eastAsia="Times New Roman" w:hAnsi="Times New Roman"/>
          <w:sz w:val="22"/>
          <w:szCs w:val="22"/>
        </w:rPr>
        <w:t xml:space="preserve">FIG. 20 is an end-to-end sequence diagram showing processing of an example educational scenario in which a student misidentifies a weld discontinuity.</w:t>
      </w:r>
    </w:p>
    <w:p>
      <w:r>
        <w:br w:type="page"/>
      </w:r>
    </w:p>
    <w:p>
      <w:pPr>
        <w:pStyle w:val="Heading1"/>
        <w:spacing w:after="200" w:before="360"/>
        <w:jc w:val="left"/>
      </w:pPr>
      <w:r>
        <w:rPr>
          <w:rFonts w:ascii="Times New Roman" w:cs="Times New Roman" w:eastAsia="Times New Roman" w:hAnsi="Times New Roman"/>
          <w:b/>
          <w:bCs/>
          <w:sz w:val="26"/>
          <w:szCs w:val="26"/>
        </w:rPr>
        <w:t xml:space="preserve">DETAILED DESCRIPTION OF THE INVENTION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description sets forth specific embodiments of the invention in sufficient detail to enable a person of ordinary skill in the art to practice the invention. The description is illustrative and not limiting; the invention may be practiced with variations of any of the components described.</w:t>
      </w:r>
    </w:p>
    <w:p>
      <w:pPr>
        <w:pStyle w:val="Heading2"/>
        <w:spacing w:after="140" w:before="240"/>
        <w:jc w:val="left"/>
      </w:pPr>
      <w:r>
        <w:rPr>
          <w:rFonts w:ascii="Times New Roman" w:cs="Times New Roman" w:eastAsia="Times New Roman" w:hAnsi="Times New Roman"/>
          <w:b/>
          <w:bCs/>
          <w:sz w:val="24"/>
          <w:szCs w:val="24"/>
        </w:rPr>
        <w:t xml:space="preserve">1. System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one embodiment, the System is implemented as a web-accessible application comprising a frontend client and a serverless backend. The frontend is implemented in TypeScript using the React framework. The backend is implemented as a collection of serverless functions hosted on a function-as-a-service platform (e.g., Netlify Functions, AWS Lambda, or equivalent). Persistent storage is provided by a relational database (e.g., PostgreSQL, optionally hosted via Supabase or equivalent). One or more LLM providers (e.g., OpenAI GPT-4o, Anthropic Claude, or equivalent) are accessed via authenticated HTTPS APIs.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the backend, two distinct categories of code are maintained: (a) deterministic safety-critical reasoning code, implemented as pure-function modules with no I/O side effects, and (b) integration code that communicates with external services. The deterministic modules are written such that for any input state X, the output state f(X) is determined entirely by X and contains no dependency on time, randomness, or external state. This property is essential to reproducibility and auditability. In a particular embodiment, the deterministic modules are implemented in pure JavaScript without TypeScript syntax, using only var declarations, string concatenation in lieu of template literals, and CommonJS module exports, to minimize dependency on transpilation or runtime features that could introduce non-determinism.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inspection input, regardless of source modality (typed text, voice transcription, structured form, photographic upload), is normalized through the voice grammar bridge (Section 13 below) into a canonical structured representation before entering the decision core. All output disposition decisions exit through the disposition pathway engine (Section 10 below) and the multi-LLM adversarial validation layer (Section 18 below).</w:t>
      </w:r>
    </w:p>
    <w:p>
      <w:pPr>
        <w:pStyle w:val="Heading2"/>
        <w:spacing w:after="140" w:before="240"/>
        <w:jc w:val="left"/>
      </w:pPr>
      <w:r>
        <w:rPr>
          <w:rFonts w:ascii="Times New Roman" w:cs="Times New Roman" w:eastAsia="Times New Roman" w:hAnsi="Times New Roman"/>
          <w:b/>
          <w:bCs/>
          <w:sz w:val="24"/>
          <w:szCs w:val="24"/>
        </w:rPr>
        <w:t xml:space="preserve">2. The Physics-First Decision Core (Klein Bottle Six-State Architecture)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decision core is the central reasoning subsystem. It is organized topologically as a Klein bottle — a non-orientable surface in which traversal of the surface returns to the origin point with reversed orientation. This topology is implemented in software as a six-state cyclic processing graph in which the six states are visited in sequence and the output of the final state feeds back into a re-entry condition for the first state, with each cycle reducing remaining ambiguity until either (a) a single dominant disposition is converged upon, or (b) a contradiction is detected and the system halts.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six states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1 — Input Normalization. Free-form input is converted to a canonical structured representation comprising asset identifiers, environmental parameters, observed measurements, observed visual features, and process conditions.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2 — Environmental Classification. The normalized input is mapped to a finite enumerated set of service environments (e.g., wet H2S sour service, amine service, hot hydrocarbon service, atmospheric, marine immersion, splash zone, soil-buried, etc.). Each environment carries a known set of compatible and incompatible damage mechanisms.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3 — Damage Mechanism Candidate Generation. From the environmental classification and observed signatures, an enumerated set of candidate damage mechanisms is generated. Mechanisms incompatible with the environment, material, or temperature regime are excluded at this stage.</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4 — Dominance Ranking. Candidate mechanisms are scored against observed evidence and physical plausibility. The output is a ranked list with quantified margins (see FMD engine, Section 8 below).</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5 — Contradiction Resolution. The ranked mechanism list is checked for internal consistency, consistency with environmental classification, and consistency with code requirements. If an unresolved contradiction is detected, the cycle re-enters at State 1 with the contradiction added as an additional input constraint, or halts if the contradiction cannot be resolved within a configured maximum number of cycles.</w:t>
      </w:r>
    </w:p>
    <w:p>
      <w:pPr>
        <w:pStyle w:val="ListParagraph"/>
        <w:numPr>
          <w:ilvl w:val="0"/>
          <w:numId w:val="2"/>
        </w:numPr>
        <w:spacing w:after="60" w:before="60" w:line="300"/>
      </w:pPr>
      <w:r>
        <w:rPr>
          <w:rFonts w:ascii="Times New Roman" w:cs="Times New Roman" w:eastAsia="Times New Roman" w:hAnsi="Times New Roman"/>
          <w:sz w:val="22"/>
          <w:szCs w:val="22"/>
        </w:rPr>
        <w:t xml:space="preserve">State 6 — Disposition Gating. The dominant mechanism, with its margin and provenance chain, is passed to the disposition pathway engine subject to authority lock and hard lock validation. If gating succeeds, the System exits the Klein bottle and produces a disposition. If gating fails, the cycle re-enters at State 1.</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Klein bottle topology is novel in this application domain. Existing rule-based engineering systems typically use forward-chaining acyclic graphs that produce a single pass and either succeed or fail. The cyclic Klein topology permits the System to revisit the input in light of intermediate findings, which is essential for resolving compound-mechanism scenarios and contradictions that emerge only after candidate mechanisms have been scored.</w:t>
      </w:r>
    </w:p>
    <w:p>
      <w:pPr>
        <w:pStyle w:val="Heading2"/>
        <w:spacing w:after="140" w:before="240"/>
        <w:jc w:val="left"/>
      </w:pPr>
      <w:r>
        <w:rPr>
          <w:rFonts w:ascii="Times New Roman" w:cs="Times New Roman" w:eastAsia="Times New Roman" w:hAnsi="Times New Roman"/>
          <w:b/>
          <w:bCs/>
          <w:sz w:val="24"/>
          <w:szCs w:val="24"/>
        </w:rPr>
        <w:t xml:space="preserve">3. Twelve-Step Deterministic Processing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Within and across the six Klein states, processing is decomposed into twelve sequential pure-function steps. Each step is invoked with an immutable input state object and returns an immutable output state object. No step has side effects. The twelve steps are: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Input Tokenization — free-form text is tokenized using word-boundary-enforced extraction (see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Asset Identity Resolution — the asset under inspection is matched against a known asset registry or, where no match exists, classified by structural type.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Environmental Resolution — process and ambient conditions are resolved to a canonical environment classification.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Material Resolution — the asset material is resolved to a specification class (e.g., carbon steel ASTM A106-B, austenitic stainless 316L, duplex 2205, etc.).</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Architectural Context Resolution — the asset's structural context (piping run, vessel shell, jacket leg, etc.) is determined.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Evidence Classification — each input datum is tagged OBSERVED, INFERRED, or ASSUMED.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Mechanism Candidate Generation — the enumerated set of compatible damage mechanisms is generated.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Dominance Scoring — mechanisms are scored by FMD (Section 8).</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Timeline Projection — progression rates and time-to-failure are projected (Section 9).</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Code Authority Binding — applicable code clauses are bound to the candidate disposition (Section 6).</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Contradiction Check — internal logical consistency is validated (Section 11).</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Disposition Gate — final disposition is issued or blocked (Section 10, Section 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step is independently testable and its behavior is verified through a regression suite comprising at least 35 canonical scenarios covering the principal damage mechanism categories (general thinning, localized corrosion, environmental cracking, mechanical fatigue, brittle fracture, creep, erosion, and compound mechanisms thereof). In one embodiment, the regression suite includes a 20-scenario "golden suite" that must achieve 100% pass before any release.</w:t>
      </w:r>
    </w:p>
    <w:p>
      <w:pPr>
        <w:pStyle w:val="Heading2"/>
        <w:spacing w:after="140" w:before="240"/>
        <w:jc w:val="left"/>
      </w:pPr>
      <w:r>
        <w:rPr>
          <w:rFonts w:ascii="Times New Roman" w:cs="Times New Roman" w:eastAsia="Times New Roman" w:hAnsi="Times New Roman"/>
          <w:b/>
          <w:bCs/>
          <w:sz w:val="24"/>
          <w:szCs w:val="24"/>
        </w:rPr>
        <w:t xml:space="preserve">4. Evidence Provenance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evidence provenance engine addresses the prior-art failure mode in which generative AI conflates observed and inferred evidence. The engine assigns to each input datum, and to each derived datum, a provenance label drawn from the enumerated set {OBSERVED, INFERRED, ASSUMED, DEFAULT}. OBSERVED denotes a datum directly measured or visually confirmed by an inspector at a specified time and location. INFERRED denotes a datum logically derived from one or more OBSERVED inputs through a deterministic rule. ASSUMED denotes a datum supplied by the user without supporting evidence. DEFAULT denotes a datum supplied by the System in the absence of any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maintains a directed dependency graph in which each derived datum is linked to its inputs. The provenance of any derived datum is constrained to be no higher than the lowest provenance of its inputs (i.e., a value derived from an ASSUMED input cannot itself be classified OBSERVED, regardless of the strength of the derivation rule). This constraint propagates through the entire reasoning chain. As a consequence, the final disposition carries a provenance label equal to the lowest provenance of any input on which it depends. Dispositions derived in part from ASSUMED data are surfaced as such in the output, and the user is presented with the specific assumed values that drove the disposition, permitting targeted re-inspection to upgrade the provenance.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additionally maintains a confidence scalar in [0,1] for each datum. The confidence of a derived datum is computed as a function of: (i) the confidences of its inputs, (ii) the strength of the derivation rule, and (iii) any contradicting evidence. Confidence is attenuated, never amplified, by derivation; this prevents the System from manufacturing certainty through chains of weak inferences.</w:t>
      </w:r>
    </w:p>
    <w:p>
      <w:pPr>
        <w:pStyle w:val="Heading2"/>
        <w:spacing w:after="140" w:before="240"/>
        <w:jc w:val="left"/>
      </w:pPr>
      <w:r>
        <w:rPr>
          <w:rFonts w:ascii="Times New Roman" w:cs="Times New Roman" w:eastAsia="Times New Roman" w:hAnsi="Times New Roman"/>
          <w:b/>
          <w:bCs/>
          <w:sz w:val="24"/>
          <w:szCs w:val="24"/>
        </w:rPr>
        <w:t xml:space="preserve">5. Reality Lock Domain Gating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reality lock subsystem constrains the System's reasoning to a finite enumerated set of asset domains. In a particular embodiment, the enumerated set comprises fourteen domains: (1) process piping; (2) pressure vessels; (3) atmospheric storage tanks; (4) low-pressure storage tanks; (5) heat exchangers; (6) offshore fixed platform structural members; (7) offshore floating structural members; (8) subsea pipelines; (9) underwater structural members (jackets, risers, conductors); (10) onshore buried pipelines; (11) above-ground transmission pipelines; (12) boilers and fired equipment; (13) rotating equipment pressure boundaries; and (14) atmospheric structural steel. Each domain carries its own enumerated set of compatible damage mechanisms, applicable codes, valid inspection methods, and characteristic failure modes.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Inputs that cannot be unambiguously assigned to a domain are rejected with a structured error indicating the source of ambiguity. This is in contrast to prior-art systems, which silently default to a generic mode and produce outputs that may not be applicable to the actual asset class. The reality lock prevents, by way of example, the System from applying piping inspection logic (API 570) to a pressure vessel governed by API 510, or from applying atmospheric corrosion logic to a splash-zone offshore member.</w:t>
      </w:r>
    </w:p>
    <w:p>
      <w:pPr>
        <w:pStyle w:val="Heading2"/>
        <w:spacing w:after="140" w:before="240"/>
        <w:jc w:val="left"/>
      </w:pPr>
      <w:r>
        <w:rPr>
          <w:rFonts w:ascii="Times New Roman" w:cs="Times New Roman" w:eastAsia="Times New Roman" w:hAnsi="Times New Roman"/>
          <w:b/>
          <w:bCs/>
          <w:sz w:val="24"/>
          <w:szCs w:val="24"/>
        </w:rPr>
        <w:t xml:space="preserve">6.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authority lock binds each engineering disposition to one or more clauses of an applicable engineering code. The lock maintains a structured representation of code requirements drawn from a corpus of standards including, without limitation, API 510, API 570, API 579-1/ASME FFS-1, API 581, API 653, ASME BPVC Sections V, VIII, and IX, NACE MR0175/ISO 15156, AWS D1.1, AWS D1.5, ADCI Consensus Standards, and analogous standards. For each candidate disposition, the lock identifies the controlling clause(s) and confirms that the proposed disposition is consistent with the clause requirements. A disposition that contradicts a binding clause is refused, regardless of LLM output. The bound clause text and reference are included in the System output, providing the inspector and reviewing engineer with direct citation of the controlling standard.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authority lock includes a code-ingestion subsystem that converts published code text into machine-readable rule structures. New or revised codes can be ingested and bound without modification of the decision core. This permits the System to be updated to reflect code revisions without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7. Word-Boundary Semantic Validation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validation subsystem prevents the substring collision failure mode described in the Background. The subsystem comprises a regex helper, in one embodiment having the function signature hasWordBoundary(haystack, needle), that returns a Boolean indicating whether the needle string appears in the haystack string flanked by word-boundary characters (whitespace, punctuation, or string terminators) on both sides. All entity extraction, environment classification, and material resolution proceed through this helper rather than through naive substring 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in the absence of word-boundary validation, an extraction layer searching for the entity "train" (a piping arrangement) would falsely match "restraint" (a structural feature). The substring "car" would falsely match "carbon" (a material constituent). The substring "jacket" (an offshore platform structure) would falsely match "jacketing" (a thermal insulation system). Each such false match cascades into downstream misclassification of asset domain, environment, or material. Empirical testing has demonstrated that enforcement of word boundaries eliminates all three classes of collision and prevents an entire family of cascade failures.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word-boundary subsystem is novel in its application to the inspection-intelligence domain. While word-boundary regex is a known technique in general text processing, its specific application as a safety-critical validation layer between free-form inspector input and physics-based reasoning has not been previously disclosed.</w:t>
      </w:r>
    </w:p>
    <w:p>
      <w:pPr>
        <w:pStyle w:val="Heading2"/>
        <w:spacing w:after="140" w:before="240"/>
        <w:jc w:val="left"/>
      </w:pPr>
      <w:r>
        <w:rPr>
          <w:rFonts w:ascii="Times New Roman" w:cs="Times New Roman" w:eastAsia="Times New Roman" w:hAnsi="Times New Roman"/>
          <w:b/>
          <w:bCs/>
          <w:sz w:val="24"/>
          <w:szCs w:val="24"/>
        </w:rPr>
        <w:t xml:space="preserve">8. Failure Mode Dominance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ranks candidate damage mechanisms by a composite score reflecting (i) environmental compatibility, (ii) material compatibility, (iii) observed signature match, (iv) characteristic time scale, and (v) historical base rate within the resolved domain. The output of the FMD is an ordered list of mechanisms with quantified margins between adjacent ranks.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margin between rank 1 and rank 2 exceeds a configured threshold, the rank-1 mechanism is declared dominant and processing continues. Where the margin is below threshold, the engine declares a tie and triggers either: (a) a request for additional inspection data targeted at distinguishing the tied mechanisms; or (b) a contradiction signal to the contradiction engine. This prevents the System from issuing a confident disposition when the underlying mechanism identification is ambiguous.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FMD engine includes deterministic tie-breaking rules. Where two mechanisms have equal composite scores, the engine selects the mechanism with the more conservative remaining-life implication (i.e., the one that produces an earlier disposition action). This bias toward conservatism in tie-break is a deliberate design choice consistent with safety-critical engineering practice.</w:t>
      </w:r>
    </w:p>
    <w:p>
      <w:pPr>
        <w:pStyle w:val="Heading2"/>
        <w:spacing w:after="140" w:before="240"/>
        <w:jc w:val="left"/>
      </w:pPr>
      <w:r>
        <w:rPr>
          <w:rFonts w:ascii="Times New Roman" w:cs="Times New Roman" w:eastAsia="Times New Roman" w:hAnsi="Times New Roman"/>
          <w:b/>
          <w:bCs/>
          <w:sz w:val="24"/>
          <w:szCs w:val="24"/>
        </w:rPr>
        <w:t xml:space="preserve">9. Failure Timeline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failure timeline engine projects damage progression along a physics-based time axis. For each candidate mechanism, the engine computes a projected time-to-action (i.e., the time until repair or replacement becomes necessary under the engineering code). For compound mechanism scenarios in which two or more mechanisms operate concurrently, the engine identifies whether the failure is dominated by a single mechanism or whether multiple mechanisms must be jointly tracked.</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implements a COMPOUND handling rule wherein, if the time-to-action of any single mechanism is less than a configured fraction (in one embodiment, 0.6) of the next-fastest mechanism, that mechanism is declared the rate-controlling mechanism and the disposition is governed by it alone. Otherwise, the disposition is governed by the joint envelope. This rule prevents the prior-art failure mode in which compound mechanisms either average their rates (producing nonsense) or report only "compound" without identifying the controlling rate.</w:t>
      </w:r>
    </w:p>
    <w:p>
      <w:pPr>
        <w:pStyle w:val="Heading2"/>
        <w:spacing w:after="140" w:before="240"/>
        <w:jc w:val="left"/>
      </w:pPr>
      <w:r>
        <w:rPr>
          <w:rFonts w:ascii="Times New Roman" w:cs="Times New Roman" w:eastAsia="Times New Roman" w:hAnsi="Times New Roman"/>
          <w:b/>
          <w:bCs/>
          <w:sz w:val="24"/>
          <w:szCs w:val="24"/>
        </w:rPr>
        <w:t xml:space="preserve">10. Disposition Pathway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disposition pathway engine generates a deterministic action plan from the FMD output, code authority binding, remaining-strength calculation, and timeline projection. The action plan is drawn from a finite enumerated set including: ACCEPT FOR CONTINUED SERVICE; ACCEPT WITH MONITORING; REPAIR; REPLACE; RE-INSPECT BY [METHOD]; FITNESS-FOR-SERVICE LEVEL 2 ASSESSMENT; FITNESS-FOR-SERVICE LEVEL 3 ASSESSMENT; REJECT FROM SERVICE; and REPORT TO JURISDICTIONAL AUTHORITY.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disposition is accompanied by: (i) the binding code clause; (ii) the dominant mechanism with margin; (iii) the timeline projection; (iv) the provenance label; (v) any fields requiring additional inspection to upgrade provenance; and (vi) the specific inspection method recommended for re-inspection, validated against the mechanism by Section 13 below to prevent method-mechanism mismatch.</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engine maintains a Field Action Library that maps each disposition to a structured field-execution checklist comprising required tools, qualification requirements for the executing inspector, and acceptance criteria. This permits the System's output to be acted upon directly in the field rather than requiring office-based interpretation.</w:t>
      </w:r>
    </w:p>
    <w:p>
      <w:pPr>
        <w:pStyle w:val="Heading2"/>
        <w:spacing w:after="140" w:before="240"/>
        <w:jc w:val="left"/>
      </w:pPr>
      <w:r>
        <w:rPr>
          <w:rFonts w:ascii="Times New Roman" w:cs="Times New Roman" w:eastAsia="Times New Roman" w:hAnsi="Times New Roman"/>
          <w:b/>
          <w:bCs/>
          <w:sz w:val="24"/>
          <w:szCs w:val="24"/>
        </w:rPr>
        <w:t xml:space="preserve">11. Contradiction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contradiction engine continuously evaluates the System state for logical contradictions across (i) extracted observations, (ii) environmental classification, (iii) damage mechanism candidates, (iv) timeline projections, (v) code requirements, and (vi) prior inspection records. Where an unresolved contradiction is detected, the engine raises a structured contradiction event that is routed to the Klein bottle decision core for re-entry, or, if the contradiction cannot be resolved within a configured cycle limit, the engine triggers a hard halt of the disposition pathway.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a contradiction is raised if: (a) the dominant mechanism is hydrogen-induced cracking but the resolved environment lacks H2S; (b) the recommended re-inspection method is ultrasonic thickness measurement but the dominant mechanism is environmental cracking; (c) the disposition is ACCEPT FOR CONTINUED SERVICE but a binding code clause requires REJECT; (d) two observed measurements at the same time and location report incompatible values; (e) the resolved material is incompatible with the resolved environment under the operating temperature.</w:t>
      </w:r>
    </w:p>
    <w:p>
      <w:pPr>
        <w:pStyle w:val="Heading2"/>
        <w:spacing w:after="140" w:before="240"/>
        <w:jc w:val="left"/>
      </w:pPr>
      <w:r>
        <w:rPr>
          <w:rFonts w:ascii="Times New Roman" w:cs="Times New Roman" w:eastAsia="Times New Roman" w:hAnsi="Times New Roman"/>
          <w:b/>
          <w:bCs/>
          <w:sz w:val="24"/>
          <w:szCs w:val="24"/>
        </w:rPr>
        <w:t xml:space="preserve">12. Hard Lock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hard lock system is a final safety override comprising a finite enumerated set of trigger conditions. When a hard lock condition is matched, the System forces output to a defined safe state regardless of any other reasoning outcome. In a particular embodiment, the hard lock system comprises ten triggers including, without limitation: (1) wet H2S service with as-measured hardness exceeding the NACE MR0175 limit; (2) operating temperature above the material's allowable range; (3) loss of containment imminent (any leak observation); (4) structural member with section loss exceeding code-allowable; (5) inspection method incompatible with dominant mechanism; (6) provenance of disposition lower than configured minimum; (7) contradiction unresolved after maximum cycles; (8) authority lock binding clause violated; (9) input rejected by reality lock; (10) catastrophic field condition reported (fire, explosion risk, exposed personnel).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hard lock trigger maps to a defined safe-state output, in most cases an immediate REJECT FROM SERVICE or HALT-AND-ESCALATE disposition. The hard lock outputs are not subject to LLM synthesis; they are surfaced verbatim. This guarantees that the System cannot be talked out of a safety-critical halt by adversarial or malformed input.</w:t>
      </w:r>
    </w:p>
    <w:p>
      <w:pPr>
        <w:pStyle w:val="Heading2"/>
        <w:spacing w:after="140" w:before="240"/>
        <w:jc w:val="left"/>
      </w:pPr>
      <w:r>
        <w:rPr>
          <w:rFonts w:ascii="Times New Roman" w:cs="Times New Roman" w:eastAsia="Times New Roman" w:hAnsi="Times New Roman"/>
          <w:b/>
          <w:bCs/>
          <w:sz w:val="24"/>
          <w:szCs w:val="24"/>
        </w:rPr>
        <w:t xml:space="preserve">13. Voice Grammar Bridge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voice grammar bridge converts free-form inspector input — whether typed, dictated, or transcribed from voice — into a normalized structured representation. The bridge handles abbreviations, units, slang, regional vocabulary, and the characteristic disfluencies of spoken inspection notes. In a particular embodiment, the bridge implements a pre-gate risk check that scans normalized input for keywords associated with elevated hazard categories (fire, explosion, leak, exposure, fall risk) and elevates such inputs to expedited processing.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bridge additionally validates the inspection method recommended in any output against the dominant mechanism. The bridge maintains a method-mechanism compatibility matrix derived from established NDT capability tables (e.g., probability of detection (POD) data published in MIL-HDBK-1823A, ASNT recommended practices, etc.). Where the recommended method has POD below a configured threshold for the dominant mechanism, the bridge raises a method-mechanism mismatch contradiction.</w:t>
      </w:r>
    </w:p>
    <w:p>
      <w:pPr>
        <w:pStyle w:val="Heading2"/>
        <w:spacing w:after="140" w:before="240"/>
        <w:jc w:val="left"/>
      </w:pPr>
      <w:r>
        <w:rPr>
          <w:rFonts w:ascii="Times New Roman" w:cs="Times New Roman" w:eastAsia="Times New Roman" w:hAnsi="Times New Roman"/>
          <w:b/>
          <w:bCs/>
          <w:sz w:val="24"/>
          <w:szCs w:val="24"/>
        </w:rPr>
        <w:t xml:space="preserve">14. Remaining Strength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remaining strength engine implements deterministic fitness-for-service calculations consistent with API 579-1/ASME FFS-1 Level 1 and Level 2 procedures. Inputs include nominal wall thickness, as-measured wall thickness, flaw depth, flaw length, operating pressure, design pressure, design temperature, and material allowable stress. Outputs include remaining strength factor (RSF), maximum allowable working pressure (MAWP) at the as-measured condition, and time-to-action under the projected corrosion rate.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is implemented as a pure deterministic function with no LLM dependency. Its outputs are bound by the authority lock to the controlling code clause. Its outputs feed the disposition pathway engine and may trigger hard locks if calculated MAWP falls below operating pressure.</w:t>
      </w:r>
    </w:p>
    <w:p>
      <w:pPr>
        <w:pStyle w:val="Heading2"/>
        <w:spacing w:after="140" w:before="240"/>
        <w:jc w:val="left"/>
      </w:pPr>
      <w:r>
        <w:rPr>
          <w:rFonts w:ascii="Times New Roman" w:cs="Times New Roman" w:eastAsia="Times New Roman" w:hAnsi="Times New Roman"/>
          <w:b/>
          <w:bCs/>
          <w:sz w:val="24"/>
          <w:szCs w:val="24"/>
        </w:rPr>
        <w:t xml:space="preserve">15. Architectural Reality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architectural reality engine resolves the asset's structural context within its containing system. By way of example, a piping segment may be a cantilever, a simply supported run, a riser, a pipeline tie-in, or a flange-to-flange spool. A vessel component may be a head, a shell course, a nozzle reinforcement, or a saddle support. The structural context constrains the candidate damage mechanisms, the applicable inspection methods, and the controlling code clauses. The engine prevents the System from applying logic appropriate to one structural context to a member in a different context.</w:t>
      </w:r>
    </w:p>
    <w:p>
      <w:pPr>
        <w:pStyle w:val="Heading2"/>
        <w:spacing w:after="140" w:before="240"/>
        <w:jc w:val="left"/>
      </w:pPr>
      <w:r>
        <w:rPr>
          <w:rFonts w:ascii="Times New Roman" w:cs="Times New Roman" w:eastAsia="Times New Roman" w:hAnsi="Times New Roman"/>
          <w:b/>
          <w:bCs/>
          <w:sz w:val="24"/>
          <w:szCs w:val="24"/>
        </w:rPr>
        <w:t xml:space="preserve">16. Materials Intelligence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materials intelligence layer resolves the asset material to a specification class with associated property bounds. The layer maintains a structured database of material specifications including chemical composition limits, mechanical property ranges, allowable temperature range, characteristic degradation modes, and code applicability. The layer constrains downstream reasoning to mechanisms compatible with the resolved material at the operating temperature.</w:t>
      </w:r>
    </w:p>
    <w:p>
      <w:pPr>
        <w:pStyle w:val="Heading2"/>
        <w:spacing w:after="140" w:before="240"/>
        <w:jc w:val="left"/>
      </w:pPr>
      <w:r>
        <w:rPr>
          <w:rFonts w:ascii="Times New Roman" w:cs="Times New Roman" w:eastAsia="Times New Roman" w:hAnsi="Times New Roman"/>
          <w:b/>
          <w:bCs/>
          <w:sz w:val="24"/>
          <w:szCs w:val="24"/>
        </w:rPr>
        <w:t xml:space="preserve">17. Superbrain Synthesis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superbrain synthesis layer performs a single constrained call to a generative LLM. Unlike prior-art LLM-driven systems, the superbrain layer's prompt is fully determined by the deterministic pipeline output. The LLM is given: (a) the dominant mechanism with margin; (b) the binding code clause text; (c) the disposition decision already made by the deterministic pipeline; (d) the relevant evidence with provenance labels; and (e) a structured instruction to synthesize a natural-language explanation suitable for inspector and engineer review.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Crucially, the LLM is not asked to make the engineering decision. The decision has already been made deterministically. The LLM's role is restricted to natural-language synthesis of a decision that exists independently of its output. This restriction eliminates the principal failure modes of LLM-driven systems while retaining the natural-language fluency that is the legitimate strength of LLMs.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the superbrain layer's output is constrained by a JSON schema that the LLM is required to emit, with strict validation on receipt. Any output that fails schema validation is rejected and the layer is re-invoked with a corrective prompt; after a configured maximum of corrective re-invocations, the layer falls back to a templated natural-language output generated deterministically from the pipeline state.</w:t>
      </w:r>
    </w:p>
    <w:p>
      <w:pPr>
        <w:pStyle w:val="Heading2"/>
        <w:spacing w:after="140" w:before="240"/>
        <w:jc w:val="left"/>
      </w:pPr>
      <w:r>
        <w:rPr>
          <w:rFonts w:ascii="Times New Roman" w:cs="Times New Roman" w:eastAsia="Times New Roman" w:hAnsi="Times New Roman"/>
          <w:b/>
          <w:bCs/>
          <w:sz w:val="24"/>
          <w:szCs w:val="24"/>
        </w:rPr>
        <w:t xml:space="preserve">18. Multi-LLM Adversarial Validation Layer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multi-LLM adversarial validation layer further constrains LLM output through a second, independent LLM (the "challenger") that evaluates the synthesis-layer output for: (i) hallucinated facts not present in the pipeline state; (ii) logical contradictions with the pipeline state; (iii) softening or rationalization of code-mandated actions; (iv) omission of binding clause references; and (v) any deviation from the deterministically determined disposition.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Where the challenger flags an issue, a deterministic arbiter resolves the dispute by reference to the pipeline state. The arbiter is not an LLM; it is a pure-function module that compares the synthesis output against the pipeline state on a field-by-field basis. The arbiter's output is the System's final output. The two-LLM arrangement, with deterministic arbitration, guarantees that the final output cannot deviate from the pipeline state regardless of LLM behavior.</w:t>
      </w:r>
    </w:p>
    <w:p>
      <w:pPr>
        <w:pStyle w:val="Heading2"/>
        <w:spacing w:after="140" w:before="240"/>
        <w:jc w:val="left"/>
      </w:pPr>
      <w:r>
        <w:rPr>
          <w:rFonts w:ascii="Times New Roman" w:cs="Times New Roman" w:eastAsia="Times New Roman" w:hAnsi="Times New Roman"/>
          <w:b/>
          <w:bCs/>
          <w:sz w:val="24"/>
          <w:szCs w:val="24"/>
        </w:rPr>
        <w:t xml:space="preserve">18A. Bayesian Differential Diagnosis Engine (DDE) — Probabilistic Mechanism Ranking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that has been reduced to practice and validated, the FMD engine described in Section 8 is implemented as a Bayesian Differential Diagnosis Engine (herein “DDE”) that performs probabilistic mechanism ranking using full Bayes’ theorem rather than rule-based composite scoring. The DDE is a specific, non-obvious embodiment of the general FMD architecture that achieves superior discrimination accuracy (97.4% on blind validation across six asset domains) while retaining full determinism. The DDE is distinct from the general FMD concept described in Section 8 in the following respects: it computes log-likelihood scores from structured conditional probability tables rather than ordinal scoring; it applies Bayes’ theorem with domain-specific prior base rates rather than equal-weight ranking; it implements inspector-nominated mechanism guarantees; and it outputs discriminating evidence recommendations computed from information-theoretic spread analysis across candidate hypotheses.</w:t>
      </w:r>
    </w:p>
    <w:p>
      <w:pPr>
        <w:spacing w:after="140" w:before="200"/>
        <w:jc w:val="left"/>
      </w:pPr>
      <w:r>
        <w:rPr>
          <w:rFonts w:ascii="Times New Roman" w:cs="Times New Roman" w:eastAsia="Times New Roman" w:hAnsi="Times New Roman"/>
          <w:b/>
          <w:bCs/>
          <w:i/>
          <w:iCs/>
          <w:sz w:val="22"/>
          <w:szCs w:val="22"/>
        </w:rPr>
        <w:t xml:space="preserve">18A.1. Domain-Specific Knowledge Bases with Conditional Probability Tables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DDE maintains five domain-specific knowledge bases corresponding to the asset domains: fixed equipment (including refinery and petrochemical), subsea infrastructure, marine vessel, floating production, and production equipment. Each knowledge base comprises an enumerated set of damage mechanisms, where each mechanism entry contains: (a) a set of hard prerequisites that must be satisfied for the mechanism to be considered (e.g., for Hydrogen-Induced Cracking: service_contains_h2s must be true, material_family must be carbon_steel or low_alloy_steel, water_phase_present must be true, and pH must fall within range [0, 7]); (b) a set of indicator dimensions, each comprising a conditional probability table P(observation | mechanism) that maps each possible observed categorical value to a calibrated probability; and (c) metadata including code references, severity classification, synergistic and competing mechanism identifiers, and typical consequence.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By way of non-limiting example, the fixed-equipment knowledge base contains approximately 40 damage mechanisms derived from API 571 (Damage Mechanisms Affecting Fixed Equipment in the Refining Industry). For the mechanism “Hydrogen-Induced Cracking” (HIC), the indicator dimension “crack_orientation” contains the conditional probability table: {parallel_to_plate: 0.75, perpendicular_to_plate: 0.05, random: 0.15, circumferential: 0.03, axial: 0.02}. These values sum to 1.0 and encode domain expert knowledge about the characteristic signatures of each mechanism. The indicator dimensions for fixed equipment include crack_orientation, crack_location, morphology, service_temperature_f, wall_loss_pattern, wall_loss_percent_range, surface_condition, weld_proximity, ph_environment, and crack_depth_ratio. Each domain’s knowledge base includes indicator dimensions specific to that domain (e.g., marine_growth_grade and zone_depth for subsea; slamming_exposure and ballast_history for marine vessel).</w:t>
      </w:r>
    </w:p>
    <w:p>
      <w:pPr>
        <w:spacing w:after="140" w:before="200"/>
        <w:jc w:val="left"/>
      </w:pPr>
      <w:r>
        <w:rPr>
          <w:rFonts w:ascii="Times New Roman" w:cs="Times New Roman" w:eastAsia="Times New Roman" w:hAnsi="Times New Roman"/>
          <w:b/>
          <w:bCs/>
          <w:i/>
          <w:iCs/>
          <w:sz w:val="22"/>
          <w:szCs w:val="22"/>
        </w:rPr>
        <w:t xml:space="preserve">18A.2. Five-Phase Bayesian Ranking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DDE processes each inspection case through a five-phase pipeline, each phase implemented as a deterministic pure function:</w:t>
      </w:r>
    </w:p>
    <w:p>
      <w:pPr>
        <w:spacing w:after="120" w:before="0" w:line="320"/>
        <w:ind w:firstLine="360"/>
        <w:jc w:val="both"/>
      </w:pPr>
      <w:r>
        <w:rPr>
          <w:rFonts w:ascii="Times New Roman" w:cs="Times New Roman" w:eastAsia="Times New Roman" w:hAnsi="Times New Roman"/>
          <w:b/>
          <w:bCs/>
          <w:i w:val="false"/>
          <w:iCs w:val="false"/>
          <w:sz w:val="22"/>
          <w:szCs w:val="22"/>
        </w:rPr>
        <w:t xml:space="preserve">Phase 1 — Prerequisite Pruning.</w:t>
      </w:r>
      <w:r>
        <w:rPr>
          <w:rFonts w:ascii="Times New Roman" w:cs="Times New Roman" w:eastAsia="Times New Roman" w:hAnsi="Times New Roman"/>
          <w:b w:val="false"/>
          <w:bCs w:val="false"/>
          <w:i w:val="false"/>
          <w:iCs w:val="false"/>
          <w:sz w:val="22"/>
          <w:szCs w:val="22"/>
        </w:rPr>
        <w:t xml:space="preserve"> Every mechanism in the domain knowledge base is evaluated against the resolved asset context. Mechanisms whose hard prerequisites are not satisfied are deterministically eliminated. Prerequisites include Boolean conditions (e.g., service_contains_h2s must be true), array membership conditions (e.g., material_family must be in [carbon_steel, low_alloy_steel]), numeric threshold conditions (e.g., service_temp_above_f: 425), and range conditions (e.g., pH must fall within [0, 7]). This phase reduces the candidate set from all mechanisms in the domain to only those that are physically plausible in the resolved service environment. A mechanism whose prerequisites are not satisfied cannot be a candidate regardless of how strongly the observed evidence might match its indicator profile.</w:t>
      </w:r>
    </w:p>
    <w:p>
      <w:pPr>
        <w:spacing w:after="120" w:before="0" w:line="320"/>
        <w:ind w:firstLine="360"/>
        <w:jc w:val="both"/>
      </w:pPr>
      <w:r>
        <w:rPr>
          <w:rFonts w:ascii="Times New Roman" w:cs="Times New Roman" w:eastAsia="Times New Roman" w:hAnsi="Times New Roman"/>
          <w:b/>
          <w:bCs/>
          <w:i w:val="false"/>
          <w:iCs w:val="false"/>
          <w:sz w:val="22"/>
          <w:szCs w:val="22"/>
        </w:rPr>
        <w:t xml:space="preserve">Phase 2 — Prior Selection.</w:t>
      </w:r>
      <w:r>
        <w:rPr>
          <w:rFonts w:ascii="Times New Roman" w:cs="Times New Roman" w:eastAsia="Times New Roman" w:hAnsi="Times New Roman"/>
          <w:b w:val="false"/>
          <w:bCs w:val="false"/>
          <w:i w:val="false"/>
          <w:iCs w:val="false"/>
          <w:sz w:val="22"/>
          <w:szCs w:val="22"/>
        </w:rPr>
        <w:t xml:space="preserve"> For each surviving candidate mechanism, a prior probability P(M) is loaded from a domain-specific base rate table. The prior table is keyed by a composite key of domain:service:material (e.g., “fixed:amine_service:carbon_steel”). If an exact match is not found, the system falls back to domain:service, then to domain:default, and finally to a uniform prior across candidates. The prior encodes the historical base rate of each mechanism in the resolved service context — for example, in wet H₂S service, HIC, SOHIC, and SSC have elevated priors relative to fatigue or creep. The priors are hand-calibrated, version-controlled, and auditable.</w:t>
      </w:r>
    </w:p>
    <w:p>
      <w:pPr>
        <w:spacing w:after="120" w:before="0" w:line="320"/>
        <w:ind w:firstLine="360"/>
        <w:jc w:val="both"/>
      </w:pPr>
      <w:r>
        <w:rPr>
          <w:rFonts w:ascii="Times New Roman" w:cs="Times New Roman" w:eastAsia="Times New Roman" w:hAnsi="Times New Roman"/>
          <w:b/>
          <w:bCs/>
          <w:i w:val="false"/>
          <w:iCs w:val="false"/>
          <w:sz w:val="22"/>
          <w:szCs w:val="22"/>
        </w:rPr>
        <w:t xml:space="preserve">Phase 3 — Log-Likelihood Scoring.</w:t>
      </w:r>
      <w:r>
        <w:rPr>
          <w:rFonts w:ascii="Times New Roman" w:cs="Times New Roman" w:eastAsia="Times New Roman" w:hAnsi="Times New Roman"/>
          <w:b w:val="false"/>
          <w:bCs w:val="false"/>
          <w:i w:val="false"/>
          <w:iCs w:val="false"/>
          <w:sz w:val="22"/>
          <w:szCs w:val="22"/>
        </w:rPr>
        <w:t xml:space="preserve"> For each candidate mechanism, the DDE computes the log-likelihood of the observed evidence given the mechanism: log P(E|M) = Σ log P(eᵢ | M) across all observed evidence dimensions eᵢ. Computation proceeds in log space to prevent floating-point underflow when multiple evidence dimensions are present. For each observed categorical value, the engine looks up the conditional probability P(eᵢ | M) from the mechanism’s indicator table. If the mechanism has an indicator dimension matching the evidence dimension but the observed categorical value is not present in the indicator table, a configurable likelihood floor (in one embodiment, 0.01) is assigned rather than zero. This “never-zero” design ensures that a single unrecognized evidence value attenuates but does not eliminate a hypothesis — consistent with the inspection principle that absence of evidence is not evidence of absence. If a mechanism has no indicator dimension matching a given evidence dimension, that dimension is silently skipped (contributing neither positive nor negative evidence). The output of this phase is, for each candidate, its log-likelihood, the number of evidence dimensions used, and a detailed contribution list identifying which observed values supported or contradicted the mechanism.</w:t>
      </w:r>
    </w:p>
    <w:p>
      <w:pPr>
        <w:spacing w:after="120" w:before="0" w:line="320"/>
        <w:ind w:firstLine="360"/>
        <w:jc w:val="both"/>
      </w:pPr>
      <w:r>
        <w:rPr>
          <w:rFonts w:ascii="Times New Roman" w:cs="Times New Roman" w:eastAsia="Times New Roman" w:hAnsi="Times New Roman"/>
          <w:b/>
          <w:bCs/>
          <w:i w:val="false"/>
          <w:iCs w:val="false"/>
          <w:sz w:val="22"/>
          <w:szCs w:val="22"/>
        </w:rPr>
        <w:t xml:space="preserve">Phase 4 — Posterior Normalization.</w:t>
      </w:r>
      <w:r>
        <w:rPr>
          <w:rFonts w:ascii="Times New Roman" w:cs="Times New Roman" w:eastAsia="Times New Roman" w:hAnsi="Times New Roman"/>
          <w:b w:val="false"/>
          <w:bCs w:val="false"/>
          <w:i w:val="false"/>
          <w:iCs w:val="false"/>
          <w:sz w:val="22"/>
          <w:szCs w:val="22"/>
        </w:rPr>
        <w:t xml:space="preserve"> The DDE applies Bayes’ theorem to compute the posterior probability P(M|E) for each candidate mechanism. For each candidate, the joint probability is computed as P(E|M) × P(M) (likelihood multiplied by prior). The posterior is then obtained by normalizing: P(M|E) = joint / Σ joint across all candidates. The result is a ranked list of mechanisms sorted by posterior probability, where the posteriors sum to 1.0 across all candidates. This posterior represents, for each mechanism, the calibrated probability that it is the active damage mechanism given all observed evidence. The DDE additionally applies a configurable confidence ceiling that caps posteriors when critical context is absent — for example, when the service fluid is not specified, posteriors are capped at 0.65 regardless of evidence strength, enforcing epistemic humility.</w:t>
      </w:r>
    </w:p>
    <w:p>
      <w:pPr>
        <w:spacing w:after="120" w:before="0" w:line="320"/>
        <w:ind w:firstLine="360"/>
        <w:jc w:val="both"/>
      </w:pPr>
      <w:r>
        <w:rPr>
          <w:rFonts w:ascii="Times New Roman" w:cs="Times New Roman" w:eastAsia="Times New Roman" w:hAnsi="Times New Roman"/>
          <w:b/>
          <w:bCs/>
          <w:i w:val="false"/>
          <w:iCs w:val="false"/>
          <w:sz w:val="22"/>
          <w:szCs w:val="22"/>
        </w:rPr>
        <w:t xml:space="preserve">Phase 5 — Discriminating Evidence Computation.</w:t>
      </w:r>
      <w:r>
        <w:rPr>
          <w:rFonts w:ascii="Times New Roman" w:cs="Times New Roman" w:eastAsia="Times New Roman" w:hAnsi="Times New Roman"/>
          <w:b w:val="false"/>
          <w:bCs w:val="false"/>
          <w:i w:val="false"/>
          <w:iCs w:val="false"/>
          <w:sz w:val="22"/>
          <w:szCs w:val="22"/>
        </w:rPr>
        <w:t xml:space="preserve"> For the top-ranked hypotheses, the DDE identifies unobserved evidence dimensions that would most cleanly separate the competing hypotheses. For each unobserved dimension, the engine computes the discriminating power as the maximum spread of conditional probabilities across the top hypotheses: for each possible observed value in the dimension, the engine computes P(value | M) for each top mechanism, then determines the spread (max probability minus min probability across mechanisms). The dimension with the highest discriminating power is recommended first. For each recommended dimension, the DDE additionally specifies: the suggested inspection method (e.g., “PAUT with sectorial scan for crack plane determination”); the relative cost (low, moderate, or high); and a decision logic map that describes, for each possible observed value, which hypothesis it would favor and by how much. This phase converts the Bayesian ranking into actionable inspection guidance — telling the inspector not merely what mechanisms are suspected, but what specific additional observation would most efficiently resolve the ambiguity.</w:t>
      </w:r>
    </w:p>
    <w:p>
      <w:pPr>
        <w:spacing w:after="140" w:before="200"/>
        <w:jc w:val="left"/>
      </w:pPr>
      <w:r>
        <w:rPr>
          <w:rFonts w:ascii="Times New Roman" w:cs="Times New Roman" w:eastAsia="Times New Roman" w:hAnsi="Times New Roman"/>
          <w:b/>
          <w:bCs/>
          <w:i/>
          <w:iCs/>
          <w:sz w:val="22"/>
          <w:szCs w:val="22"/>
        </w:rPr>
        <w:t xml:space="preserve">18A.3. Inspector-Nominated Mechanism Guarantee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DDE implements a safety-critical property: an inspector-nominated mechanism — a damage mechanism explicitly identified by the field inspector based on on-site observation — is guaranteed to appear in the DDE output, regardless of where it falls in the Bayesian ranking. This guarantee operates through three coordinated mechanisms: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First, prerequisite bypass: when the inspector nominates a mechanism, that mechanism bypasses the Phase 1 prerequisite pruning entirely. This is essential because the inspector’s on-site identification may be based on visual or experiential evidence that the System’s structured context fields do not capture. By way of example, an inspector who nominates “amine cracking” based on visual observation of a characteristic cracking pattern in an amine service unit should not have that nomination silently eliminated because the structured asset context happens to be missing the “service_contains_amine” flag. The inspector is physically present; the structured context may be incomplete.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Second, prior boosting: in Phase 4, the inspector-nominated mechanism receives a configurable multiplicative boost to its prior probability (in one embodiment, 5.0x). This reflects the Bayesian principle that an expert’s on-site identification constitutes strong prior evidence that should be formally incorporated into the posterior computation.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Third, output guarantee: after the posterior ranking is computed and the top N hypotheses are selected for output (in one embodiment, N = 3), the DDE performs a final check. If the inspector-nominated mechanism is not among the top N, it is appended to the output from its position in the full ranked list. This ensures that the field inspector’s identification is always visible in the output, even if the Bayesian evidence scoring assigns it a low posterior. The reviewing engineer can then evaluate the inspector’s nomination alongside the engine’s ranking, making an informed decision. This is a safety-critical property: a system that silently discards the field inspector’s identification without surfacing it for review is unsuitable for safety-critical inspection.</w:t>
      </w:r>
    </w:p>
    <w:p>
      <w:pPr>
        <w:spacing w:after="140" w:before="200"/>
        <w:jc w:val="left"/>
      </w:pPr>
      <w:r>
        <w:rPr>
          <w:rFonts w:ascii="Times New Roman" w:cs="Times New Roman" w:eastAsia="Times New Roman" w:hAnsi="Times New Roman"/>
          <w:b/>
          <w:bCs/>
          <w:i/>
          <w:iCs/>
          <w:sz w:val="22"/>
          <w:szCs w:val="22"/>
        </w:rPr>
        <w:t xml:space="preserve">18A.4. Evidence Mapping and Categorical Normalization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DDE includes an evidence mapper subsystem that normalizes raw inspection evidence into the categorical values expected by the knowledge base indicator tables. The mapper performs two classes of transformation: (a) direct pass-through of categorical fields (e.g., crack_orientation, morphology, wall_loss_pattern, weld_proximity, surface_condition, cp_status, coating_condition) that arrive as recognized categorical strings; and (b) bucketing of numeric fields into categorical ranges (e.g., a service temperature of 350°F is mapped to the categorical value “300_to_500”; a wall loss percentage of 23% is mapped to “20_to_40”; a water depth of 85 meters is mapped to “shallow”). The mapper additionally performs asset context inference: when prerequisite-relevant fields are not explicitly provided in the structured asset context, the mapper infers them from the material specification string and observed evidence (e.g., inferring material_family as “carbon_steel” from material specification “A516 Gr.70”; inferring water_phase_present from service fluid containing the substring “amine” or “steam”). This inference prevents prerequisites from incorrectly eliminating valid mechanisms due to incomplete structured context, while preserving the deterministic property of the pipeline.</w:t>
      </w:r>
    </w:p>
    <w:p>
      <w:pPr>
        <w:spacing w:after="140" w:before="200"/>
        <w:jc w:val="left"/>
      </w:pPr>
      <w:r>
        <w:rPr>
          <w:rFonts w:ascii="Times New Roman" w:cs="Times New Roman" w:eastAsia="Times New Roman" w:hAnsi="Times New Roman"/>
          <w:b/>
          <w:bCs/>
          <w:i/>
          <w:iCs/>
          <w:sz w:val="22"/>
          <w:szCs w:val="22"/>
        </w:rPr>
        <w:t xml:space="preserve">18A.5. Validation Evidence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DDE has been validated through a two-tier enterprise validation protocol. The first tier comprises a 100-case golden validation suite covering all six asset domains, with each case scored against an eight-criteria rubric (mechanism identification, multi-mechanism retention, timeline reasoning, evidence weighting, uncertainty handling, decision quality, authority lock correctness, and action recommendations) for a maximum of 100 points per case and 10,000 points total. The DDE achieved a score of 9,710 out of 10,000 (97.1%) with 100 out of 100 cases passing and zero failures. The second tier comprises a 50-case blind validation suite composed of scenarios the engine was not tuned against, covering fixed equipment, refinery, subsea, pipeline, marine vessel, floating production, and power generation domains. The DDE achieved a score of 4,870 out of 5,000 (97.4%) on the blind suite with 50 out of 50 cases passing. Domain-level averages on the blind suite were: fixed equipment 99.4%, refinery 98.4%, subsea 98.0%, floating 93.0%, marine 92.0%, and power generation 89.5%. These validation results demonstrate cross-domain consistency of the Bayesian ranking approach and are available as version-controlled test harness code in the source repository.</w:t>
      </w:r>
    </w:p>
    <w:p>
      <w:pPr>
        <w:pStyle w:val="Heading2"/>
        <w:spacing w:after="140" w:before="240"/>
        <w:jc w:val="left"/>
      </w:pPr>
      <w:r>
        <w:rPr>
          <w:rFonts w:ascii="Times New Roman" w:cs="Times New Roman" w:eastAsia="Times New Roman" w:hAnsi="Times New Roman"/>
          <w:b/>
          <w:bCs/>
          <w:sz w:val="24"/>
          <w:szCs w:val="24"/>
        </w:rPr>
        <w:t xml:space="preserve">19. Dynamic Code Ingestion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includes a code ingestion subsystem that accepts published engineering codes in their native form (PDF, HTML, structured text) and converts them into machine-readable rule structures usable by the authority lock. The subsystem identifies clause boundaries, extracts conditional structures ("if X, then Y shall Z"), resolves cross-references, and produces a structured representation in which each rule is traceable to its originating clause. New or revised codes may be ingested without modification of the decision core. This permits the System to remain current as codes evolve, without requiring re-validation of the underlying physics reasoning.</w:t>
      </w:r>
    </w:p>
    <w:p>
      <w:pPr>
        <w:pStyle w:val="Heading2"/>
        <w:spacing w:after="140" w:before="240"/>
        <w:jc w:val="left"/>
      </w:pPr>
      <w:r>
        <w:rPr>
          <w:rFonts w:ascii="Times New Roman" w:cs="Times New Roman" w:eastAsia="Times New Roman" w:hAnsi="Times New Roman"/>
          <w:b/>
          <w:bCs/>
          <w:sz w:val="24"/>
          <w:szCs w:val="24"/>
        </w:rPr>
        <w:t xml:space="preserve">20. Audit Trail and Reproducibility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Every disposition issued by the System is accompanied by a complete, machine-readable audit trail comprising: (a) the input as received; (b) the normalized structured representation after the voice grammar bridge; (c) the resolved domain, environment, material, and architectural context; (d) the evidence provenance graph; (e) the candidate mechanism set with FMD scores; (f) the dominant mechanism with margin; (g) the timeline projection; (h) the binding code clauses; (i) any contradictions detected and how resolved; (j) any hard locks triggered; (k) the disposition issued; (l) the synthesis-layer LLM output; (m) the challenger-layer LLM output; and (n) the arbiter resolution.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Because the deterministic pipeline produces bitwise-identical outputs for identical inputs, the audit trail is fully reproducible. A reviewing engineer can replay the System on the audit trail input and confirm that the same disposition is reached.</w:t>
      </w:r>
    </w:p>
    <w:p>
      <w:pPr>
        <w:pStyle w:val="Heading2"/>
        <w:spacing w:after="140" w:before="240"/>
        <w:jc w:val="left"/>
      </w:pPr>
      <w:r>
        <w:rPr>
          <w:rFonts w:ascii="Times New Roman" w:cs="Times New Roman" w:eastAsia="Times New Roman" w:hAnsi="Times New Roman"/>
          <w:b/>
          <w:bCs/>
          <w:sz w:val="24"/>
          <w:szCs w:val="24"/>
        </w:rPr>
        <w:t xml:space="preserve">21. Generalized Authoritative-Knowledge Framework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architecture described in Sections 1-20 is one specific application of a more general inventive pattern that the inventor has identified and reduced to practice. The general pattern comprises: (a) a deterministic decision core that operates over a finite enumerated domain space; (b) one or more authoritative knowledge sources whose content has been ingested and bound to the decision core via an authority lock subsystem; (c) an evidence provenance engine that classifies inputs and constrains derived-output confidence; (d) a contradiction engine that prevents output of conclusions inconsistent with authoritative sources; (e) a hard-lock subsystem comprising enumerated trigger conditions that force defined safe-state outputs in domain-recognized risk conditions; (f) a constrained generative LLM operating in a synthesis-only role with prompt content fully determined by the deterministic pipeline state; and (g) a multi-LLM adversarial validation layer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This pattern is applicable to any decision domain in which authoritative knowledge sources govern correct outcomes and in which incorrect outputs carry safety, regulatory, or professional-qualification consequences. Engineering inspection codes (API, ASME, NACE, AWS) are one class of authoritative knowledge sources. Curriculum and certification standards (NCCER, SENSE, AWS QC1, AWS QC10, ASNT SNT-TC-1A, ASNT CP-189, API ICP, ADCI Consensus Standards, NACE coating inspector qualifications, OSHA 29 CFR Part 1910) are a second class. Regulatory requirements in other safety-critical domains, including aviation maintenance (FAA Part 145), nuclear inspection (10 CFR Part 50 Appendix B), and medical-device inspection, are further classes within the scope of the generalized pattern. The architecture remains the same; only the source corpus and the active decision domain change. Embodiments of the System may be configured for any one such class of authoritative knowledge sources, or may operate across multiple classes simultaneously through a domain selector that activates the corresponding authority lock and decision-core state space.</w:t>
      </w:r>
    </w:p>
    <w:p>
      <w:pPr>
        <w:pStyle w:val="Heading2"/>
        <w:spacing w:after="140" w:before="240"/>
        <w:jc w:val="left"/>
      </w:pPr>
      <w:r>
        <w:rPr>
          <w:rFonts w:ascii="Times New Roman" w:cs="Times New Roman" w:eastAsia="Times New Roman" w:hAnsi="Times New Roman"/>
          <w:b/>
          <w:bCs/>
          <w:sz w:val="24"/>
          <w:szCs w:val="24"/>
        </w:rPr>
        <w:t xml:space="preserve">22. Educational and Diagnostic Variant — Architecture Overview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second principal embodiment of the System, herein referred to as the "Educational Variant" or "Diagnostic Variant," applies the generalized pattern to expert-domain training, qualification preparation, and supervised practice. In this variant, the asset under inspection is replaced by a learner response (typed, spoken, drawn, or selected from structured options); the damage mechanism is replaced by a learner misconception or knowledge gap; the engineering code clause is replaced by a curriculum learning objective or certification body requirement; and the engineering disposition is replaced by an instructional response — which may comprise a corrective explanation, a worked example, a probing follow-up question, a recommendation for further practice, a curriculum gating action, or an instructor-escalation flag.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All structural elements of the architecture described in Sections 1-20 are retained in the Educational Variant. The Klein bottle six-state cyclic decision core is retained; only its state semantics shift from mechanism reasoning to misconception reasoning. The twelve-step deterministic pipeline is retained, with each step having a direct counterpart in the educational domain (described in Section 27 below). The evidence provenance engine, reality lock, word-boundary semantic validation, contradiction engine, hard-lock system, voice grammar bridge, superbrain synthesis, and multi-LLM adversarial validation layers are retained without structural modification, requiring only re-binding of their corpora and rule sets to the educational domain. The novel subsystems specific to the Educational Variant are described in Sections 23-26 below.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produces, for each instructional response issued, a complete audit trail comprising: (i) the learner response as received; (ii) the resolved curriculum module, learning objective, and certification context; (iii) the learner's resolved prior knowledge state; (iv) the candidate misconception set with dominance scores; (v) the dominant misconception with margin; (vi) the bound curriculum or certification clause; (vii) any contradictions detected and how resolved; (viii) any pedagogical hard locks triggered; (ix) the instructional response issued; and (x) the synthesis-layer LLM output and challenger evaluation. As in the inspection domain, this audit trail is fully reproducible and supports both pedagogical review and certification body audit.</w:t>
      </w:r>
    </w:p>
    <w:p>
      <w:pPr>
        <w:pStyle w:val="Heading2"/>
        <w:spacing w:after="140" w:before="240"/>
        <w:jc w:val="left"/>
      </w:pPr>
      <w:r>
        <w:rPr>
          <w:rFonts w:ascii="Times New Roman" w:cs="Times New Roman" w:eastAsia="Times New Roman" w:hAnsi="Times New Roman"/>
          <w:b/>
          <w:bCs/>
          <w:sz w:val="24"/>
          <w:szCs w:val="24"/>
        </w:rPr>
        <w:t xml:space="preserve">23. Student Response Classifier (Student Copy Mapper)</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Student Response Classifier, herein also referred to as the "Student Copy Mapper," is the educational-variant analog of the input normalization, asset identity resolution, and entity extraction layers of the inspection pipeline. The classifier receives a learner response and maps it to a position within a finite enumerated misconception space defined by the active curriculum module. Each position in the space is associated with: (a) the curriculum learning objective(s) the response indicates the learner has not yet mastered; (b) the prerequisite knowledge the response demonstrates the learner has, lacks, or has not yet exercised; (c) a finite enumerated set of corrective instructional templates; and (d) a difficulty and safety-criticality classification.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directed to welding inspector preparation, the classifier maintains an enumerated set of at least 23 instructional templates per controlled curriculum objective. Each template addresses a distinct combination of (i) the specific misconception detected, (ii) the learner's prior demonstrated knowledge state, (iii) the recommended corrective approach (visual demonstration, step-by-step worked example, conceptual reframing, prerequisite remediation, hands-on lab assignment, or further-practice scaffolding), and (iv) the curriculum-mandated assessment threshold required for advancement past the objective. The mapping function from learner response to instructional template is deterministic; for any given learner response and prior-knowledge state, the mapped template is reproducible and traceable. This determinism is essential to certification body audit acceptance.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classifier is implemented using the same word-boundary semantic validation subsystem described in Section 7. Free-form learner text — including informal language, abbreviations, and the disfluencies of dictated responses — is processed through enforced word-boundary extraction, preventing the substring-collision failure modes that would otherwise misclassify learner responses (e.g., a learner discussing a weld "undercut" should not be falsely matched against "underbead," and a discussion of "stringer beads" should not be falsely matched against unrelated "stringers" in structural contexts).</w:t>
      </w:r>
    </w:p>
    <w:p>
      <w:pPr>
        <w:pStyle w:val="Heading2"/>
        <w:spacing w:after="140" w:before="240"/>
        <w:jc w:val="left"/>
      </w:pPr>
      <w:r>
        <w:rPr>
          <w:rFonts w:ascii="Times New Roman" w:cs="Times New Roman" w:eastAsia="Times New Roman" w:hAnsi="Times New Roman"/>
          <w:b/>
          <w:bCs/>
          <w:sz w:val="24"/>
          <w:szCs w:val="24"/>
        </w:rPr>
        <w:t xml:space="preserve">24. Misconception Dominance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the educational-variant analog of the failure mode dominance (FMD) engine described in Section 8. Where multiple misconceptions are simultaneously plausible from a learner response, the engine ranks the candidates by a composite score reflecting: (i) consistency with the observed response signature; (ii) consistency with the learner's prior demonstrated knowledge; (iii) instructional efficiency, defined as the predicted reduction in downstream errors per unit of corrective instruction time; (iv) safety implications, where misconceptions that would lead to unsafe field practice are weighted more heavily than misconceptions of equal evidential weight without safety implications; and (v) historical base rate of the misconception within the active curriculum cohort.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outputs a single dominant misconception with quantified margin over secondary misconceptions. Where the margin between rank-1 and rank-2 falls below a configured threshold, the engine declares a tie and triggers either: (a) generation of a probing follow-up question targeted specifically at distinguishing the tied misconceptions; (b) routing of the case to the contradiction engine for additional consistency checking; or (c) where safety implications differ between the tied candidates, conservative selection of the misconception with the higher safety implication, on the same conservative-tie-breaking principle as the inspection-variant FMD engine.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engine resists the prior-art failure mode in which adaptive learning platforms address peripheral errors while leaving the dominant underlying misconception uncorrected. By computing margin and instructional efficiency explicitly, the engine routes corrective instruction to the misconception whose remediation produces the greatest improvement in subsequent learner performance.</w:t>
      </w:r>
    </w:p>
    <w:p>
      <w:pPr>
        <w:pStyle w:val="Heading2"/>
        <w:spacing w:after="140" w:before="240"/>
        <w:jc w:val="left"/>
      </w:pPr>
      <w:r>
        <w:rPr>
          <w:rFonts w:ascii="Times New Roman" w:cs="Times New Roman" w:eastAsia="Times New Roman" w:hAnsi="Times New Roman"/>
          <w:b/>
          <w:bCs/>
          <w:sz w:val="24"/>
          <w:szCs w:val="24"/>
        </w:rPr>
        <w:t xml:space="preserve">25. Curriculum Authority Lock</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is the educational-variant analog of the engineering authority lock described in Section 6. The lock maintains structured representations of curriculum standards and certification body requirements, drawn from sources including, without limitation: NCCER welding curriculum modules and NCCER NDT modules; SENSE training program standards; AWS QC1 certification of welding inspectors; AWS QC10 certification of welders; AWS B5.1 certification of welding inspector specialists; ASNT SNT-TC-1A and ASNT CP-189 personnel qualification recommended practices; API Individual Certification Programs (ICP) for inspectors covering API 510, 570, 653, 580, and related codes; ADCI Consensus Standards for commercial diver and supervisor training; NACE coating inspector and corrosion technician qualifications; and OSHA 29 CFR Part 1910 Subpart T for commercial diving operations.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Each instructional response generated by the System is bound to one or more learning objectives or competency requirements of the controlling curriculum or certification body. The Curriculum Authority Lock refuses to issue an instructional response that: (i) confirms a learner practice that would, if executed in the field, violate an applicable safety standard; (ii) contradicts a binding curriculum requirement (for example, declaring as acceptable a weld profile that violates AWS D1.1 acceptance criteria, regardless of how plausible the learner's reasoning); (iii) would qualify a learner for advancement past a curriculum gate on the basis of demonstrably absent prerequisite knowledge; (iv) would credit a learner with completion of a competency requirement on the basis of evidence whose provenance does not satisfy the certification body's documentary standard; or (v) would issue a corrective response inconsistent with the controlling curriculum's instructional sequence (for example, teaching a topic before its prerequisites in a curriculum that explicitly requires prerequisite ordering).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Curriculum Authority Lock includes a curriculum-ingestion module functionally analogous to the engineering code-ingestion module of Section 19. New or revised curriculum standards may be ingested without modification of the deterministic decision core, permitting the System to be updated to reflect curriculum revisions or new certification body programs without re-validation of the underlying diagnostic reasoning.</w:t>
      </w:r>
    </w:p>
    <w:p>
      <w:pPr>
        <w:pStyle w:val="Heading2"/>
        <w:spacing w:after="140" w:before="240"/>
        <w:jc w:val="left"/>
      </w:pPr>
      <w:r>
        <w:rPr>
          <w:rFonts w:ascii="Times New Roman" w:cs="Times New Roman" w:eastAsia="Times New Roman" w:hAnsi="Times New Roman"/>
          <w:b/>
          <w:bCs/>
          <w:sz w:val="24"/>
          <w:szCs w:val="24"/>
        </w:rPr>
        <w:t xml:space="preserve">26. Pedagogical Hard-Lock Subsystem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is a finite enumerated set of trigger conditions specific to the Educational Variant, functionally analogous to the inspection-variant hard locks described in Section 12. Triggers include, without limitation: (1) the learner response, if applied in field practice, would produce an unsafe outcome — for example, approving a weld that violates AWS D1.1 acceptance criteria, or executing a dive in a configuration that violates ADCI Consensus Standards diver-supervisor ratios; (2) the learner response demonstrates a misconception that, in the controlling curriculum, requires explicit instructor-supervised remediation before learner progression; (3) the learner is attempting to advance to a curriculum module for which prerequisite mastery has not been demonstrated; (4) the learner has produced an identical or substantially identical misconception across a configured threshold of attempts, indicating a structural knowledge gap requiring instructor escalation; (5) the learner response, if interpreted as a request for the System to confirm a proposed practice, would constitute the System endorsing an unsafe field action; (6) the learner is approaching a certification examination simulation without having satisfied the certification body's prerequisite training-hour or performance requirements; and (7) the System has accumulated insufficient evidence (provenance below configured minimum) to support any instructional response with confidence.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When a pedagogical hard lock triggers, the System forces output to a defined safe state. Safe-state outputs include, without limitation: (a) a corrective response that explicitly identifies the safety-critical aspect of the learner's misconception, presented in a manner traceable to the binding code or standard; (b) an instructor-escalation flag that surfaces the case to a human supervisor with full audit-trail context; (c) a curriculum gating action that prevents the learner from advancing past the unmastered topic regardless of the learner's other progress; (d) a referral to specific remedial materials drawn from the controlling curriculum; or (e) some combination of the foregoing. As with the inspection-variant hard locks, pedagogical hard-lock outputs are not subject to LLM synthesis, are surfaced verbatim, and cannot be overridden by LLM rationalization or learner pushback.</w:t>
      </w:r>
    </w:p>
    <w:p>
      <w:pPr>
        <w:pStyle w:val="Heading2"/>
        <w:spacing w:after="140" w:before="240"/>
        <w:jc w:val="left"/>
      </w:pPr>
      <w:r>
        <w:rPr>
          <w:rFonts w:ascii="Times New Roman" w:cs="Times New Roman" w:eastAsia="Times New Roman" w:hAnsi="Times New Roman"/>
          <w:b/>
          <w:bCs/>
          <w:sz w:val="24"/>
          <w:szCs w:val="24"/>
        </w:rPr>
        <w:t xml:space="preserve">27. Diagnostic Reasoning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diagnostic reasoning pipeline of the Educational Variant is the direct analog of the engineering twelve-step pipeline of Section 3. Each step has a counterpart that retains the same pure-function determinism property:</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 — Response Tokenization. The learner response is tokenized using word-boundary-enforced extraction (Section 7).</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2 — Learner Identity Resolution. The learner is resolved against a platform user registry, including their accumulated prior performance history, current curriculum position, and certification track.</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3 — Curricular Context Resolution. The active curriculum module, learning objective, and progression position are resolved.</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4 — Prerequisite Resolution. The learner's demonstrated prior knowledge is resolved against the prerequisite map of the active learning objective.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5 — Pedagogical Context Resolution. The instructional setting (lecture, lab, supervised practice, examination simulation, unsupervised review) is resolved, as different settings carry different acceptable instructional response types and different hard-lock thresholds.</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6 — Response Evidence Classification. The learner response is decomposed into evidence categories: what the response demonstrates the learner OBSERVED-LY knows; what is INFERRED from response patterns; and what is ASSUMED by default in the absence of direct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7 — Misconception Candidate Generation. Candidate misconceptions consistent with the response and the learner's prerequisite state are enumerated from the active curriculum's misconception space.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8 — Misconception Dominance Scoring. Candidates are scored by the Misconception Dominance Engine (Section 24).</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9 — Learning Trajectory Projection. The projected learner progression under the recommended instructional response is projected, including time-to-mastery and risk of recurrence.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10 — Curriculum Authority Binding. The applicable curriculum learning objective and certification body requirement are bound (Section 25).</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11 — Pedagogical Contradiction Check. Contradictions are detected, including: would the recommended response contradict the curriculum's instructional sequence? would it endorse an unsafe practice? would it advance the learner past an unmastered prerequisite? would it credit the learner with mastery on insufficient evidence?</w:t>
      </w:r>
    </w:p>
    <w:p>
      <w:pPr>
        <w:pStyle w:val="ListParagraph"/>
        <w:numPr>
          <w:ilvl w:val="0"/>
          <w:numId w:val="2"/>
        </w:numPr>
        <w:spacing w:after="60" w:before="60" w:line="300"/>
      </w:pPr>
      <w:r>
        <w:rPr>
          <w:rFonts w:ascii="Times New Roman" w:cs="Times New Roman" w:eastAsia="Times New Roman" w:hAnsi="Times New Roman"/>
          <w:sz w:val="22"/>
          <w:szCs w:val="22"/>
        </w:rPr>
        <w:t xml:space="preserve">Step 12 — Instructional Response Gate. The instructional response is issued or blocked based on the outcomes of the prior eleven steps and the Pedagogical Hard-Lock Subsystem (Section 26).</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pipeline is testable through a regression suite directly analogous to the inspection-variant suite. In a particular embodiment, a 52-test regression suite covers the principal misconception categories within the welding-inspection curriculum, including weld profile misclassification, acceptance-criterion confusion, NDT method-discontinuity mismatch, code-applicability errors, and material-process compatibility errors. Each test scenario produces a deterministic expected output that the System must reproduce on each release.</w:t>
      </w:r>
    </w:p>
    <w:p>
      <w:r>
        <w:br w:type="page"/>
      </w:r>
    </w:p>
    <w:p>
      <w:pPr>
        <w:pStyle w:val="Heading1"/>
        <w:spacing w:after="200" w:before="360"/>
        <w:jc w:val="left"/>
      </w:pPr>
      <w:r>
        <w:rPr>
          <w:rFonts w:ascii="Times New Roman" w:cs="Times New Roman" w:eastAsia="Times New Roman" w:hAnsi="Times New Roman"/>
          <w:b/>
          <w:bCs/>
          <w:sz w:val="26"/>
          <w:szCs w:val="26"/>
        </w:rPr>
        <w:t xml:space="preserve">ALTERNATIVE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invention may be practiced in any of the following non-limiting embodiments, each of which retains the core architectural innovations described above:</w:t>
      </w:r>
    </w:p>
    <w:p>
      <w:pPr>
        <w:pStyle w:val="Heading2"/>
        <w:spacing w:after="140" w:before="240"/>
        <w:jc w:val="left"/>
      </w:pPr>
      <w:r>
        <w:rPr>
          <w:rFonts w:ascii="Times New Roman" w:cs="Times New Roman" w:eastAsia="Times New Roman" w:hAnsi="Times New Roman"/>
          <w:b/>
          <w:bCs/>
          <w:sz w:val="24"/>
          <w:szCs w:val="24"/>
        </w:rPr>
        <w:t xml:space="preserve">Embodiment A: Full Pipeline Web Application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application implementing all subsystems described in Sections 1-20, deployed as a serverless backend with a React-based frontend, accessible from desktop and mobile browsers. This is the principal embodiment.</w:t>
      </w:r>
    </w:p>
    <w:p>
      <w:pPr>
        <w:pStyle w:val="Heading2"/>
        <w:spacing w:after="140" w:before="240"/>
        <w:jc w:val="left"/>
      </w:pPr>
      <w:r>
        <w:rPr>
          <w:rFonts w:ascii="Times New Roman" w:cs="Times New Roman" w:eastAsia="Times New Roman" w:hAnsi="Times New Roman"/>
          <w:b/>
          <w:bCs/>
          <w:sz w:val="24"/>
          <w:szCs w:val="24"/>
        </w:rPr>
        <w:t xml:space="preserve">Embodiment B: Mobile Field Inspection Companion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mobile-first application optimized for field use, comprising a voice-driven inspection capture interface, on-device draft of the voice grammar bridge, and synchronized backend processing. The mobile embodiment retains all safety-critical reasoning on the backend; the on-device component handles only input capture and offline queueing.</w:t>
      </w:r>
    </w:p>
    <w:p>
      <w:pPr>
        <w:pStyle w:val="Heading2"/>
        <w:spacing w:after="140" w:before="240"/>
        <w:jc w:val="left"/>
      </w:pPr>
      <w:r>
        <w:rPr>
          <w:rFonts w:ascii="Times New Roman" w:cs="Times New Roman" w:eastAsia="Times New Roman" w:hAnsi="Times New Roman"/>
          <w:b/>
          <w:bCs/>
          <w:sz w:val="24"/>
          <w:szCs w:val="24"/>
        </w:rPr>
        <w:t xml:space="preserve">Embodiment C: Enterprise Multi-Tenant Deployment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multi-tenant version deployed to enterprise customers with tenant-segregated audit trails, role-based access control, and integration adapters for enterprise asset management systems (PCMS, Meridium, Synergi).</w:t>
      </w:r>
    </w:p>
    <w:p>
      <w:pPr>
        <w:pStyle w:val="Heading2"/>
        <w:spacing w:after="140" w:before="240"/>
        <w:jc w:val="left"/>
      </w:pPr>
      <w:r>
        <w:rPr>
          <w:rFonts w:ascii="Times New Roman" w:cs="Times New Roman" w:eastAsia="Times New Roman" w:hAnsi="Times New Roman"/>
          <w:b/>
          <w:bCs/>
          <w:sz w:val="24"/>
          <w:szCs w:val="24"/>
        </w:rPr>
        <w:t xml:space="preserve">Embodiment D: Standalone Subsystem Licensing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Individual subsystems — in particular the authority lock, the evidence provenance engine, the FMD engine, and the contradiction engine — may be deployed as standalone licensable modules accessed via API. Each subsystem retains its core innovation and may be integrated into third-party inspection platforms.</w:t>
      </w:r>
    </w:p>
    <w:p>
      <w:pPr>
        <w:pStyle w:val="Heading2"/>
        <w:spacing w:after="140" w:before="240"/>
        <w:jc w:val="left"/>
      </w:pPr>
      <w:r>
        <w:rPr>
          <w:rFonts w:ascii="Times New Roman" w:cs="Times New Roman" w:eastAsia="Times New Roman" w:hAnsi="Times New Roman"/>
          <w:b/>
          <w:bCs/>
          <w:sz w:val="24"/>
          <w:szCs w:val="24"/>
        </w:rPr>
        <w:t xml:space="preserve">Embodiment E: Domain-Specialized Variants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may be specialized to particular asset domains — for example, an offshore-only embodiment, an underwater-only embodiment, an atmospheric storage tank embodiment, or a welding inspection embodiment (in which the FMD engine ranks weld discontinuities rather than corrosion mechanisms, and the authority lock binds AWS rather than API codes). Each domain-specialized variant retains the core architectural pattern.</w:t>
      </w:r>
    </w:p>
    <w:p>
      <w:pPr>
        <w:pStyle w:val="Heading2"/>
        <w:spacing w:after="140" w:before="240"/>
        <w:jc w:val="left"/>
      </w:pPr>
      <w:r>
        <w:rPr>
          <w:rFonts w:ascii="Times New Roman" w:cs="Times New Roman" w:eastAsia="Times New Roman" w:hAnsi="Times New Roman"/>
          <w:b/>
          <w:bCs/>
          <w:sz w:val="24"/>
          <w:szCs w:val="24"/>
        </w:rPr>
        <w:t xml:space="preserve">Embodiment F: Companion Welding Inspection System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companion embodiment, herein referred to as the welding-inspection variant, applies the same architectural pattern to welding-process and weld-discontinuity evaluation. The Klein bottle decision core is retained, with State 3 generating discontinuity candidates rather than damage mechanism candidates. The authority lock binds AWS D1.1, AWS D1.5, AWS D1.6, ASME Section IX, and analogous welding codes. The FMD engine ranks discontinuity classifications by acceptance-criteria implication. The reality lock domain set is restricted to weld geometries (groove, fillet, tube-to-tubesheet, etc.). All other subsystems are retained.</w:t>
      </w:r>
    </w:p>
    <w:p>
      <w:pPr>
        <w:pStyle w:val="Heading2"/>
        <w:spacing w:after="140" w:before="240"/>
        <w:jc w:val="left"/>
      </w:pPr>
      <w:r>
        <w:rPr>
          <w:rFonts w:ascii="Times New Roman" w:cs="Times New Roman" w:eastAsia="Times New Roman" w:hAnsi="Times New Roman"/>
          <w:b/>
          <w:bCs/>
          <w:sz w:val="24"/>
          <w:szCs w:val="24"/>
        </w:rPr>
        <w:t xml:space="preserve">Embodiment G: Campaign Mode (Fleet-Level)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in which the System processes a fleet of related assets simultaneously, identifying systemic patterns across the fleet that would not be apparent in single-asset processing. The campaign-mode embodiment introduces a fleet-level layer above the per-asset Klein bottle, in which fleet-level patterns can trigger re-evaluation of individual asset dispositions.</w:t>
      </w:r>
    </w:p>
    <w:p>
      <w:pPr>
        <w:pStyle w:val="Heading2"/>
        <w:spacing w:after="140" w:before="240"/>
        <w:jc w:val="left"/>
      </w:pPr>
      <w:r>
        <w:rPr>
          <w:rFonts w:ascii="Times New Roman" w:cs="Times New Roman" w:eastAsia="Times New Roman" w:hAnsi="Times New Roman"/>
          <w:b/>
          <w:bCs/>
          <w:sz w:val="24"/>
          <w:szCs w:val="24"/>
        </w:rPr>
        <w:t xml:space="preserve">Embodiment H: Photographic and CAD Input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extension permitting photographic upload, in which a vision-capable LLM extracts visible features (corrosion patterns, weld geometry, gauge readings) into the normalized representation, after which all downstream processing proceeds as in the principal embodiment. CAD model upload is similarly supported, with geometry parsed into the architectural reality engine.</w:t>
      </w:r>
    </w:p>
    <w:p>
      <w:pPr>
        <w:pStyle w:val="Heading2"/>
        <w:spacing w:after="140" w:before="240"/>
        <w:jc w:val="left"/>
      </w:pPr>
      <w:r>
        <w:rPr>
          <w:rFonts w:ascii="Times New Roman" w:cs="Times New Roman" w:eastAsia="Times New Roman" w:hAnsi="Times New Roman"/>
          <w:b/>
          <w:bCs/>
          <w:sz w:val="24"/>
          <w:szCs w:val="24"/>
        </w:rPr>
        <w:t xml:space="preserve">Embodiment I: Welding Education and CWI Preparation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(Sections 22-27) directed to preparation of learners for the AWS Certified Welding Inspector (CWI) examination and analogous welding-inspection qualifications. The platform comprises the full deterministic decision core; the Student Response Classifier with a library of at least 23 instructional templates per curriculum learning objective; the Misconception Dominance Engine; the Curriculum Authority Lock bound to AWS QC1, AWS D1.1, AWS D1.5, AWS D1.6, AWS B5.1, ASME Section IX, and applicable NCCER and SENSE curriculum modules; and the full Pedagogical Hard-Lock Subsystem with welding-domain-specific safety triggers.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In a particular embodiment of this Embodiment I, the platform additionally implements: (a) a discontinuity recognition layer that processes uploaded weld photographs through a vision-capable LLM, with extracted features (porosity, undercut, slag inclusion, lack of fusion, crater cracks, etc.) routed through the same word-boundary semantic validation and dominance-scoring pipeline as inspection-variant inputs; (b) a code-section navigator that surfaces the binding AWS clause text for each instructional response; (c) a CWI examination simulator that operates the Pedagogical Hard-Lock Subsystem with examination-mode triggers (no hint provision, certification-body documentary standards for response evidence); and (d) integration with the inspection-variant of the System for learners transitioning from supervised practice to professional inspection. This embodiment is reduced to practice in the inventor's working software platform deployed at the URL forgedweldscan.com.</w:t>
      </w:r>
    </w:p>
    <w:p>
      <w:pPr>
        <w:pStyle w:val="Heading2"/>
        <w:spacing w:after="140" w:before="240"/>
        <w:jc w:val="left"/>
      </w:pPr>
      <w:r>
        <w:rPr>
          <w:rFonts w:ascii="Times New Roman" w:cs="Times New Roman" w:eastAsia="Times New Roman" w:hAnsi="Times New Roman"/>
          <w:b/>
          <w:bCs/>
          <w:sz w:val="24"/>
          <w:szCs w:val="24"/>
        </w:rPr>
        <w:t xml:space="preserve">Embodiment J: Commercial Diving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web-accessible educational platform implementing the Educational Variant directed to preparation of commercial diver candidates and supervisor candidates for ADCI-recognized certifications and analogous credentials. The Curriculum Authority Lock is bound to ADCI Consensus Standards (current edition), OSHA 29 CFR 1910 Subpart T, U.S. Navy Diving Manual provisions adopted by ADCI, applicable U.S. Coast Guard regulations, and equivalent standards for non-U.S. jurisdictions including IMCA International Code of Practice for Offshore Diving.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Pedagogical Hard-Lock Subsystem includes diving-domain-specific triggers, including without limitation: (i) decompression schedule deviations beyond stated limits; (ii) gas mixture errors with consequences for hypoxia, hyperoxia, or inert gas narcosis; (iii) bottom-time computations exceeding no-decompression limits without surface-supplied or staged-decompression provisions; (iv) supervisor-to-diver ratios violating ADCI minima; (v) emergency procedures (lost diver, fouled umbilical, ascending bell entrapment) where learner response would delay or compromise rescue; and (vi) equipment configurations not authorized for the planned dive profile. Each pedagogical hard lock surfaces the binding ADCI clause and routes the case to instructor escalation. The Educational Variant's Misconception Dominance Engine is configured with diving-specific misconception space derived from documented training failure modes in commercial diving education.</w:t>
      </w:r>
    </w:p>
    <w:p>
      <w:pPr>
        <w:pStyle w:val="Heading2"/>
        <w:spacing w:after="140" w:before="240"/>
        <w:jc w:val="left"/>
      </w:pPr>
      <w:r>
        <w:rPr>
          <w:rFonts w:ascii="Times New Roman" w:cs="Times New Roman" w:eastAsia="Times New Roman" w:hAnsi="Times New Roman"/>
          <w:b/>
          <w:bCs/>
          <w:sz w:val="24"/>
          <w:szCs w:val="24"/>
        </w:rPr>
        <w:t xml:space="preserve">Embodiment K: NDT Technician Training and Qualification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educational platform implementing the Educational Variant directed to preparation of NDT technician candidates for ASNT Level I, Level II, and Level III qualifications under SNT-TC-1A or CP-189, and analogous qualification programs. The Curriculum Authority Lock is bound to ASNT recommended practices, employer written practices implementing those recommended practices, and applicable industry-specific qualification standards (API ICP for NDT in petrochemical, AWS endorsements for welding-related NDT, NAVSEA Tech Pubs for naval applications).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Misconception Dominance Engine is configured with NDT-method-specific misconception spaces covering, without limitation: ultrasonic testing (calibration block selection, transducer frequency selection, gate setting, signal interpretation); radiographic testing (technique selection, density and sensitivity verification, indication interpretation); magnetic particle testing (technique applicability, magnetization adequacy, indication classification); liquid penetrant testing (penetration time, dwell time, indication evaluation); eddy current testing (probe selection, lift-off compensation, signal interpretation); visual testing (lighting, surface preparation, acceptance criteria application); and emerging methods (phased array UT, time-of-flight diffraction, automated UT, computed radiography). Each method's misconception space is bound to the corresponding ASNT recommended practice clauses and the employer's written practice.</w:t>
      </w:r>
    </w:p>
    <w:p>
      <w:pPr>
        <w:pStyle w:val="Heading2"/>
        <w:spacing w:after="140" w:before="240"/>
        <w:jc w:val="left"/>
      </w:pPr>
      <w:r>
        <w:rPr>
          <w:rFonts w:ascii="Times New Roman" w:cs="Times New Roman" w:eastAsia="Times New Roman" w:hAnsi="Times New Roman"/>
          <w:b/>
          <w:bCs/>
          <w:sz w:val="24"/>
          <w:szCs w:val="24"/>
        </w:rPr>
        <w:t xml:space="preserve">Embodiment L: Generalized Expert-Domain Tutoring Platform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platform implementation of the generalized authoritative-knowledge framework of Section 21, configured to support multiple expert domains through a domain selector that loads the appropriate authority lock content, decision-core state space, and hard-lock trigger set for the active domain. In one embodiment, a single platform instance supports inspection (Embodiment A), welding education (Embodiment I), commercial diving training (Embodiment J), and NDT technician training (Embodiment K) simultaneously, with each user session bound to a specific domain configuration and with the System enforcing strict separation between domains via the reality lock and authority lock subsystems.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generalized embodiment additionally supports configuration for further safety-critical or qualification-relevant domains within the same architectural framework, including without limitation: aviation maintenance training under FAA Part 147; nuclear inspector qualification under 10 CFR Part 50 Appendix B and ANSI/ASME N45.2.6; medical-device inspection training; and pipeline integrity-management training under 49 CFR Parts 192 and 195 and API 1160 / API 1163. The architecture is not limited to the foregoing domains; any domain in which authoritative knowledge sources govern correct outcomes and in which incorrect outcomes carry safety, regulatory, or qualification consequences is within the scope of the generalized embodiment.</w:t>
      </w:r>
    </w:p>
    <w:p>
      <w:r>
        <w:br w:type="page"/>
      </w:r>
    </w:p>
    <w:p>
      <w:pPr>
        <w:pStyle w:val="Heading1"/>
        <w:spacing w:after="200" w:before="360"/>
        <w:jc w:val="left"/>
      </w:pPr>
      <w:r>
        <w:rPr>
          <w:rFonts w:ascii="Times New Roman" w:cs="Times New Roman" w:eastAsia="Times New Roman" w:hAnsi="Times New Roman"/>
          <w:b/>
          <w:bCs/>
          <w:sz w:val="26"/>
          <w:szCs w:val="26"/>
        </w:rPr>
        <w:t xml:space="preserve">EXAMPLE OF OPERATION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non-limiting example illustrates operation of the System on a representative inspection scenario.</w:t>
      </w:r>
    </w:p>
    <w:p>
      <w:pPr>
        <w:pStyle w:val="Heading3"/>
        <w:spacing w:after="120" w:before="180"/>
        <w:jc w:val="left"/>
      </w:pPr>
      <w:r>
        <w:rPr>
          <w:rFonts w:ascii="Times New Roman" w:cs="Times New Roman" w:eastAsia="Times New Roman" w:hAnsi="Times New Roman"/>
          <w:b/>
          <w:bCs/>
          <w:i/>
          <w:iCs/>
          <w:sz w:val="22"/>
          <w:szCs w:val="22"/>
        </w:rPr>
        <w:t xml:space="preserve">Scenario: Sour Amine Service, 8-Inch Carbon Steel Process 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inspector dictates the following voice note: "Eight inch carbon steel line on the lean amine return, just downstream of the regenerator overhead exchanger. Got UT readings showing wall loss to 0.187 from nominal 0.322. Some hardness elevation in the heat affected zone of the recent repair weld at flange F-204. Temperature reads 240 F operating. Looking for hydrogen blistering on the bottom but I'm not seeing any. Pitting visible on the 6 o'clock around the elbow."</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Voice grammar bridge normalizes the input. Asset is resolved to an 8-inch process piping segment in lean amine service. Material is resolved to carbon steel (specification class A106-B by default in absence of explicit grade).</w:t>
      </w:r>
    </w:p>
    <w:p>
      <w:pPr>
        <w:pStyle w:val="ListParagraph"/>
        <w:numPr>
          <w:ilvl w:val="0"/>
          <w:numId w:val="2"/>
        </w:numPr>
        <w:spacing w:after="60" w:before="60" w:line="300"/>
      </w:pPr>
      <w:r>
        <w:rPr>
          <w:rFonts w:ascii="Times New Roman" w:cs="Times New Roman" w:eastAsia="Times New Roman" w:hAnsi="Times New Roman"/>
          <w:sz w:val="22"/>
          <w:szCs w:val="22"/>
        </w:rPr>
        <w:t xml:space="preserve">Reality lock assigns the asset to domain: process piping. Domain assignment is unambiguous; gating succeeds.</w:t>
      </w:r>
    </w:p>
    <w:p>
      <w:pPr>
        <w:pStyle w:val="ListParagraph"/>
        <w:numPr>
          <w:ilvl w:val="0"/>
          <w:numId w:val="2"/>
        </w:numPr>
        <w:spacing w:after="60" w:before="60" w:line="300"/>
      </w:pPr>
      <w:r>
        <w:rPr>
          <w:rFonts w:ascii="Times New Roman" w:cs="Times New Roman" w:eastAsia="Times New Roman" w:hAnsi="Times New Roman"/>
          <w:sz w:val="22"/>
          <w:szCs w:val="22"/>
        </w:rPr>
        <w:t xml:space="preserve">Environmental classification: amine service, 240°F operating, presence of regenerator overhead implies wet service with H2S potential. Environment class: lean amine, wet, with potential for stress corrosion cracking and pitting.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Material resolution: A106-B carbon steel; allowable temperature satisfies. Hardness elevation in HAZ is flagged for cross-check against NACE MR0175 hardness limit (22 HRC) for wet H2S service. (As-measured hardness value is required input; if absent, an INFERRED-HIGH provenance flag is raised.)</w:t>
      </w:r>
    </w:p>
    <w:p>
      <w:pPr>
        <w:pStyle w:val="ListParagraph"/>
        <w:numPr>
          <w:ilvl w:val="0"/>
          <w:numId w:val="2"/>
        </w:numPr>
        <w:spacing w:after="60" w:before="60" w:line="300"/>
      </w:pPr>
      <w:r>
        <w:rPr>
          <w:rFonts w:ascii="Times New Roman" w:cs="Times New Roman" w:eastAsia="Times New Roman" w:hAnsi="Times New Roman"/>
          <w:sz w:val="22"/>
          <w:szCs w:val="22"/>
        </w:rPr>
        <w:t xml:space="preserve">Architectural context: piping run with elbow, recent flange repair weld, heat-affected zone present at F-204.</w:t>
      </w:r>
    </w:p>
    <w:p>
      <w:pPr>
        <w:pStyle w:val="ListParagraph"/>
        <w:numPr>
          <w:ilvl w:val="0"/>
          <w:numId w:val="2"/>
        </w:numPr>
        <w:spacing w:after="60" w:before="60" w:line="300"/>
      </w:pPr>
      <w:r>
        <w:rPr>
          <w:rFonts w:ascii="Times New Roman" w:cs="Times New Roman" w:eastAsia="Times New Roman" w:hAnsi="Times New Roman"/>
          <w:sz w:val="22"/>
          <w:szCs w:val="22"/>
        </w:rPr>
        <w:t xml:space="preserve">Evidence classification: UT readings = OBSERVED; nominal thickness = OBSERVED-FROM-RECORDS; hardness elevation = OBSERVED-QUALITATIVE (numerical value INFERRED until measurement provided); operating temperature = OBSERVED; absence of blistering = OBSERVED-NEGATIVE; pitting at 6 o'clock =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Mechanism candidate generation: amine stress corrosion cracking (alkaline SCC); under-deposit pitting; general thinning; wet H2S cracking subset (HIC, SOHIC, SSC); HAZ-localized SSC at the repair weld.</w:t>
      </w:r>
    </w:p>
    <w:p>
      <w:pPr>
        <w:pStyle w:val="ListParagraph"/>
        <w:numPr>
          <w:ilvl w:val="0"/>
          <w:numId w:val="2"/>
        </w:numPr>
        <w:spacing w:after="60" w:before="60" w:line="300"/>
      </w:pPr>
      <w:r>
        <w:rPr>
          <w:rFonts w:ascii="Times New Roman" w:cs="Times New Roman" w:eastAsia="Times New Roman" w:hAnsi="Times New Roman"/>
          <w:sz w:val="22"/>
          <w:szCs w:val="22"/>
        </w:rPr>
        <w:t xml:space="preserve">FMD scoring: Given lean amine + 240°F + HAZ + repair weld, alkaline SCC at the HAZ scores highest. Under-deposit pitting at 6 o'clock scores second. The margin is computed; if above threshold, alkaline SCC is declared dominant. Critically, the FMD engine notes that the OBSERVED absence of blistering does not exclude SOHIC or alkaline SCC (which do not produce blisters); the engine resists the temptation to use a negative observation against the wrong mechanism.</w:t>
      </w:r>
    </w:p>
    <w:p>
      <w:pPr>
        <w:pStyle w:val="ListParagraph"/>
        <w:numPr>
          <w:ilvl w:val="0"/>
          <w:numId w:val="2"/>
        </w:numPr>
        <w:spacing w:after="60" w:before="60" w:line="300"/>
      </w:pPr>
      <w:r>
        <w:rPr>
          <w:rFonts w:ascii="Times New Roman" w:cs="Times New Roman" w:eastAsia="Times New Roman" w:hAnsi="Times New Roman"/>
          <w:sz w:val="22"/>
          <w:szCs w:val="22"/>
        </w:rPr>
        <w:t xml:space="preserve">Timeline projection: alkaline SCC progression at 240°F in lean amine is computed; under-deposit pitting timeline is computed; the COMPOUND handler determines whether alkaline SCC governs cleanly or whether pitting must be jointly tracked.</w:t>
      </w:r>
    </w:p>
    <w:p>
      <w:pPr>
        <w:pStyle w:val="ListParagraph"/>
        <w:numPr>
          <w:ilvl w:val="0"/>
          <w:numId w:val="2"/>
        </w:numPr>
        <w:spacing w:after="60" w:before="60" w:line="300"/>
      </w:pPr>
      <w:r>
        <w:rPr>
          <w:rFonts w:ascii="Times New Roman" w:cs="Times New Roman" w:eastAsia="Times New Roman" w:hAnsi="Times New Roman"/>
          <w:sz w:val="22"/>
          <w:szCs w:val="22"/>
        </w:rPr>
        <w:t xml:space="preserve">Authority lock: API 570 governs piping inspection; NACE MR0175 governs the hardness-in-H2S limit; API 945 governs amine service; API 581 may govern the risk-based scheduling.</w:t>
      </w:r>
    </w:p>
    <w:p>
      <w:pPr>
        <w:pStyle w:val="ListParagraph"/>
        <w:numPr>
          <w:ilvl w:val="0"/>
          <w:numId w:val="2"/>
        </w:numPr>
        <w:spacing w:after="60" w:before="60" w:line="300"/>
      </w:pPr>
      <w:r>
        <w:rPr>
          <w:rFonts w:ascii="Times New Roman" w:cs="Times New Roman" w:eastAsia="Times New Roman" w:hAnsi="Times New Roman"/>
          <w:sz w:val="22"/>
          <w:szCs w:val="22"/>
        </w:rPr>
        <w:t xml:space="preserve">Contradiction check: The recommended re-inspection method must be capable of detecting alkaline SCC. Ultrasonic thickness measurement alone is insufficient; wet fluorescent magnetic particle (WFMT) or shear-wave UT (SWUT) is required at the HAZ. The voice grammar bridge's method-mechanism check raises a contradiction if the recommended re-inspection method is reported as "UTT only."</w:t>
      </w:r>
    </w:p>
    <w:p>
      <w:pPr>
        <w:pStyle w:val="ListParagraph"/>
        <w:numPr>
          <w:ilvl w:val="0"/>
          <w:numId w:val="2"/>
        </w:numPr>
        <w:spacing w:after="60" w:before="60" w:line="300"/>
      </w:pPr>
      <w:r>
        <w:rPr>
          <w:rFonts w:ascii="Times New Roman" w:cs="Times New Roman" w:eastAsia="Times New Roman" w:hAnsi="Times New Roman"/>
          <w:sz w:val="22"/>
          <w:szCs w:val="22"/>
        </w:rPr>
        <w:t xml:space="preserve">Hard lock check: hardness exceeds 22 HRC trigger — cannot be evaluated without measurement; provenance flag raised. Disposition pathway proceeds with explicit dependency on hardness measurement.</w:t>
      </w:r>
    </w:p>
    <w:p>
      <w:pPr>
        <w:pStyle w:val="ListParagraph"/>
        <w:numPr>
          <w:ilvl w:val="0"/>
          <w:numId w:val="2"/>
        </w:numPr>
        <w:spacing w:after="60" w:before="60" w:line="300"/>
      </w:pPr>
      <w:r>
        <w:rPr>
          <w:rFonts w:ascii="Times New Roman" w:cs="Times New Roman" w:eastAsia="Times New Roman" w:hAnsi="Times New Roman"/>
          <w:sz w:val="22"/>
          <w:szCs w:val="22"/>
        </w:rPr>
        <w:t xml:space="preserve">Disposition pathway issues: REPAIR-OR-REPLACE at HAZ subject to hardness measurement; perform WFMT and SWUT on the HAZ at F-204 within 30 days; perform full UT scan of the elbow at 6 o'clock; if hardness exceeds 22 HRC, REJECT FROM SERVICE per NACE MR0175. Field Action Library entries for each task are surfaced. Provenance label: INFERRED (because hardness numerical value is not OBSERVED).</w:t>
      </w:r>
    </w:p>
    <w:p>
      <w:pPr>
        <w:pStyle w:val="ListParagraph"/>
        <w:numPr>
          <w:ilvl w:val="0"/>
          <w:numId w:val="2"/>
        </w:numPr>
        <w:spacing w:after="60" w:before="60" w:line="300"/>
      </w:pPr>
      <w:r>
        <w:rPr>
          <w:rFonts w:ascii="Times New Roman" w:cs="Times New Roman" w:eastAsia="Times New Roman" w:hAnsi="Times New Roman"/>
          <w:sz w:val="22"/>
          <w:szCs w:val="22"/>
        </w:rPr>
        <w:t xml:space="preserve">Superbrain synthesis: a natural-language summary is generated, constrained to reflect the deterministic pipeline state.</w:t>
      </w:r>
    </w:p>
    <w:p>
      <w:pPr>
        <w:pStyle w:val="ListParagraph"/>
        <w:numPr>
          <w:ilvl w:val="0"/>
          <w:numId w:val="2"/>
        </w:numPr>
        <w:spacing w:after="60" w:before="60" w:line="300"/>
      </w:pPr>
      <w:r>
        <w:rPr>
          <w:rFonts w:ascii="Times New Roman" w:cs="Times New Roman" w:eastAsia="Times New Roman" w:hAnsi="Times New Roman"/>
          <w:sz w:val="22"/>
          <w:szCs w:val="22"/>
        </w:rPr>
        <w:t xml:space="preserve">Challenger LLM evaluates synthesis: confirms no hallucinated facts, no softening of the NACE hardness requirement, binding clause references present.</w:t>
      </w:r>
    </w:p>
    <w:p>
      <w:pPr>
        <w:pStyle w:val="ListParagraph"/>
        <w:numPr>
          <w:ilvl w:val="0"/>
          <w:numId w:val="2"/>
        </w:numPr>
        <w:spacing w:after="60" w:before="60" w:line="300"/>
      </w:pPr>
      <w:r>
        <w:rPr>
          <w:rFonts w:ascii="Times New Roman" w:cs="Times New Roman" w:eastAsia="Times New Roman" w:hAnsi="Times New Roman"/>
          <w:sz w:val="22"/>
          <w:szCs w:val="22"/>
        </w:rPr>
        <w:t xml:space="preserve">Arbiter outputs final disposition with full audit trail.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An identical input replayed through the System produces identical output — the disposition is reproducible. A reviewing engineer can verify each step against the audit trail. If the inspector subsequently provides the missing hardness measurement, the System re-runs and the provenance label is upgraded; if the measurement exceeds 22 HRC, the hard lock fires and the disposition becomes REJECT, regardless of any other consideration.</w:t>
      </w:r>
    </w:p>
    <w:p>
      <w:pPr>
        <w:pStyle w:val="Heading3"/>
        <w:spacing w:after="120" w:before="180"/>
        <w:jc w:val="left"/>
      </w:pPr>
      <w:r>
        <w:rPr>
          <w:rFonts w:ascii="Times New Roman" w:cs="Times New Roman" w:eastAsia="Times New Roman" w:hAnsi="Times New Roman"/>
          <w:b/>
          <w:bCs/>
          <w:i/>
          <w:iCs/>
          <w:sz w:val="22"/>
          <w:szCs w:val="22"/>
        </w:rPr>
        <w:t xml:space="preserve">Second Scenario (Educational Variant): CWI Candidate Misidentifying a Weld Discontinuity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CWI candidate is presented with a photograph of a fillet weld and asked to evaluate it against AWS D1.1 acceptance criteria. The candidate types the following response: "This weld shows undercut along the toe of about 3/64 inch deep across approximately 4 inches of length. There is also some convexity. I would accept this weld because the undercut is less than 1/16 inch and the convexity does not exceed code limits for visual acceptance under D1.1 statically loaded structures."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Educational Variant of the System processes this scenario as follows:</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Tokenization (Step 1) extracts the candidate's evaluative claims using word-boundary validation: identified discontinuities = {undercut at 3/64 inch, convex profile}; proposed disposition = ACCEPT; cited code basis = D1.1 statically loaded provisions.</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Learner Identity Resolution (Step 2) resolves the candidate to their accumulated training history: completed introductory modules, currently in mid-curriculum on AWS D1.1 Section 8 (Statically Loaded Nontubular) and Section 9 (Cyclically Loaded Nontubular), prior performance shows occasional confusion between statically and cyclically loaded acceptance criteria.</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Curricular Context Resolution (Step 3) resolves the active learning objective as: correct application of AWS D1.1 visual acceptance criteria including identification of the controlling load category. The instructional setting is unsupervised practice.</w:t>
      </w:r>
    </w:p>
    <w:p>
      <w:pPr>
        <w:pStyle w:val="ListParagraph"/>
        <w:numPr>
          <w:ilvl w:val="0"/>
          <w:numId w:val="2"/>
        </w:numPr>
        <w:spacing w:after="60" w:before="60" w:line="300"/>
      </w:pPr>
      <w:r>
        <w:rPr>
          <w:rFonts w:ascii="Times New Roman" w:cs="Times New Roman" w:eastAsia="Times New Roman" w:hAnsi="Times New Roman"/>
          <w:sz w:val="22"/>
          <w:szCs w:val="22"/>
        </w:rPr>
        <w:t xml:space="preserve">Prerequisite Resolution (Step 4) confirms that the candidate has demonstrated mastery of: discontinuity identification (undercut, convexity); measurement units; and the existence of separate static and cyclic acceptance criteria. The candidate has NOT yet demonstrated reliable selection between static and cyclic criteria based on application context.</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Context Resolution (Step 5) confirms unsupervised practice mode; no examination-mode hard locks, but normal pedagogical hard locks active.</w:t>
      </w:r>
    </w:p>
    <w:p>
      <w:pPr>
        <w:pStyle w:val="ListParagraph"/>
        <w:numPr>
          <w:ilvl w:val="0"/>
          <w:numId w:val="2"/>
        </w:numPr>
        <w:spacing w:after="60" w:before="60" w:line="300"/>
      </w:pPr>
      <w:r>
        <w:rPr>
          <w:rFonts w:ascii="Times New Roman" w:cs="Times New Roman" w:eastAsia="Times New Roman" w:hAnsi="Times New Roman"/>
          <w:sz w:val="22"/>
          <w:szCs w:val="22"/>
        </w:rPr>
        <w:t xml:space="preserve">Response Evidence Classification (Step 6): OBSERVED — candidate correctly identifies the undercut and the convexity, correctly recalls the 1/16 inch undercut acceptance threshold for static loading, correctly recalls that convexity has acceptance limits. INFERRED — candidate's reasoning suggests assumption that the photographed weld is in a statically loaded structure. ASSUMED — candidate has not addressed the load category determination at all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Candidate Generation (Step 7) enumerates: (a) failure to determine load category before applying acceptance criteria; (b) belief that static criteria apply by default; (c) confusion between Section 8 and Section 9 thresholds; (d) confusion regarding undercut depth on tension- versus compression-loaded members; (e) failure to consider primary versus secondary member status.</w:t>
      </w:r>
    </w:p>
    <w:p>
      <w:pPr>
        <w:pStyle w:val="ListParagraph"/>
        <w:numPr>
          <w:ilvl w:val="0"/>
          <w:numId w:val="2"/>
        </w:numPr>
        <w:spacing w:after="60" w:before="60" w:line="300"/>
      </w:pPr>
      <w:r>
        <w:rPr>
          <w:rFonts w:ascii="Times New Roman" w:cs="Times New Roman" w:eastAsia="Times New Roman" w:hAnsi="Times New Roman"/>
          <w:sz w:val="22"/>
          <w:szCs w:val="22"/>
        </w:rPr>
        <w:t xml:space="preserve">Misconception Dominance Scoring (Step 8): the dominant misconception is (a) — failure to determine load category. This misconception has the highest instructional efficiency (correcting it eliminates downstream errors (b) through (e) on subsequent attempts), and carries the highest safety implication, because misapplication of static criteria to a cyclically loaded weld can result in fatigue-driven failure of the structure. Margin over rank-2 misconception (b) is computed and exceeds the configured threshold; misconception (a) is declared dominant.</w:t>
      </w:r>
    </w:p>
    <w:p>
      <w:pPr>
        <w:pStyle w:val="ListParagraph"/>
        <w:numPr>
          <w:ilvl w:val="0"/>
          <w:numId w:val="2"/>
        </w:numPr>
        <w:spacing w:after="60" w:before="60" w:line="300"/>
      </w:pPr>
      <w:r>
        <w:rPr>
          <w:rFonts w:ascii="Times New Roman" w:cs="Times New Roman" w:eastAsia="Times New Roman" w:hAnsi="Times New Roman"/>
          <w:sz w:val="22"/>
          <w:szCs w:val="22"/>
        </w:rPr>
        <w:t xml:space="preserve">Learning Trajectory Projection (Step 9) projects: corrective response targeting load-category determination is expected to resolve the dominant misconception within 2-3 subsequent practice attempts, with carryover to cyclic-load-related downstream objectives.</w:t>
      </w:r>
    </w:p>
    <w:p>
      <w:pPr>
        <w:pStyle w:val="ListParagraph"/>
        <w:numPr>
          <w:ilvl w:val="0"/>
          <w:numId w:val="2"/>
        </w:numPr>
        <w:spacing w:after="60" w:before="60" w:line="300"/>
      </w:pPr>
      <w:r>
        <w:rPr>
          <w:rFonts w:ascii="Times New Roman" w:cs="Times New Roman" w:eastAsia="Times New Roman" w:hAnsi="Times New Roman"/>
          <w:sz w:val="22"/>
          <w:szCs w:val="22"/>
        </w:rPr>
        <w:t xml:space="preserve">Curriculum Authority Binding (Step 10) binds the response to AWS D1.1 Clause 8.2 versus 9.2 (load category determination) and to AWS QC1 Body of Knowledge Section addressing load classification. Binding clause text is surfaced in the response.</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Contradiction Check (Step 11): no contradictions detected. The candidate's stated reasoning is internally consistent; the gap is not in the reasoning but in a missing antecedent step (load category determination).</w:t>
      </w:r>
    </w:p>
    <w:p>
      <w:pPr>
        <w:pStyle w:val="ListParagraph"/>
        <w:numPr>
          <w:ilvl w:val="0"/>
          <w:numId w:val="2"/>
        </w:numPr>
        <w:spacing w:after="60" w:before="60" w:line="300"/>
      </w:pPr>
      <w:r>
        <w:rPr>
          <w:rFonts w:ascii="Times New Roman" w:cs="Times New Roman" w:eastAsia="Times New Roman" w:hAnsi="Times New Roman"/>
          <w:sz w:val="22"/>
          <w:szCs w:val="22"/>
        </w:rPr>
        <w:t xml:space="preserve">Pedagogical Hard-Lock Evaluation: the candidate's proposed disposition (ACCEPT) is consistent with static criteria but the System cannot verify that static criteria apply. Pedagogical Hard Lock 5 is evaluated: would the System, by accepting the candidate's reasoning, endorse a potentially unsafe field practice? Yes. Hard Lock 5 fires. The instructional response is forced to a safe state: corrective response identifying the missing load-category determination step, with explicit reference to the safety implication of misclassification, with binding AWS D1.1 clause text, and with a probing follow-up question ("What information would you need to determine whether this weld is statically or cyclically loaded? List two sources where you would find that information in a typical inspection setting.").</w:t>
      </w:r>
    </w:p>
    <w:p>
      <w:pPr>
        <w:pStyle w:val="ListParagraph"/>
        <w:numPr>
          <w:ilvl w:val="0"/>
          <w:numId w:val="2"/>
        </w:numPr>
        <w:spacing w:after="60" w:before="60" w:line="300"/>
      </w:pPr>
      <w:r>
        <w:rPr>
          <w:rFonts w:ascii="Times New Roman" w:cs="Times New Roman" w:eastAsia="Times New Roman" w:hAnsi="Times New Roman"/>
          <w:sz w:val="22"/>
          <w:szCs w:val="22"/>
        </w:rPr>
        <w:t xml:space="preserve">Instructional Response Gate (Step 12) issues the corrective response. The response is bound to the curriculum objective, traceable to the dominant misconception, and the Pedagogical Hard Lock event is logged. Synthesis layer generates the natural-language form of the corrective response under constraint of the deterministic pipeline state. Challenger LLM verifies that the response (a) does not endorse the candidate's incomplete reasoning, (b) does not soften the safety implication, (c) includes the binding clause reference, and (d) does not provide the load-category answer directly (consistent with pedagogical principle of guided discovery for this learning objective). Arbiter confirms compliance and releases the response.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same candidate, retrying the scenario after providing load-category reasoning that addresses the dominant misconception, would produce a different response trace through the System: the dominant misconception (a) is no longer present, the candidate's evidence advances from ASSUMED to OBSERVED for the load-category step, and the System advances toward objective mastery. The audit trail across attempts produces a documented learning trajectory that can be surfaced to instructors and that satisfies certification body documentary standards for evidence of competency development.</w:t>
      </w:r>
    </w:p>
    <w:p>
      <w:r>
        <w:br w:type="page"/>
      </w:r>
    </w:p>
    <w:p>
      <w:pPr>
        <w:pStyle w:val="Heading1"/>
        <w:spacing w:after="200" w:before="360"/>
        <w:jc w:val="left"/>
      </w:pPr>
      <w:r>
        <w:rPr>
          <w:rFonts w:ascii="Times New Roman" w:cs="Times New Roman" w:eastAsia="Times New Roman" w:hAnsi="Times New Roman"/>
          <w:b/>
          <w:bCs/>
          <w:sz w:val="26"/>
          <w:szCs w:val="26"/>
        </w:rPr>
        <w:t xml:space="preserve">SAMPLE CLAIMS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following claims are submitted in non-limiting form to assist the patent attorney in drafting the formal claim set for the non-provisional application that will claim priority to this provisional. The claims below illustrate the categories of protection sought and the technical specificity that distinguishes the invention from prior art.</w:t>
      </w:r>
    </w:p>
    <w:p>
      <w:pPr>
        <w:pStyle w:val="Heading2"/>
        <w:spacing w:after="140" w:before="240"/>
        <w:jc w:val="left"/>
      </w:pPr>
      <w:r>
        <w:rPr>
          <w:rFonts w:ascii="Times New Roman" w:cs="Times New Roman" w:eastAsia="Times New Roman" w:hAnsi="Times New Roman"/>
          <w:b/>
          <w:bCs/>
          <w:sz w:val="24"/>
          <w:szCs w:val="24"/>
        </w:rPr>
        <w:t xml:space="preserve">System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 A computer-implemented system for generating auditable engineering disposition decisions for safety-critical industrial assets, the system comprising: one or more processors; non-transitory computer-readable memory storing instructions that, when executed by the one or more processors, cause the system to: (i) receive a free-form natural-language inspection input describing an asset, an environmental condition, and at least one observed measurement; (ii) execute a deterministic processing pipeline comprising at least twelve sequential pure-function steps, wherein each step receives an immutable input state and emits an immutable output state, such that for any identical input the pipeline produces a bitwise-identical output; (iii) within said pipeline, perform entity extraction using a regex-enforced word-boundary validation function that requires each extracted token to be flanked by word-boundary characters in the source text, thereby preventing substring-collision false positives; (iv) classify each extracted datum and each derived datum with a provenance label drawn from an enumerated set including OBSERVED, INFERRED, and ASSUMED, and propagate the provenance through a directed dependency graph such that any derived datum's provenance is constrained to no higher than the lowest provenance among its inputs; (v) enumerate candidate damage mechanisms compatible with the resolved asset domain, environment, and material, score the candidates by a failure mode dominance function, and declare a single dominant mechanism with quantified margin; (vi) bind the candidate disposition to one or more clauses of an applicable engineering code via an authority lock subsystem, and refuse to issue any disposition that contradicts a binding clause; (vii) detect logical contradictions among observations, classifications, mechanisms, timelines, and code requirements, and block disposition output when an unresolved contradiction is present; (viii) evaluate a finite enumerated set of hard-lock trigger conditions, and where any trigger is matched, force the output to a defined safe state regardless of any other reasoning outcome; (ix) invoke a generative language model in a synthesis role only, with prompt content fully determined by the pipeline state, such that the language model produces only natural-language synthesis of a disposition already determined deterministically; and (x) emit a final disposition together with a machine-readable audit trail traceable from the disposition back to each input datum, classification, mechanism score, code clause, contradiction, and hard lock evaluation.</w:t>
      </w:r>
    </w:p>
    <w:p>
      <w:pPr>
        <w:pStyle w:val="Heading2"/>
        <w:spacing w:after="140" w:before="240"/>
        <w:jc w:val="left"/>
      </w:pPr>
      <w:r>
        <w:rPr>
          <w:rFonts w:ascii="Times New Roman" w:cs="Times New Roman" w:eastAsia="Times New Roman" w:hAnsi="Times New Roman"/>
          <w:b/>
          <w:bCs/>
          <w:sz w:val="24"/>
          <w:szCs w:val="24"/>
        </w:rPr>
        <w:t xml:space="preserve">System Claim Variants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 The system of claim 1, wherein the deterministic processing pipeline is organized as a six-state cyclic processing graph having a topology in which the output of the final state may re-enter the first state with reversed orientation, and wherein the cycle terminates upon convergence to a single dominant disposition or upon detection of an unresolvable contradiction.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3. The system of claim 1, further comprising a second generative language model arranged as an adversarial challenger, and a deterministic arbiter, wherein the challenger evaluates the synthesis output for hallucination, contradiction, and code-clause omission, and the arbiter resolves any disagreement by reference to the pipeline state.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4. The system of claim 1, wherein the failure mode dominance function further evaluates compound-mechanism scenarios and, where the projected time-to-action of any single mechanism is less than a configured fraction of the next-fastest mechanism, declares said mechanism rate-controlling and governs disposition by it alone.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5. The system of claim 1, wherein the authority lock subsystem comprises a code-ingestion module that converts published engineering code text into machine-readable rule structures, such that new or revised codes may be ingested without modification of the deterministic processing pipeline.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6. The system of claim 1, wherein the system further comprises a method-mechanism compatibility matrix, and wherein the system raises a contradiction event when a recommended re-inspection method has a probability of detection below a configured threshold for the dominant damage mechanism.</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7. The system of claim 1, wherein the enumerated set of asset domains comprises at least fourteen domains including, without limitation, process piping, pressure vessels, atmospheric storage tanks, heat exchangers, offshore fixed structural members, offshore floating structural members, subsea pipelines, underwater structural members, onshore buried pipelines, and atmospheric structural steel.</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8. The system of claim 1, wherein the hard-lock trigger set comprises at least one of: hardness exceeding code limit in wet H2S service; operating temperature outside material allowable range; loss of containment observed; section loss exceeding code-allowable; recommended inspection method incompatible with dominant mechanism; provenance below configured minimum; contradiction unresolved after maximum cycles; binding clause violated; reality lock rejection; or catastrophic field condition reported.</w:t>
      </w:r>
    </w:p>
    <w:p>
      <w:pPr>
        <w:pStyle w:val="Heading2"/>
        <w:spacing w:after="140" w:before="240"/>
        <w:jc w:val="left"/>
      </w:pPr>
      <w:r>
        <w:rPr>
          <w:rFonts w:ascii="Times New Roman" w:cs="Times New Roman" w:eastAsia="Times New Roman" w:hAnsi="Times New Roman"/>
          <w:b/>
          <w:bCs/>
          <w:sz w:val="24"/>
          <w:szCs w:val="24"/>
        </w:rPr>
        <w:t xml:space="preserve">Method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9. A computer-implemented method for generating auditable engineering disposition decisions for safety-critical industrial assets, the method comprising the steps of, by one or more processors: receiving a free-form natural-language inspection input; executing a deterministic processing pipeline of at least twelve sequential pure-function steps to produce a structured disposition state; performing entity extraction with enforced regex word-boundaries; classifying each datum with a provenance label and propagating provenance through a directed dependency graph; enumerating and scoring candidate damage mechanisms; binding the disposition to applicable code clauses; detecting and resolving contradictions; evaluating hard-lock triggers; invoking a generative language model in a synthesis-only role with prompt fully determined by the pipeline state; and emitting a final disposition together with a reproducible machine-readable audit trail; wherein the method blocks issuance of the final disposition unless and until each of the validation steps has been satisfied.</w:t>
      </w:r>
    </w:p>
    <w:p>
      <w:pPr>
        <w:pStyle w:val="Heading2"/>
        <w:spacing w:after="140" w:before="240"/>
        <w:jc w:val="left"/>
      </w:pPr>
      <w:r>
        <w:rPr>
          <w:rFonts w:ascii="Times New Roman" w:cs="Times New Roman" w:eastAsia="Times New Roman" w:hAnsi="Times New Roman"/>
          <w:b/>
          <w:bCs/>
          <w:sz w:val="24"/>
          <w:szCs w:val="24"/>
        </w:rPr>
        <w:t xml:space="preserve">Computer-Readable Medium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10. A non-transitory computer-readable storage medium storing instructions that, when executed by one or more processors, cause the one or more processors to perform the method of claim 9.</w:t>
      </w:r>
    </w:p>
    <w:p>
      <w:pPr>
        <w:pStyle w:val="Heading2"/>
        <w:spacing w:after="140" w:before="240"/>
        <w:jc w:val="left"/>
      </w:pPr>
      <w:r>
        <w:rPr>
          <w:rFonts w:ascii="Times New Roman" w:cs="Times New Roman" w:eastAsia="Times New Roman" w:hAnsi="Times New Roman"/>
          <w:b/>
          <w:bCs/>
          <w:sz w:val="24"/>
          <w:szCs w:val="24"/>
        </w:rPr>
        <w:t xml:space="preserve">Subsystem Claims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11. An entity-extraction subsystem for an inspection-intelligence platform, comprising a regex word-boundary validation function that, for each candidate token, requires the token to be flanked in the source text by word-boundary characters before the token is admitted to downstream classification, thereby preventing substring-collision misclassification of asset class, environmental class, or material class.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12. An evidence provenance engine for an inspection-intelligence platform, comprising means for assigning each input datum a provenance label drawn from an enumerated set, means for maintaining a directed dependency graph among input and derived data, and means for constraining each derived datum's provenance to no higher than the lowest provenance of its inputs, such that the system surfaces in its output the assumed and inferred values upon which the final disposition depends.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13. A failure mode dominance engine for an inspection-intelligence platform, comprising means for scoring candidate damage mechanisms against environmental, material, and observed-signature compatibility, means for computing margin between rank-1 and rank-2 mechanisms, means for declaring a tie when the margin falls below a threshold, and means for resolving ties by selecting the mechanism with the more conservative remaining-life implication.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14. An authority lock subsystem for an inspection-intelligence platform, comprising a structured representation of engineering code clauses, means for binding each candidate disposition to one or more controlling clauses, means for refusing to issue any disposition that contradicts a binding clause, and means for surfacing the binding clause text in the system output.</w:t>
      </w:r>
    </w:p>
    <w:p>
      <w:pPr>
        <w:pStyle w:val="Heading2"/>
        <w:spacing w:after="140" w:before="240"/>
        <w:jc w:val="left"/>
      </w:pPr>
      <w:r>
        <w:rPr>
          <w:rFonts w:ascii="Times New Roman" w:cs="Times New Roman" w:eastAsia="Times New Roman" w:hAnsi="Times New Roman"/>
          <w:b/>
          <w:bCs/>
          <w:sz w:val="24"/>
          <w:szCs w:val="24"/>
        </w:rPr>
        <w:t xml:space="preserve">Educational Variant Claims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15. A computer-implemented system for generating auditable instructional and diagnostic outputs in expert-domain training and certification preparation, the system comprising: one or more processors; non-transitory computer-readable memory storing instructions that, when executed by the one or more processors, cause the system to: (i) receive a free-form natural-language learner response to an evaluation prompt; (ii) execute a deterministic processing pipeline comprising at least twelve sequential pure-function steps, wherein each step receives an immutable input state and emits an immutable output state, such that for any identical input the pipeline produces a bitwise-identical output; (iii) within said pipeline, perform learner-response tokenization using a regex-enforced word-boundary validation function; (iv) classify each datum derived from the learner response with a provenance label drawn from an enumerated set including OBSERVED, INFERRED, and ASSUMED, propagate the provenance through a directed dependency graph, and constrain any derived datum's provenance to no higher than the lowest provenance among its inputs; (v) enumerate candidate misconceptions consistent with the learner response, the resolved curriculum context, and the learner's resolved prerequisite knowledge state, score the candidates by a misconception dominance function, and declare a single dominant misconception with quantified margin; (vi) bind a candidate instructional response to one or more clauses of an applicable curriculum standard or certification body requirement via a curriculum authority lock subsystem, and refuse to issue any instructional response that contradicts a binding clause or that would endorse, in field practice, an unsafe outcome; (vii) detect logical contradictions among the learner response, the resolved context, the candidate misconceptions, the projected learning trajectory, and the curriculum requirements, and block instructional response output when an unresolved contradiction is present; (viii) evaluate a finite enumerated set of pedagogical hard-lock trigger conditions including at least: (a) the learner response would, if applied in field practice, produce an unsafe outcome; (b) prerequisite mastery for the active learning objective is not demonstrated; and (c) repeated misconception across attempts indicates a structural knowledge gap requiring instructor escalation; and where any trigger is matched, force the output to a defined safe state regardless of any other reasoning outcome; (ix) invoke a generative language model in a synthesis role only, with prompt content fully determined by the pipeline state, such that the language model produces only natural-language synthesis of an instructional response already determined deterministically; and (x) emit a final instructional response together with a machine-readable audit trail traceable from the response back to each element of the learner response, each provenance classification, the misconception scoring, the bound curriculum or certification clause, the contradictions, and the hard-lock evaluations.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16. The system of claim 15, wherein the curriculum authority lock subsystem is bound to one or more of: AWS QC1; AWS QC10; AWS B5.1; AWS D1.1, D1.5, or D1.6; ASME Section IX; ASNT SNT-TC-1A; ASNT CP-189; API Individual Certification Programs; ADCI Consensus Standards; OSHA 29 CFR 1910 Subpart T; NCCER curriculum modules; and SENSE training program standards.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17. The system of claim 15, further comprising a Student Response Classifier configured to map each learner response to a position within a finite enumerated misconception space, wherein the classifier maintains a plurality of instructional templates per controlled curriculum learning objective, each template addressing a distinct combination of (a) the specific misconception detected, (b) the learner's prior demonstrated knowledge, and (c) a recommended corrective approach selected from a finite enumerated set.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18. The system of claim 15, wherein the misconception dominance function weights candidate misconceptions by safety implication, such that misconceptions whose correction would prevent unsafe field outcomes are ranked above misconceptions of equal evidential weight that would not, and wherein the conservative-tie-breaking rule selects the misconception of higher safety implication when scores are otherwise tied.</w:t>
      </w:r>
    </w:p>
    <w:p>
      <w:pPr>
        <w:pStyle w:val="Heading2"/>
        <w:spacing w:after="140" w:before="240"/>
        <w:jc w:val="left"/>
      </w:pPr>
      <w:r>
        <w:rPr>
          <w:rFonts w:ascii="Times New Roman" w:cs="Times New Roman" w:eastAsia="Times New Roman" w:hAnsi="Times New Roman"/>
          <w:b/>
          <w:bCs/>
          <w:sz w:val="24"/>
          <w:szCs w:val="24"/>
        </w:rPr>
        <w:t xml:space="preserve">Generalized Authoritative-Knowledge Framework Claim (Independent)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19. A computer-implemented system for generating auditable outputs in domains governed by authoritative knowledge sources, the system comprising: one or more processors; non-transitory computer-readable memory storing instructions that, when executed by the one or more processors, cause the system to operate over a configurable domain selected from at least: industrial asset integrity inspection, expert-domain training and certification preparation, and analogous safety-critical or qualification-relevant domains; the system comprising in each configuration: a deterministic processing pipeline of at least twelve sequential pure-function steps; an authority lock subsystem bound to a corpus of authoritative knowledge sources for the active domain; an evidence provenance engine constraining derived-data provenance and confidence; a dominance engine ranking candidate hypotheses for the active domain; a contradiction engine; a finite hard-lock trigger set with domain-specific triggers; a constrained generative language model in a synthesis-only role; and a multi-LLM adversarial validation layer with deterministic arbitration; wherein the same architecture, with domain-specific binding of the authority lock, the dominance engine candidate space, and the hard-lock trigger set, supports outputs in each of the configured domains, and wherein the system blocks output unless every applicable validation gate has been satisfied.</w:t>
      </w:r>
    </w:p>
    <w:p>
      <w:r>
        <w:br w:type="page"/>
      </w:r>
    </w:p>
    <w:p>
      <w:pPr>
        <w:pStyle w:val="Heading1"/>
        <w:spacing w:after="200" w:before="360"/>
        <w:jc w:val="left"/>
      </w:pPr>
      <w:r>
        <w:rPr>
          <w:rFonts w:ascii="Times New Roman" w:cs="Times New Roman" w:eastAsia="Times New Roman" w:hAnsi="Times New Roman"/>
          <w:b/>
          <w:bCs/>
          <w:sz w:val="26"/>
          <w:szCs w:val="26"/>
        </w:rPr>
        <w:t xml:space="preserve">ABSTRACT</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A physics-first deterministic decision and diagnostic intelligence system for safety-critical and qualification-relevant decisions in domains governed by authoritative knowledge sources. The architecture processes free-form natural-language input through a twelve-step deterministic pipeline organized within a six-state cyclic decision core. Entity extraction is gated by enforced regex word-boundary validation, eliminating substring-collision misclassification. Each datum is assigned a provenance label (OBSERVED, INFERRED, ASSUMED) propagated through a directed dependency graph that constrains derived-data confidence. Candidate hypotheses — damage mechanisms in inspection embodiments, learner misconceptions in educational embodiments — are ranked by a dominance engine; compound-mechanism scenarios are resolved by a failure timeline engine. Each output is bound to applicable authoritative clauses (engineering codes in inspection embodiments; curriculum standards and certification body requirements in educational embodiments) via an authority lock that refuses to issue outputs contradicting binding clauses or endorsing unsafe field practice. A contradiction engine and finite hard-lock trigger set provide additional safety overrides, including domain-specific triggers for inspection (e.g., NACE hardness limits, code-allowable section loss) and educational variants (e.g., unsafe practice endorsement, prerequisite gating, repeat misconception escalation). A generative language model is invoked only in a synthesis role with prompt content fully determined by the deterministic pipeline state; a second adversarial language model and a deterministic arbiter further constrain output. Every output is accompanied by a complete reproducible machine-readable audit trail. The system is applicable to inspection of pressure vessels, piping, atmospheric storage tanks, offshore structures, underwater infrastructure, and welded fabrications under codes including API 510, API 570, API 579, NACE MR0175, ASME BPVC, and AWS D1.x; and to expert-domain training and qualification preparation in welding inspection (AWS QC1), commercial diving (ADCI Consensus Standards), and NDT technician qualification (ASNT SNT-TC-1A and CP-189). The architecture as a whole is configurable to additional safety-critical or qualification-relevant domains governed by authoritative knowledge sources.</w:t>
      </w:r>
    </w:p>
    <w:p>
      <w:r>
        <w:br w:type="page"/>
      </w:r>
    </w:p>
    <w:p>
      <w:pPr>
        <w:pStyle w:val="Heading1"/>
        <w:spacing w:after="200" w:before="360"/>
        <w:jc w:val="left"/>
      </w:pPr>
      <w:r>
        <w:rPr>
          <w:rFonts w:ascii="Times New Roman" w:cs="Times New Roman" w:eastAsia="Times New Roman" w:hAnsi="Times New Roman"/>
          <w:b/>
          <w:bCs/>
          <w:sz w:val="26"/>
          <w:szCs w:val="26"/>
        </w:rPr>
        <w:t xml:space="preserve">DECLARATIONS AND NOTES TO ATTORNEY</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1. This provisional disclosure is intended to establish the earliest possible priority date under 35 U.S.C. § 119(e) for the invention described herein. The inventor anticipates filing a non-provisional application within twelve (12) months of the filing date of this provisional, claiming priority to this filing.</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2. The inventor anticipates a public disclosure event at the ASNT Annual Conference scheduled for October 2026 in Columbus, Ohio. Filing of this provisional prior to that event is required to preserve U.S. one-year-grace and foreign-jurisdiction novelty rights.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3. The system described herein is implemented and operational as of the filing date in working software platforms deployed at the URL 4dndt.netlify.app (the inspection-intelligence embodiment), with source repository at github.com/rgjohnston911-svg/forged-ndt-intelligence; and at the URL forgedweldscan.com (the welding-education embodiment of the Educational Variant). The inventor will provide the patent attorney with version-controlled snapshots of the source code from both platforms as evidence of conception and reduction to practice for both the inspection and educational embodiments.</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4. The inventor requests that the attorney consider, in the non-provisional drafting, claim categories beyond those illustrated in the Sample Claims section, including without limitation: (a) standalone subsystem claims for each of the principal subsystems, both inspection-variant and educational-variant; (b) computer-readable medium claims paralleling each system and method claim; (c) data-structure claims directed to the audit trail format; (d) claims directed to the welding-inspection embodiment as a separate independent claim chain; (e) claims directed to the commercial-diving training embodiment as a separate independent claim chain; (f) claims directed to the NDT technician training embodiment as a separate independent claim chain; and (g) claims directed to the generalized authoritative-knowledge framework that read on any domain configuration.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5. The inventor identifies the following as the principal points of novelty over prior art, ranked by perceived defensibility: (i) the constrained-LLM synthesis architecture in which the LLM is restricted to natural-language synthesis of a deterministically-decided output, applied uniformly across both inspection and educational embodiments; (ii) the unification of inspection-domain and training-domain reasoning under a single architectural pattern with domain-specific authority-lock binding; (iii) the evidence provenance engine with enforced provenance non-increase across derivation, applied to both inspection evidence and learner-response evidence; (iv) the word-boundary semantic validation as a safety-critical gate, applied across inspection input, learner input, and any other free-form natural-language input to the System; (v) the Klein bottle six-state cyclic decision topology with re-entry on contradiction; (vi) the authority lock subsystem with code-ingestion and curriculum-ingestion modules; (vii) the hard-lock systems with enumerated triggers and forced safe-state output, including specifically the Pedagogical Hard-Lock Subsystem's prevention of unsafe-practice endorsement; (viii) the dominance engines with conservative tie-breaking, applied to mechanism ranking and misconception ranking; and (ix) the multi-LLM adversarial validation with deterministic arbitration.</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6. The inventor further requests that, to the extent practicable, the non-provisional application include figures generated from the inventor's working systems, including: a system architecture diagram, a Klein bottle state diagram, a twelve-step pipeline flow diagram, a provenance-graph illustration, an authority-lock binding diagram, a word-boundary collision-and-fix illustration, a hard-lock trigger map, an end-to-end sequence diagram of an example inspection scenario, an end-to-end sequence diagram of an example educational scenario, a Student Response Classifier template-selection flow, a Misconception Dominance Engine block diagram, and a generalized-framework domain-selector diagram. Working code excerpts may be incorporated into the detailed description as appropriate to enablement under 35 U.S.C. § 112.</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7. The inventor identifies the following as closest known prior art, to be addressed by the attorney in the non-provisional: for the inspection embodiments — (a) commercial asset-management platforms (PCMS, Meridium APM, Synergi Plant); (b) published research on multi-agent LLM debate (e.g., Du et al., 2023) and Constitutional AI; (c) chain-of-thought prompting research; (d) API 580/581 risk-based inspection methodology and any patents thereon; (e) inline inspection vendor algorithms; and (f) prior patents on rule-based engineering decision support systems. For the educational embodiments — (g) adaptive tutoring platforms (Carnegie Learning, ALEKS, Knewton, Duolingo); (h) intelligent tutoring system research; (i) emerging LLM-based tutoring platforms post-2023; (j) computer-based training products from welding-inspection vendors and certification bodies; (k) NCCER and SENSE digital curriculum delivery platforms; and (l) prior patents on knowledge-tracing and student modeling. The inventor believes the integration architecture as a whole, and specifically the unified inspection-and-training framework with shared deterministic core, authority lock, and constrained-LLM synthesis, is novel even where individual components have prior-art analogues in either domain alone.</w:t>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8. The inventor specifically draws the attorney's attention to the strategic importance of broad claim drafting that captures the architectural pattern across multiple application domains. The inventor's commercial intent is to deploy the architecture in inspection-intelligence (already deployed), welding education (already deployed and to be rebuilt under this filing), commercial diving training (planned), NDT technician training (planned), and other expert-domain qualification settings as opportunities arise. The attorney is requested to draft claims of varying scope, including narrow claims to specific embodiments for fall-back positions, but with at least one independent claim chain that captures the generalized framework so that competitor implementations in any domain governed by authoritative knowledge sources fall within scope.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center"/>
      </w:pPr>
      <w:r>
        <w:rPr>
          <w:rFonts w:ascii="Times New Roman" w:cs="Times New Roman" w:eastAsia="Times New Roman" w:hAnsi="Times New Roman"/>
          <w:b/>
          <w:bCs/>
          <w:i w:val="false"/>
          <w:iCs w:val="false"/>
          <w:sz w:val="24"/>
          <w:szCs w:val="24"/>
        </w:rPr>
        <w:t xml:space="preserve">STATEMENT OF INVENTORSHIP</w:t>
      </w:r>
    </w:p>
    <w:p>
      <w:r>
        <w:rPr>
          <w:rFonts w:ascii="Times New Roman" w:cs="Times New Roman" w:eastAsia="Times New Roman" w:hAnsi="Times New Roman"/>
          <w:sz w:val="22"/>
          <w:szCs w:val="22"/>
        </w:rPr>
        <w:t xml:space="preserve"/>
      </w:r>
    </w:p>
    <w:p>
      <w:pPr>
        <w:spacing w:after="120" w:before="0" w:line="320"/>
        <w:ind w:firstLine="360"/>
        <w:jc w:val="both"/>
      </w:pPr>
      <w:r>
        <w:rPr>
          <w:rFonts w:ascii="Times New Roman" w:cs="Times New Roman" w:eastAsia="Times New Roman" w:hAnsi="Times New Roman"/>
          <w:b w:val="false"/>
          <w:bCs w:val="false"/>
          <w:i w:val="false"/>
          <w:iCs w:val="false"/>
          <w:sz w:val="22"/>
          <w:szCs w:val="22"/>
        </w:rPr>
        <w:t xml:space="preserve">The undersigned hereby declares that the foregoing is a true and accurate description of the invention conceived and reduced to practice by the inventor named on the cover page hereof. The undersigned authorizes the attorney of record to make such formal corrections, additions, and amendments as may be necessary to perfect the application for filing with the United States Patent and Trademark Office.</w:t>
      </w:r>
    </w:p>
    <w:p>
      <w:r>
        <w:rPr>
          <w:rFonts w:ascii="Times New Roman" w:cs="Times New Roman" w:eastAsia="Times New Roman" w:hAnsi="Times New Roman"/>
          <w:sz w:val="22"/>
          <w:szCs w:val="22"/>
        </w:rPr>
        <w:t xml:space="preserve"/>
      </w:r>
    </w:p>
    <w:p>
      <w:r>
        <w:rPr>
          <w:rFonts w:ascii="Times New Roman" w:cs="Times New Roman" w:eastAsia="Times New Roman" w:hAnsi="Times New Roman"/>
          <w:sz w:val="22"/>
          <w:szCs w:val="22"/>
        </w:rPr>
        <w:t xml:space="preserve"/>
      </w:r>
    </w:p>
    <w:p>
      <w:pPr>
        <w:spacing w:after="120" w:before="0" w:line="320"/>
        <w:jc w:val="left"/>
      </w:pPr>
      <w:r>
        <w:rPr>
          <w:rFonts w:ascii="Times New Roman" w:cs="Times New Roman" w:eastAsia="Times New Roman" w:hAnsi="Times New Roman"/>
          <w:b w:val="false"/>
          <w:bCs w:val="false"/>
          <w:i w:val="false"/>
          <w:iCs w:val="false"/>
          <w:sz w:val="22"/>
          <w:szCs w:val="22"/>
        </w:rPr>
        <w:t xml:space="preserve">_______________________________     _______________</w:t>
      </w:r>
    </w:p>
    <w:p>
      <w:pPr>
        <w:spacing w:after="120" w:before="0" w:line="320"/>
        <w:jc w:val="left"/>
      </w:pPr>
      <w:r>
        <w:rPr>
          <w:rFonts w:ascii="Times New Roman" w:cs="Times New Roman" w:eastAsia="Times New Roman" w:hAnsi="Times New Roman"/>
          <w:b w:val="false"/>
          <w:bCs w:val="false"/>
          <w:i w:val="false"/>
          <w:iCs w:val="false"/>
          <w:sz w:val="22"/>
          <w:szCs w:val="22"/>
        </w:rPr>
        <w:t xml:space="preserve">Richard G. Johnston, Inventor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FORGED 4D NDT Platform — 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 - FORGED 4D NDT Platform</dc:title>
  <dc:creator>FORGED Educational Systems</dc:creator>
  <dc:description>Provisional disclosure for physics-first deterministic inspection intelligence system</dc:description>
  <cp:lastModifiedBy>Un-named</cp:lastModifiedBy>
  <cp:revision>1</cp:revision>
  <dcterms:created xsi:type="dcterms:W3CDTF">2026-04-30T00:17:41.041Z</dcterms:created>
  <dcterms:modified xsi:type="dcterms:W3CDTF">2026-04-30T00:17:41.041Z</dcterms:modified>
</cp:coreProperties>
</file>

<file path=docProps/custom.xml><?xml version="1.0" encoding="utf-8"?>
<Properties xmlns="http://schemas.openxmlformats.org/officeDocument/2006/custom-properties" xmlns:vt="http://schemas.openxmlformats.org/officeDocument/2006/docPropsVTypes"/>
</file>