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Times New Roman" w:cs="Times New Roman" w:eastAsia="Times New Roman" w:hAnsi="Times New Roman"/>
          <w:b/>
          <w:bCs/>
          <w:sz w:val="32"/>
          <w:szCs w:val="32"/>
        </w:rPr>
        <w:t xml:space="preserve">PROVISIONAL PATENT APPLICATION</w:t>
      </w:r>
    </w:p>
    <w:p>
      <w:pPr>
        <w:spacing w:after="600"/>
        <w:jc w:val="center"/>
      </w:pPr>
      <w:r>
        <w:rPr>
          <w:rFonts w:ascii="Times New Roman" w:cs="Times New Roman" w:eastAsia="Times New Roman" w:hAnsi="Times New Roman"/>
          <w:b/>
          <w:bCs/>
          <w:sz w:val="24"/>
          <w:szCs w:val="24"/>
        </w:rPr>
        <w:t xml:space="preserve">UNDER 35 U.S.C. § 111(b)</w:t>
      </w:r>
    </w:p>
    <w:p>
      <w:pPr>
        <w:spacing w:after="800"/>
        <w:jc w:val="center"/>
      </w:pPr>
      <w:r>
        <w:rPr>
          <w:rFonts w:ascii="Times New Roman" w:cs="Times New Roman" w:eastAsia="Times New Roman" w:hAnsi="Times New Roman"/>
          <w:b/>
          <w:bCs/>
          <w:sz w:val="28"/>
          <w:szCs w:val="28"/>
        </w:rPr>
        <w:t xml:space="preserve">PHYSICS-FIRST DETERMINISTIC DECISION AND DIAGNOSTIC INTELLIGENCE SYSTEM WITH MULTI-LAYER VALIDATION ARCHITECTURE FOR AUTHORITATIVE-KNOWLEDGE-GOVERNED DOMAINS, INCLUDING ASSET INTEGRITY INSPECTION AND EXPERT-DOMAIN TRAINING</w:t>
      </w:r>
    </w:p>
    <w:p>
      <w:pPr>
        <w:spacing w:after="200"/>
        <w:jc w:val="center"/>
      </w:pPr>
      <w:r>
        <w:rPr>
          <w:rFonts w:ascii="Times New Roman" w:cs="Times New Roman" w:eastAsia="Times New Roman" w:hAnsi="Times New Roman"/>
          <w:b/>
          <w:bCs/>
          <w:sz w:val="24"/>
          <w:szCs w:val="24"/>
        </w:rPr>
        <w:t xml:space="preserve">Inventor:</w:t>
      </w:r>
    </w:p>
    <w:p>
      <w:pPr>
        <w:spacing w:after="400"/>
        <w:jc w:val="center"/>
      </w:pPr>
      <w:r>
        <w:rPr>
          <w:rFonts w:ascii="Times New Roman" w:cs="Times New Roman" w:eastAsia="Times New Roman" w:hAnsi="Times New Roman"/>
          <w:sz w:val="24"/>
          <w:szCs w:val="24"/>
        </w:rPr>
        <w:t xml:space="preserve">Richard G. Johnston</w:t>
      </w:r>
    </w:p>
    <w:p>
      <w:pPr>
        <w:spacing w:after="200"/>
        <w:jc w:val="center"/>
      </w:pPr>
      <w:r>
        <w:rPr>
          <w:rFonts w:ascii="Times New Roman" w:cs="Times New Roman" w:eastAsia="Times New Roman" w:hAnsi="Times New Roman"/>
          <w:b/>
          <w:bCs/>
          <w:sz w:val="24"/>
          <w:szCs w:val="24"/>
        </w:rPr>
        <w:t xml:space="preserve">Applicant / Assignee:</w:t>
      </w:r>
    </w:p>
    <w:p>
      <w:pPr>
        <w:spacing w:after="600"/>
        <w:jc w:val="center"/>
      </w:pPr>
      <w:r>
        <w:rPr>
          <w:rFonts w:ascii="Times New Roman" w:cs="Times New Roman" w:eastAsia="Times New Roman" w:hAnsi="Times New Roman"/>
          <w:sz w:val="24"/>
          <w:szCs w:val="24"/>
        </w:rPr>
        <w:t xml:space="preserve">FORGED Educational Systems</w:t>
      </w:r>
    </w:p>
    <w:p>
      <w:pPr>
        <w:spacing w:after="200"/>
        <w:jc w:val="center"/>
      </w:pPr>
      <w:r>
        <w:rPr>
          <w:rFonts w:ascii="Times New Roman" w:cs="Times New Roman" w:eastAsia="Times New Roman" w:hAnsi="Times New Roman"/>
          <w:b/>
          <w:bCs/>
          <w:sz w:val="24"/>
          <w:szCs w:val="24"/>
        </w:rPr>
        <w:t xml:space="preserve">Filed:</w:t>
      </w:r>
    </w:p>
    <w:p>
      <w:pPr>
        <w:spacing w:after="800"/>
        <w:jc w:val="center"/>
      </w:pPr>
      <w:r>
        <w:rPr>
          <w:rFonts w:ascii="Times New Roman" w:cs="Times New Roman" w:eastAsia="Times New Roman" w:hAnsi="Times New Roman"/>
          <w:sz w:val="24"/>
          <w:szCs w:val="24"/>
        </w:rPr>
        <w:t xml:space="preserve">[FILING DATE]</w:t>
      </w:r>
    </w:p>
    <w:p>
      <w:pPr>
        <w:spacing w:after="200"/>
        <w:jc w:val="center"/>
      </w:pPr>
      <w:r>
        <w:rPr>
          <w:rFonts w:ascii="Times New Roman" w:cs="Times New Roman" w:eastAsia="Times New Roman" w:hAnsi="Times New Roman"/>
          <w:sz w:val="22"/>
          <w:szCs w:val="22"/>
        </w:rPr>
        <w:t xml:space="preserve">ATTORNEY DOCKET NO.: [TO BE ASSIGNED]</w:t>
      </w:r>
    </w:p>
    <w:p>
      <w:r>
        <w:br w:type="page"/>
      </w:r>
    </w:p>
    <w:p>
      <w:pPr>
        <w:pStyle w:val="Heading1"/>
        <w:spacing w:after="200" w:before="360"/>
        <w:jc w:val="left"/>
      </w:pPr>
      <w:r>
        <w:rPr>
          <w:rFonts w:ascii="Times New Roman" w:cs="Times New Roman" w:eastAsia="Times New Roman" w:hAnsi="Times New Roman"/>
          <w:b/>
          <w:bCs/>
          <w:sz w:val="26"/>
          <w:szCs w:val="26"/>
        </w:rPr>
        <w:t xml:space="preserve">FIELD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relates to systems and methods for computer-assisted decision-making and diagnostic reasoning in domains governed by authoritative knowledge sources. The invention applies in two principal domain classes: (i) industrial nondestructive testing (NDT) and asset integrity evaluation, in which engineering codes and recommended practices govern correct outcomes; and (ii) expert-domain training, qualification, and certification preparation, in which curriculum standards and certification body requirements govern correct outcomes. More particularly, the invention relates to a hybrid deterministic-and-generative artificial intelligence architecture that constrains large language model (LLM) outputs through physics-first or domain-first reasoning, evidence provenance classification, multi-layer validation gating, and authority enforcement, to produce reproducible, defensible, and auditable outputs. Such outputs include, without limitation, engineering disposition decisions for safety-critical assets (pressure vessels, process piping, structural members, offshore platforms, atmospheric storage tanks, underwater infrastructure, and welded fabrications), and instructional or diagnostic responses in safety-critical training contexts (welding inspector preparation, commercial diving training, NDT technician qualification, and analogous expert-domain education).</w:t>
      </w:r>
    </w:p>
    <w:p>
      <w:pPr>
        <w:pStyle w:val="Heading1"/>
        <w:spacing w:after="200" w:before="360"/>
        <w:jc w:val="left"/>
      </w:pPr>
      <w:r>
        <w:rPr>
          <w:rFonts w:ascii="Times New Roman" w:cs="Times New Roman" w:eastAsia="Times New Roman" w:hAnsi="Times New Roman"/>
          <w:b/>
          <w:bCs/>
          <w:sz w:val="26"/>
          <w:szCs w:val="26"/>
        </w:rPr>
        <w:t xml:space="preserve">BACKGROUND OF THE INVENTION</w:t>
      </w:r>
    </w:p>
    <w:p>
      <w:pPr>
        <w:pStyle w:val="Heading2"/>
        <w:spacing w:after="140" w:before="240"/>
        <w:jc w:val="left"/>
      </w:pPr>
      <w:r>
        <w:rPr>
          <w:rFonts w:ascii="Times New Roman" w:cs="Times New Roman" w:eastAsia="Times New Roman" w:hAnsi="Times New Roman"/>
          <w:b/>
          <w:bCs/>
          <w:sz w:val="24"/>
          <w:szCs w:val="24"/>
        </w:rPr>
        <w:t xml:space="preserve">A. The Technical Problem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Industrial asset integrity decisions — whether a given piece of equipment is fit for continued service, must be repaired, must be replaced, or requires further inspection — are safety-critical. An incorrect decision can result in loss of containment of hazardous fluids, fire, explosion, environmental release, structural collapse, and loss of human life. These decisions are governed by complex engineering codes including, without limitation, API 510 (Pressure Vessel Inspection Code), API 570 (Piping Inspection Code), API 579-1 / ASME FFS-1 (Fitness-For-Service), ASME Boiler and Pressure Vessel Code Sections V and VIII, NACE MR0175 / ISO 15156 (Materials for Use in H2S-Containing Environments), API 581 (Risk-Based Inspection Methodology), and analogous standards in offshore, structural, marine, and underwater inspection domains.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such code encodes domain expertise that has historically required licensed engineers and qualified inspectors to interpret and apply. The cost of human expertise, combined with the increasing complexity of aging assets, has driven the industry to seek computer-assisted inspection intelligence.</w:t>
      </w:r>
    </w:p>
    <w:p>
      <w:pPr>
        <w:pStyle w:val="Heading2"/>
        <w:spacing w:after="140" w:before="240"/>
        <w:jc w:val="left"/>
      </w:pPr>
      <w:r>
        <w:rPr>
          <w:rFonts w:ascii="Times New Roman" w:cs="Times New Roman" w:eastAsia="Times New Roman" w:hAnsi="Times New Roman"/>
          <w:b/>
          <w:bCs/>
          <w:sz w:val="24"/>
          <w:szCs w:val="24"/>
        </w:rPr>
        <w:t xml:space="preserve">B. Limitations of Existing Asset Management Software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Existing software platforms for asset integrity — including products commercially known as PCMS, Meridium APM, Synergi Plant, Cenosco IMS, and various inline inspection (ILI) vendor platforms — are fundamentally databases of record. They store inspection observations, calculate remaining life from user-supplied corrosion rates, manage work orders, and generate compliance reports. They do not reason about damage mechanisms. They do not validate the adequacy of the inspection method against the suspected mechanism. They do not detect contradictions between observed evidence and physical possibility. They do not enforce code authority over user-entered conclusions. The user must already know the engineering answer to use them effectively. They are bookkeeping systems, not reasoning systems.</w:t>
      </w:r>
    </w:p>
    <w:p>
      <w:pPr>
        <w:pStyle w:val="Heading2"/>
        <w:spacing w:after="140" w:before="240"/>
        <w:jc w:val="left"/>
      </w:pPr>
      <w:r>
        <w:rPr>
          <w:rFonts w:ascii="Times New Roman" w:cs="Times New Roman" w:eastAsia="Times New Roman" w:hAnsi="Times New Roman"/>
          <w:b/>
          <w:bCs/>
          <w:sz w:val="24"/>
          <w:szCs w:val="24"/>
        </w:rPr>
        <w:t xml:space="preserve">C. Limitations of Generative AI Approaches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recent commercial availability of large language models (LLMs) such as GPT-4 and successor models has prompted attempts to apply generative AI to engineering decision support. These approaches, in their unconstrained form, exhibit critical failure modes that render them unsuitable for safety-critical inspection use. The inventor has identified the following failure modes through extensive empirical testing: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Hallucination. LLMs confidently produce plausible but incorrect engineering conclusions, particularly when the input is ambiguous or under-specified. The model exhibits no internal mechanism for distinguishing between knowledge and confabulation.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Prompt drift. Identical inputs produce non-identical outputs across calls, violating the reproducibility required for auditable engineering decisions and regulatory acceptance.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Substring collision in entity extraction. When an LLM or rule engine performs entity extraction on natural-language input, common substrings produce false-positive matches. By way of example, the substring "train" appearing within the word "restraint" can cause an extraction layer to incorrectly identify "train" as a separate token; the substring "car" within "carbon" can cause spurious matches against unrelated transportation vocabulary; the substring "jacket" within "jacketing" (an insulation system) can cause spurious matches against offshore jacket structures. These collisions cascade, producing downstream misclassification of asset type, environmental classification, and ultimately damage mechanism identification.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Lack of physics grounding. LLMs do not natively distinguish between mechanically plausible and mechanically impossible damage scenarios. An unconstrained LLM may simultaneously assert that an asset is failing by hydrogen-induced cracking and brittle fracture under conditions in which one or the other is precluded by material chemistry, temperature, or stress state.</w:t>
      </w:r>
    </w:p>
    <w:p>
      <w:pPr>
        <w:pStyle w:val="ListParagraph"/>
        <w:numPr>
          <w:ilvl w:val="0"/>
          <w:numId w:val="2"/>
        </w:numPr>
        <w:spacing w:after="60" w:before="60" w:line="300"/>
      </w:pPr>
      <w:r>
        <w:rPr>
          <w:rFonts w:ascii="Times New Roman" w:cs="Times New Roman" w:eastAsia="Times New Roman" w:hAnsi="Times New Roman"/>
          <w:sz w:val="22"/>
          <w:szCs w:val="22"/>
        </w:rPr>
        <w:t xml:space="preserve">Inability to enforce code authority. Where an engineering code specifies a mandatory action (e.g., "if the component operates in wet H2S service and the as-measured hardness exceeds 22 HRC, the component shall be rejected"), an unconstrained LLM may rationalize around the code rather than enforce it, producing engineering opinions that contradict binding standards.</w:t>
      </w:r>
    </w:p>
    <w:p>
      <w:pPr>
        <w:pStyle w:val="ListParagraph"/>
        <w:numPr>
          <w:ilvl w:val="0"/>
          <w:numId w:val="2"/>
        </w:numPr>
        <w:spacing w:after="60" w:before="60" w:line="300"/>
      </w:pPr>
      <w:r>
        <w:rPr>
          <w:rFonts w:ascii="Times New Roman" w:cs="Times New Roman" w:eastAsia="Times New Roman" w:hAnsi="Times New Roman"/>
          <w:sz w:val="22"/>
          <w:szCs w:val="22"/>
        </w:rPr>
        <w:t xml:space="preserve">Evidence conflation. LLMs do not natively distinguish between observed evidence (e.g., a measured wall thickness reading taken at a specific date and location), inferred evidence (e.g., a damage mechanism deduced from environmental and process conditions), and assumed evidence (e.g., a default value used in the absence of data). All three are presented in LLM output with equal apparent confidence.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Inspection method-mechanism mismatch. A given inspection technique may be inappropriate for the suspected damage mechanism. By way of example, ultrasonic thickness measurement does not detect environmental cracking; magnetic particle testing does not detect subsurface degradation in austenitic stainless steel. Existing systems do not validate that the chosen inspection method is capable of detecting the suspected damage.</w:t>
      </w:r>
    </w:p>
    <w:p>
      <w:pPr>
        <w:pStyle w:val="ListParagraph"/>
        <w:numPr>
          <w:ilvl w:val="0"/>
          <w:numId w:val="2"/>
        </w:numPr>
        <w:spacing w:after="60" w:before="60" w:line="300"/>
      </w:pPr>
      <w:r>
        <w:rPr>
          <w:rFonts w:ascii="Times New Roman" w:cs="Times New Roman" w:eastAsia="Times New Roman" w:hAnsi="Times New Roman"/>
          <w:sz w:val="22"/>
          <w:szCs w:val="22"/>
        </w:rPr>
        <w:t xml:space="preserve">Compound mechanism mishandling. When two or more damage mechanisms operate concurrently, but one mechanism produces failure on a markedly faster time horizon than the others, existing systems either average the rates (producing nonsense) or report "compound" without identifying the dominant rate-controlling mechanism.</w:t>
      </w:r>
    </w:p>
    <w:p>
      <w:pPr>
        <w:pStyle w:val="Heading2"/>
        <w:spacing w:after="140" w:before="240"/>
        <w:jc w:val="left"/>
      </w:pPr>
      <w:r>
        <w:rPr>
          <w:rFonts w:ascii="Times New Roman" w:cs="Times New Roman" w:eastAsia="Times New Roman" w:hAnsi="Times New Roman"/>
          <w:b/>
          <w:bCs/>
          <w:sz w:val="24"/>
          <w:szCs w:val="24"/>
        </w:rPr>
        <w:t xml:space="preserve">D. The Need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There is a need for a system that can convert natural-language inspection input into auditable engineering disposition decisions while: (i) enforcing physics-based constraints on candidate damage mechanisms; (ii) classifying each evidentiary input by provenance and propagating that provenance through downstream reasoning; (iii) validating that the chosen inspection method is capable of detecting the suspected damage; (iv) enforcing engineering code authority over LLM-derived conclusions; (v) detecting and resolving contradictions between observation, environmental classification, and physics; (vi) producing reproducible, deterministic outputs for identical inputs; (vii) blocking the issuance of a final disposition decision when validation criteria are not satisfied; and (viii) producing a complete audit trail traceable from final disposition back to each input observation, classification, and code reference.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satisfies these needs through a multi-layer architecture in which a deterministic decision core constrains and arbitrates the output of one or more generative AI models, and in which a series of validation gates prevents the system from issuing any disposition until all gates have been satisfied.</w:t>
      </w:r>
    </w:p>
    <w:p>
      <w:pPr>
        <w:pStyle w:val="Heading2"/>
        <w:spacing w:after="140" w:before="240"/>
        <w:jc w:val="left"/>
      </w:pPr>
      <w:r>
        <w:rPr>
          <w:rFonts w:ascii="Times New Roman" w:cs="Times New Roman" w:eastAsia="Times New Roman" w:hAnsi="Times New Roman"/>
          <w:b/>
          <w:bCs/>
          <w:sz w:val="24"/>
          <w:szCs w:val="24"/>
        </w:rPr>
        <w:t xml:space="preserve">E. The Parallel Problem in Expert-Domain Training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analogous problem exists in computer-assisted training and qualification preparation in safety-critical expert domains. Welding inspector preparation (AWS Certified Welding Inspector qualification under AWS QC1), commercial diver training (governed by ADCI Consensus Standards and OSHA 29 CFR 1910 Subpart T), and NDT technician qualification (governed by ASNT SNT-TC-1A or ASNT CP-189) all involve learners who must demonstrate not merely factual recall but the application of authoritative codes and standards to physical scenarios. Errors in field practice carried forward from training have safety consequences indistinguishable from errors made by qualified practitioners.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Existing computer-assisted training platforms in these domains — including conventional learning management systems, adaptive tutoring platforms (e.g., Carnegie Learning, ALEKS, Knewton), and recent LLM-driven tutoring systems — exhibit failure modes that parallel and partially overlap those described above for inspection systems. They include: (i) hallucination of standards content (an LLM tutor confidently reciting an AWS acceptance criterion that does not exist or has been superseded); (ii) confirmation of unsafe practice when a student's plausible-sounding-but-wrong answer is accepted by a permissive grading layer; (iii) failure to distinguish between knowledge the student has demonstrated and knowledge the system has assumed; (iv) failure to enforce certification body prerequisite gating, allowing learners to advance past unmastered foundational topics; and (v) inability to identify the dominant misconception when a student response is consistent with multiple distinct knowledge gaps.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There is therefore a parallel need for a system that can convert natural-language student response input into auditable instructional and diagnostic outputs while: (i) enforcing curriculum and certification body authority over LLM-derived feedback; (ii) classifying student response evidence by provenance; (iii) validating that the proposed instructional response addresses the dominant misconception rather than a peripheral one; (iv) preventing endorsement of unsafe practices regardless of how the student response is framed; (v) producing reproducible, deterministic outputs for identical inputs; (vi) blocking confirmation of mastery or progression when validation criteria are not satisfied; and (vii) producing a complete audit trail traceable from final instructional response back to the specific learner response, the inferred misconception, the bound curriculum objective, and the safety-critical considerations.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architecture disclosed herein addresses both the inspection problem and the training problem through a single unified approach in which the same core subsystems — deterministic decision core, evidence provenance engine, authority lock, contradiction engine, hard-lock system, constrained-LLM synthesis, and multi-LLM adversarial validation — are applied to whichever domain is active. Engineering codes and curriculum standards are alternative classes of authoritative knowledge sources; damage mechanisms and learner misconceptions are alternative classes of dominance-ranked candidates; engineering dispositions and instructional responses are alternative classes of gated outputs.</w:t>
      </w:r>
    </w:p>
    <w:p>
      <w:r>
        <w:br w:type="page"/>
      </w:r>
    </w:p>
    <w:p>
      <w:pPr>
        <w:pStyle w:val="Heading1"/>
        <w:spacing w:after="200" w:before="360"/>
        <w:jc w:val="left"/>
      </w:pPr>
      <w:r>
        <w:rPr>
          <w:rFonts w:ascii="Times New Roman" w:cs="Times New Roman" w:eastAsia="Times New Roman" w:hAnsi="Times New Roman"/>
          <w:b/>
          <w:bCs/>
          <w:sz w:val="26"/>
          <w:szCs w:val="26"/>
        </w:rPr>
        <w:t xml:space="preserve">SUMMARY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provides a physics-first deterministic inspection intelligence system, herein referred to as the "System," that overcomes the limitations described above through the integration of the following novel subsystems and methods, each of which is described in detail below and which may be claimed independently or in combination.</w:t>
      </w:r>
    </w:p>
    <w:p>
      <w:pPr>
        <w:pStyle w:val="Heading2"/>
        <w:spacing w:after="140" w:before="240"/>
        <w:jc w:val="left"/>
      </w:pPr>
      <w:r>
        <w:rPr>
          <w:rFonts w:ascii="Times New Roman" w:cs="Times New Roman" w:eastAsia="Times New Roman" w:hAnsi="Times New Roman"/>
          <w:b/>
          <w:bCs/>
          <w:sz w:val="24"/>
          <w:szCs w:val="24"/>
        </w:rPr>
        <w:t xml:space="preserve">A. Summary of Principal Subsystems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one aspect, the System comprises:</w:t>
      </w:r>
    </w:p>
    <w:p>
      <w:pPr>
        <w:pStyle w:val="ListParagraph"/>
        <w:numPr>
          <w:ilvl w:val="0"/>
          <w:numId w:val="3"/>
        </w:numPr>
        <w:spacing w:after="60" w:before="60" w:line="300"/>
      </w:pPr>
      <w:r>
        <w:rPr>
          <w:rFonts w:ascii="Times New Roman" w:cs="Times New Roman" w:eastAsia="Times New Roman" w:hAnsi="Times New Roman"/>
          <w:sz w:val="22"/>
          <w:szCs w:val="22"/>
        </w:rPr>
        <w:t xml:space="preserve">(a) a physics-first decision core organized as a six-state cyclic processing architecture, herein referred to as the "cyclic deterministic decision core," that performs deterministic damage mechanism reasoning over a finite, enumerated state space;</w:t>
      </w:r>
    </w:p>
    <w:p>
      <w:pPr>
        <w:pStyle w:val="ListParagraph"/>
        <w:numPr>
          <w:ilvl w:val="0"/>
          <w:numId w:val="3"/>
        </w:numPr>
        <w:spacing w:after="60" w:before="60" w:line="300"/>
      </w:pPr>
      <w:r>
        <w:rPr>
          <w:rFonts w:ascii="Times New Roman" w:cs="Times New Roman" w:eastAsia="Times New Roman" w:hAnsi="Times New Roman"/>
          <w:sz w:val="22"/>
          <w:szCs w:val="22"/>
        </w:rPr>
        <w:t xml:space="preserve">(b) a twelve-step deterministic processing pipeline in which each step is implemented as a pure function of its input state, such that identical inputs produce bitwise-identical outputs;</w:t>
      </w:r>
    </w:p>
    <w:p>
      <w:pPr>
        <w:pStyle w:val="ListParagraph"/>
        <w:numPr>
          <w:ilvl w:val="0"/>
          <w:numId w:val="3"/>
        </w:numPr>
        <w:spacing w:after="60" w:before="60" w:line="300"/>
      </w:pPr>
      <w:r>
        <w:rPr>
          <w:rFonts w:ascii="Times New Roman" w:cs="Times New Roman" w:eastAsia="Times New Roman" w:hAnsi="Times New Roman"/>
          <w:sz w:val="22"/>
          <w:szCs w:val="22"/>
        </w:rPr>
        <w:t xml:space="preserve">(c) an evidence provenance engine that classifies each evidentiary input as OBSERVED, INFERRED, or ASSUMED, propagates the classification through downstream reasoning, and constrains the confidence of any output by the lowest-provenance input in its dependency chain;</w:t>
      </w:r>
    </w:p>
    <w:p>
      <w:pPr>
        <w:pStyle w:val="ListParagraph"/>
        <w:numPr>
          <w:ilvl w:val="0"/>
          <w:numId w:val="3"/>
        </w:numPr>
        <w:spacing w:after="60" w:before="60" w:line="300"/>
      </w:pPr>
      <w:r>
        <w:rPr>
          <w:rFonts w:ascii="Times New Roman" w:cs="Times New Roman" w:eastAsia="Times New Roman" w:hAnsi="Times New Roman"/>
          <w:sz w:val="22"/>
          <w:szCs w:val="22"/>
        </w:rPr>
        <w:t xml:space="preserve">(d) a reality lock domain gating subsystem that constrains reasoning to a finite enumerated set of asset domains and rejects inputs that cannot be unambiguously assigned to a domain;</w:t>
      </w:r>
    </w:p>
    <w:p>
      <w:pPr>
        <w:pStyle w:val="ListParagraph"/>
        <w:numPr>
          <w:ilvl w:val="0"/>
          <w:numId w:val="3"/>
        </w:numPr>
        <w:spacing w:after="60" w:before="60" w:line="300"/>
      </w:pPr>
      <w:r>
        <w:rPr>
          <w:rFonts w:ascii="Times New Roman" w:cs="Times New Roman" w:eastAsia="Times New Roman" w:hAnsi="Times New Roman"/>
          <w:sz w:val="22"/>
          <w:szCs w:val="22"/>
        </w:rPr>
        <w:t xml:space="preserve">(e) an authority lock subsystem that binds each engineering disposition to one or more clauses of an applicable engineering code, refuses to issue any disposition that contradicts an applicable clause, and surfaces the binding clause text in the output;</w:t>
      </w:r>
    </w:p>
    <w:p>
      <w:pPr>
        <w:pStyle w:val="ListParagraph"/>
        <w:numPr>
          <w:ilvl w:val="0"/>
          <w:numId w:val="3"/>
        </w:numPr>
        <w:spacing w:after="60" w:before="60" w:line="300"/>
      </w:pPr>
      <w:r>
        <w:rPr>
          <w:rFonts w:ascii="Times New Roman" w:cs="Times New Roman" w:eastAsia="Times New Roman" w:hAnsi="Times New Roman"/>
          <w:sz w:val="22"/>
          <w:szCs w:val="22"/>
        </w:rPr>
        <w:t xml:space="preserve">(f) a word-boundary semantic validation subsystem that prevents substring-based extraction collisions through enforced regex word boundaries during entity extraction;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(g) a failure mode dominance (FMD) engine that ranks candidate damage mechanisms by physical plausibility, environmental compatibility, and observable signature, and outputs a single dominant mechanism with quantified margin over secondary mechanisms;</w:t>
      </w:r>
    </w:p>
    <w:p>
      <w:pPr>
        <w:pStyle w:val="ListParagraph"/>
        <w:numPr>
          <w:ilvl w:val="0"/>
          <w:numId w:val="3"/>
        </w:numPr>
        <w:spacing w:after="60" w:before="60" w:line="300"/>
      </w:pPr>
      <w:r>
        <w:rPr>
          <w:rFonts w:ascii="Times New Roman" w:cs="Times New Roman" w:eastAsia="Times New Roman" w:hAnsi="Times New Roman"/>
          <w:sz w:val="22"/>
          <w:szCs w:val="22"/>
        </w:rPr>
        <w:t xml:space="preserve">(h) a failure timeline engine that projects damage progression along a physics-based time axis and identifies, in the case of compound mechanisms, when a single mechanism governs the time-to-failure;</w:t>
      </w:r>
    </w:p>
    <w:p>
      <w:pPr>
        <w:pStyle w:val="ListParagraph"/>
        <w:numPr>
          <w:ilvl w:val="0"/>
          <w:numId w:val="3"/>
        </w:numPr>
        <w:spacing w:after="60" w:before="60" w:line="300"/>
      </w:pPr>
      <w:r>
        <w:rPr>
          <w:rFonts w:ascii="Times New Roman" w:cs="Times New Roman" w:eastAsia="Times New Roman" w:hAnsi="Times New Roman"/>
          <w:sz w:val="22"/>
          <w:szCs w:val="22"/>
        </w:rPr>
        <w:t xml:space="preserve">(i) a disposition pathway engine that generates a deterministic action plan from the FMD output, code authority, and remaining strength calculation;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(j) a contradiction engine that detects logical contradictions across observations, environmental classification, mechanism hypotheses, and code requirements, and blocks output when an unresolved contradiction exists;</w:t>
      </w:r>
    </w:p>
    <w:p>
      <w:pPr>
        <w:pStyle w:val="ListParagraph"/>
        <w:numPr>
          <w:ilvl w:val="0"/>
          <w:numId w:val="3"/>
        </w:numPr>
        <w:spacing w:after="60" w:before="60" w:line="300"/>
      </w:pPr>
      <w:r>
        <w:rPr>
          <w:rFonts w:ascii="Times New Roman" w:cs="Times New Roman" w:eastAsia="Times New Roman" w:hAnsi="Times New Roman"/>
          <w:sz w:val="22"/>
          <w:szCs w:val="22"/>
        </w:rPr>
        <w:t xml:space="preserve">(k) a hard lock system comprising a finite enumerated set of trigger conditions that, when matched, force the System to a defined safe disposition regardless of LLM output;</w:t>
      </w:r>
    </w:p>
    <w:p>
      <w:pPr>
        <w:pStyle w:val="ListParagraph"/>
        <w:numPr>
          <w:ilvl w:val="0"/>
          <w:numId w:val="3"/>
        </w:numPr>
        <w:spacing w:after="60" w:before="60" w:line="300"/>
      </w:pPr>
      <w:r>
        <w:rPr>
          <w:rFonts w:ascii="Times New Roman" w:cs="Times New Roman" w:eastAsia="Times New Roman" w:hAnsi="Times New Roman"/>
          <w:sz w:val="22"/>
          <w:szCs w:val="22"/>
        </w:rPr>
        <w:t xml:space="preserve">(l) a voice grammar bridge that converts free-form spoken or typed inspector input into a normalized structured representation suitable for deterministic processing;</w:t>
      </w:r>
    </w:p>
    <w:p>
      <w:pPr>
        <w:pStyle w:val="ListParagraph"/>
        <w:numPr>
          <w:ilvl w:val="0"/>
          <w:numId w:val="3"/>
        </w:numPr>
        <w:spacing w:after="60" w:before="60" w:line="300"/>
      </w:pPr>
      <w:r>
        <w:rPr>
          <w:rFonts w:ascii="Times New Roman" w:cs="Times New Roman" w:eastAsia="Times New Roman" w:hAnsi="Times New Roman"/>
          <w:sz w:val="22"/>
          <w:szCs w:val="22"/>
        </w:rPr>
        <w:t xml:space="preserve">(m) a remaining strength engine that performs API 579-style fitness-for-service calculations as deterministic functions of structured input;</w:t>
      </w:r>
    </w:p>
    <w:p>
      <w:pPr>
        <w:pStyle w:val="ListParagraph"/>
        <w:numPr>
          <w:ilvl w:val="0"/>
          <w:numId w:val="3"/>
        </w:numPr>
        <w:spacing w:after="60" w:before="60" w:line="300"/>
      </w:pPr>
      <w:r>
        <w:rPr>
          <w:rFonts w:ascii="Times New Roman" w:cs="Times New Roman" w:eastAsia="Times New Roman" w:hAnsi="Times New Roman"/>
          <w:sz w:val="22"/>
          <w:szCs w:val="22"/>
        </w:rPr>
        <w:t xml:space="preserve">(n) an architectural reality engine that resolves the asset's structural context and constrains downstream reasoning to mechanisms compatible with that context;</w:t>
      </w:r>
    </w:p>
    <w:p>
      <w:pPr>
        <w:pStyle w:val="ListParagraph"/>
        <w:numPr>
          <w:ilvl w:val="0"/>
          <w:numId w:val="3"/>
        </w:numPr>
        <w:spacing w:after="60" w:before="60" w:line="300"/>
      </w:pPr>
      <w:r>
        <w:rPr>
          <w:rFonts w:ascii="Times New Roman" w:cs="Times New Roman" w:eastAsia="Times New Roman" w:hAnsi="Times New Roman"/>
          <w:sz w:val="22"/>
          <w:szCs w:val="22"/>
        </w:rPr>
        <w:t xml:space="preserve">(o) a materials resolution subsystem that resolves the asset's material specification, applicable temperature range, and known degradation modes;</w:t>
      </w:r>
    </w:p>
    <w:p>
      <w:pPr>
        <w:pStyle w:val="ListParagraph"/>
        <w:numPr>
          <w:ilvl w:val="0"/>
          <w:numId w:val="3"/>
        </w:numPr>
        <w:spacing w:after="60" w:before="60" w:line="300"/>
      </w:pPr>
      <w:r>
        <w:rPr>
          <w:rFonts w:ascii="Times New Roman" w:cs="Times New Roman" w:eastAsia="Times New Roman" w:hAnsi="Times New Roman"/>
          <w:sz w:val="22"/>
          <w:szCs w:val="22"/>
        </w:rPr>
        <w:t xml:space="preserve">(p) a constrained generative synthesis layer that performs a single constrained LLM call whose prompt is fully determined by the deterministic pipeline output, eliminating prompt drift by restricting the LLM to natural-language synthesis of decisions already made deterministically; and</w:t>
      </w:r>
    </w:p>
    <w:p>
      <w:pPr>
        <w:pStyle w:val="ListParagraph"/>
        <w:numPr>
          <w:ilvl w:val="0"/>
          <w:numId w:val="3"/>
        </w:numPr>
        <w:spacing w:after="60" w:before="60" w:line="300"/>
      </w:pPr>
      <w:r>
        <w:rPr>
          <w:rFonts w:ascii="Times New Roman" w:cs="Times New Roman" w:eastAsia="Times New Roman" w:hAnsi="Times New Roman"/>
          <w:sz w:val="22"/>
          <w:szCs w:val="22"/>
        </w:rPr>
        <w:t xml:space="preserve">(q) a multi-LLM adversarial validation layer in which a second LLM evaluates the synthesis layer output for contradictions, hallucinations, and code violations, with a deterministic arbiter resolving disputes by reference to the underlying decision core state.</w:t>
      </w:r>
    </w:p>
    <w:p>
      <w:pPr>
        <w:pStyle w:val="ListParagraph"/>
        <w:numPr>
          <w:ilvl w:val="0"/>
          <w:numId w:val="3"/>
        </w:numPr>
        <w:spacing w:after="60" w:before="60" w:line="300"/>
      </w:pPr>
      <w:r>
        <w:rPr>
          <w:rFonts w:ascii="Times New Roman" w:cs="Times New Roman" w:eastAsia="Times New Roman" w:hAnsi="Times New Roman"/>
          <w:sz w:val="22"/>
          <w:szCs w:val="22"/>
        </w:rPr>
        <w:t xml:space="preserve">(r) in an educational and diagnostic embodiment of the System, an analogous architecture in which engineering codes are replaced by curriculum and certification body standards, damage mechanisms are replaced by learner misconceptions, dispositions are replaced by instructional responses, and the same deterministic decision core, evidence provenance engine, authority lock, contradiction engine, hard-lock system, constrained-LLM synthesis layer, and multi-LLM adversarial validation layer are retained, including specifically: a Student Response Classifier; a Misconception Dominance Engine; a Curriculum Authority Lock; and a Pedagogical Hard-Lock Subsystem, each as further described in the detailed description below.</w:t>
      </w:r>
    </w:p>
    <w:p>
      <w:pPr>
        <w:pStyle w:val="Heading2"/>
        <w:spacing w:after="140" w:before="240"/>
        <w:jc w:val="left"/>
      </w:pPr>
      <w:r>
        <w:rPr>
          <w:rFonts w:ascii="Times New Roman" w:cs="Times New Roman" w:eastAsia="Times New Roman" w:hAnsi="Times New Roman"/>
          <w:b/>
          <w:bCs/>
          <w:sz w:val="24"/>
          <w:szCs w:val="24"/>
        </w:rPr>
        <w:t xml:space="preserve">B. Summary of Technical Advantages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produces, for each engineering disposition decision, a complete audit trail in which the disposition is traceable to: (i) each extracted observation; (ii) the provenance classification of each observation; (iii) the resolved environmental and material classification; (iv) the binding code clause; (v) the deterministic pipeline state at each of the twelve steps; (vi) the FMD ranking with margins; (vii) any contradictions detected and how they were resolved; (viii) any hard locks triggered; and (ix) the constrained LLM synthesis. The System refuses to issue a final disposition until every applicable validation gate has been satisfied.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addresses each of the prior-art failure modes identified above. Hallucination is constrained by limiting the LLM to synthesis of pre-decided outputs. Prompt drift is eliminated by deterministic pipeline pre-processing. Substring collisions are eliminated by enforced word-boundary extraction. Physics grounding is enforced by the cyclic deterministic decision core's enumerated state space. Code authority is enforced by the authority lock. Evidence conflation is prevented by provenance classification. Inspection method-mechanism mismatch is detected by the FMD engine. Compound mechanism mishandling is resolved by the failure timeline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same architectural pattern, applied in the educational and diagnostic embodiment, addresses the parallel failure modes in expert-domain training: hallucinated curriculum content is prevented by the Curriculum Authority Lock; confirmation of unsafe practice is prevented by the Pedagogical Hard-Lock Subsystem; conflation of demonstrated and assumed prior knowledge is prevented by provenance-classified response evidence; failure to identify the dominant misconception is prevented by the Misconception Dominance Engine; and unauthorized advancement past unmastered prerequisites is prevented by the Curriculum Authority Lock's gating logic. The unification of inspection-domain and training-domain reasoning under a single architecture is itself a non-obvious technical contribution and permits, in particular embodiments, a single system to operate seamlessly across qualification training, examination preparation, supervised field practice, and unsupervised professional inspection.</w:t>
      </w:r>
    </w:p>
    <w:p>
      <w:r>
        <w:br w:type="page"/>
      </w:r>
    </w:p>
    <w:p>
      <w:pPr>
        <w:pStyle w:val="Heading1"/>
        <w:spacing w:after="200" w:before="360"/>
        <w:jc w:val="left"/>
      </w:pPr>
      <w:r>
        <w:rPr>
          <w:rFonts w:ascii="Times New Roman" w:cs="Times New Roman" w:eastAsia="Times New Roman" w:hAnsi="Times New Roman"/>
          <w:b/>
          <w:bCs/>
          <w:sz w:val="26"/>
          <w:szCs w:val="26"/>
        </w:rPr>
        <w:t xml:space="preserve">BRIEF DESCRIPTION OF THE DRAWINGS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drawings, which may be added in connection with the non-provisional filing claiming priority to this application, illustrate non-limiting embodiments of the invention: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 is a system-level block diagram of the System showing the relationship of the deterministic decision core, evidence provenance engine, validation gates, and constrained LLM synthesis layer.</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2 is a state diagram of the cyclic six-state deterministic decision core showing the cyclic processing architecture and inter-state transitions.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3 is a flow diagram of the twelve-step deterministic processing pipeline.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4 is a data flow diagram of the evidence provenance engine showing classification propagation and confidence cascading.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5 is a block diagram of the reality lock domain gating subsystem with enumerated domain set.</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6 is a block diagram of the authority lock subsystem showing code clause binding.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7 illustrates the substring collision problem and the word-boundary validation solution.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8 is a block diagram of the failure mode dominance (FMD)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9 is a flow diagram of the failure timeline engine showing compound-mechanism handling.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10 is a flow diagram of the disposition pathway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11 is a block diagram of the contradiction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12 is a block diagram of the hard lock system showing trigger conditions and safe-state outputs.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13 is a flow diagram of the voice grammar bridge.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14 is a block diagram of the multi-LLM adversarial validation layer.</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15 is an end-to-end sequence diagram showing processing of an example inspection scenario.</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16 is a block diagram of the educational and diagnostic variant of the System showing the parallel architecture and the substitution of curriculum standards for engineering codes.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17 is a flow diagram of the Student Response Classifier (Student Copy Mapper) showing template selection.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18 is a block diagram of the Misconception Dominance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19 is a block diagram of the Curriculum Authority Lock and the Pedagogical Hard-Lock Subsystem.</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20 is an end-to-end sequence diagram showing processing of an example educational scenario in which a student misidentifies a weld discontinuity.</w:t>
      </w:r>
    </w:p>
    <w:p>
      <w:r>
        <w:br w:type="page"/>
      </w:r>
    </w:p>
    <w:p>
      <w:pPr>
        <w:pStyle w:val="Heading1"/>
        <w:spacing w:after="200" w:before="360"/>
        <w:jc w:val="left"/>
      </w:pPr>
      <w:r>
        <w:rPr>
          <w:rFonts w:ascii="Times New Roman" w:cs="Times New Roman" w:eastAsia="Times New Roman" w:hAnsi="Times New Roman"/>
          <w:b/>
          <w:bCs/>
          <w:sz w:val="26"/>
          <w:szCs w:val="26"/>
        </w:rPr>
        <w:t xml:space="preserve">DETAILED DESCRIPTION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description sets forth specific embodiments of the invention in sufficient detail to enable a person of ordinary skill in the art to practice the invention. The description is illustrative and not limiting; the invention may be practiced with variations of any of the components described.</w:t>
      </w:r>
    </w:p>
    <w:p>
      <w:pPr>
        <w:pStyle w:val="Heading2"/>
        <w:spacing w:after="140" w:before="240"/>
        <w:jc w:val="left"/>
      </w:pPr>
      <w:r>
        <w:rPr>
          <w:rFonts w:ascii="Times New Roman" w:cs="Times New Roman" w:eastAsia="Times New Roman" w:hAnsi="Times New Roman"/>
          <w:b/>
          <w:bCs/>
          <w:sz w:val="24"/>
          <w:szCs w:val="24"/>
        </w:rPr>
        <w:t xml:space="preserve">1. System Architecture Overview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one embodiment, the System is implemented as a web-accessible application comprising a frontend client and a serverless backend. The frontend is implemented using a component-based UI framework. The backend is implemented as a collection of serverless functions hosted on a function-as-a-service platform (e.g., Netlify Functions, AWS Lambda, or equivalent). Persistent storage is provided by a relational database (e.g., PostgreSQL, optionally hosted via Supabase or equivalent). One or more LLM providers (e.g., OpenAI GPT-4o, Anthropic Claude, or equivalent) are accessed via authenticated HTTPS APIs.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Within the backend, two distinct categories of code are maintained: (a) deterministic safety-critical reasoning code, implemented as pure-function modules with no I/O side effects, and (b) integration code that communicates with external services. The deterministic modules are written such that for any input state X, the output state f(X) is determined entirely by X and contains no dependency on time, randomness, or external state. This property is essential to reproducibility and auditability. In a particular embodiment, the deterministic modules are implemented in a language and runtime configuration chosen to minimize dependency on features that could introduce non-determinism.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All inspection input, regardless of source modality (typed text, voice transcription, structured form, photographic upload), is normalized through the voice grammar bridge (Section 13 below) into a canonical structured representation before entering the decision core. All output disposition decisions exit through the disposition pathway engine (Section 10 below) and the multi-LLM adversarial validation layer (Section 18 below).</w:t>
      </w:r>
    </w:p>
    <w:p>
      <w:pPr>
        <w:pStyle w:val="Heading2"/>
        <w:spacing w:after="140" w:before="240"/>
        <w:jc w:val="left"/>
      </w:pPr>
      <w:r>
        <w:rPr>
          <w:rFonts w:ascii="Times New Roman" w:cs="Times New Roman" w:eastAsia="Times New Roman" w:hAnsi="Times New Roman"/>
          <w:b/>
          <w:bCs/>
          <w:sz w:val="24"/>
          <w:szCs w:val="24"/>
        </w:rPr>
        <w:t xml:space="preserve">2. The Physics-First Decision Core (cyclic six-state deterministic Architecture)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decision core is the central reasoning subsystem. It is organized topologically as a cyclic deterministic decision core — a six-state cyclic processing graph in which the six states are visited in sequence and the output of the final state feeds back into a re-entry condition for the first state, with each cycle reducing remaining ambiguity until either (a) a single dominant disposition is converged upon, or (b) a contradiction is detected and the system halts.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six states are:</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1 — Input Normalization. Free-form input is converted to a canonical structured representation comprising asset identifiers, environmental parameters, observed measurements, observed visual features, and process conditions.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2 — Environmental Classification. The normalized input is mapped to a finite enumerated set of service environments (e.g., wet H2S sour service, amine service, hot hydrocarbon service, atmospheric, marine immersion, splash zone, soil-buried, etc.). Each environment carries a known set of compatible and incompatible damage mechanisms.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3 — Damage Mechanism Candidate Generation. From the environmental classification and observed signatures, an enumerated set of candidate damage mechanisms is generated. Mechanisms incompatible with the environment, material, or temperature regime are excluded at this stage.</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4 — Dominance Ranking. Candidate mechanisms are scored against observed evidence and physical plausibility. The output is a ranked list with quantified margins (see FMD engine, Section 8 below).</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5 — Contradiction Resolution. The ranked mechanism list is checked for internal consistency, consistency with environmental classification, and consistency with code requirements. If an unresolved contradiction is detected, the cycle re-enters at State 1 with the contradiction added as an additional input constraint, or halts if the contradiction cannot be resolved within a configured maximum number of cycles.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6 — Disposition Gating. The dominant mechanism, with its margin and provenance chain, is passed to the disposition pathway engine subject to authority lock and hard lock validation. If gating succeeds, the System exits the cyclic deterministic decision core and produces a disposition. If gating fails, the cycle re-enters at State 1.</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cyclic deterministic processing architecture is novel in this application domain. Existing rule-based engineering systems typically use forward-chaining acyclic graphs that produce a single pass and either succeed or fail. The cyclic deterministic processing architecture permits the System to revisit the input in light of intermediate findings, which is essential for resolving compound-mechanism scenarios and contradictions that emerge only after candidate mechanisms have been scored.</w:t>
      </w:r>
    </w:p>
    <w:p>
      <w:pPr>
        <w:pStyle w:val="Heading2"/>
        <w:spacing w:after="140" w:before="240"/>
        <w:jc w:val="left"/>
      </w:pPr>
      <w:r>
        <w:rPr>
          <w:rFonts w:ascii="Times New Roman" w:cs="Times New Roman" w:eastAsia="Times New Roman" w:hAnsi="Times New Roman"/>
          <w:b/>
          <w:bCs/>
          <w:sz w:val="24"/>
          <w:szCs w:val="24"/>
        </w:rPr>
        <w:t xml:space="preserve">3. Twelve-Step Deterministic Processing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Within and across the six cyclic states, processing is decomposed into twelve sequential pure-function steps. Each step is invoked with an immutable input state object and returns an immutable output state object. No step has side effects. The twelve steps are: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 Input Tokenization — free-form text is tokenized using word-boundary-enforced extraction (see Section 7).</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2: Asset Identity Resolution — the asset under inspection is matched against a known asset registry or, where no match exists, classified by structural type.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3: Environmental Resolution — process and ambient conditions are resolved to a canonical environment classification.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4: Material Resolution — the asset material is resolved to a specification class (e.g., carbon steel ASTM A106-B, austenitic stainless 316L, duplex 2205, etc.).</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5: Architectural Context Resolution — the asset's structural context (piping run, vessel shell, jacket leg, etc.) is determined.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6: Evidence Classification — each input datum is tagged OBSERVED, INFERRED, or ASSUMED.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7: Mechanism Candidate Generation — the enumerated set of compatible damage mechanisms is generated.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8: Dominance Scoring — mechanisms are scored by FMD (Section 8).</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9: Timeline Projection — progression rates and time-to-failure are projected (Section 9).</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10: Code Authority Binding — applicable code clauses are bound to the candidate disposition (Section 6).</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11: Contradiction Check — internal logical consistency is validated (Section 11).</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12: Disposition Gate — final disposition is issued or blocked (Section 10, Section 12).</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step is independently testable and its behavior is verified through a regression suite comprising at least 35 canonical scenarios covering the principal damage mechanism categories (general thinning, localized corrosion, environmental cracking, mechanical fatigue, brittle fracture, creep, erosion, and compound mechanisms thereof). In one embodiment, the regression suite includes a 20-scenario "golden suite" that must achieve 100% pass before any release.</w:t>
      </w:r>
    </w:p>
    <w:p>
      <w:pPr>
        <w:pStyle w:val="Heading2"/>
        <w:spacing w:after="140" w:before="240"/>
        <w:jc w:val="left"/>
      </w:pPr>
      <w:r>
        <w:rPr>
          <w:rFonts w:ascii="Times New Roman" w:cs="Times New Roman" w:eastAsia="Times New Roman" w:hAnsi="Times New Roman"/>
          <w:b/>
          <w:bCs/>
          <w:sz w:val="24"/>
          <w:szCs w:val="24"/>
        </w:rPr>
        <w:t xml:space="preserve">4. Evidence Provenance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evidence provenance engine addresses the prior-art failure mode in which generative AI conflates observed and inferred evidence. The engine assigns to each input datum, and to each derived datum, a provenance label drawn from the enumerated set {OBSERVED, INFERRED, ASSUMED, DEFAULT}. OBSERVED denotes a datum directly measured or visually confirmed by an inspector at a specified time and location. INFERRED denotes a datum logically derived from one or more OBSERVED inputs through a deterministic rule. ASSUMED denotes a datum supplied by the user without supporting evidence. DEFAULT denotes a datum supplied by the System in the absence of any input.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maintains a directed dependency graph in which each derived datum is linked to its inputs. The provenance of any derived datum is constrained to be no higher than the lowest provenance of its inputs (i.e., a value derived from an ASSUMED input cannot itself be classified OBSERVED, regardless of the strength of the derivation rule). This constraint propagates through the entire reasoning chain. As a consequence, the final disposition carries a provenance label equal to the lowest provenance of any input on which it depends. Dispositions derived in part from ASSUMED data are surfaced as such in the output, and the user is presented with the specific assumed values that drove the disposition, permitting targeted re-inspection to upgrade the provenance.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additionally maintains a confidence scalar in [0,1] for each datum. The confidence of a derived datum is computed as a function of: (i) the confidences of its inputs, (ii) the strength of the derivation rule, and (iii) any contradicting evidence. Confidence is attenuated, never amplified, by derivation; this prevents the System from manufacturing certainty through chains of weak inferences.</w:t>
      </w:r>
    </w:p>
    <w:p>
      <w:pPr>
        <w:pStyle w:val="Heading2"/>
        <w:spacing w:after="140" w:before="240"/>
        <w:jc w:val="left"/>
      </w:pPr>
      <w:r>
        <w:rPr>
          <w:rFonts w:ascii="Times New Roman" w:cs="Times New Roman" w:eastAsia="Times New Roman" w:hAnsi="Times New Roman"/>
          <w:b/>
          <w:bCs/>
          <w:sz w:val="24"/>
          <w:szCs w:val="24"/>
        </w:rPr>
        <w:t xml:space="preserve">5. Reality Lock Domain Gating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reality lock subsystem constrains the System's reasoning to a finite enumerated set of asset domains. In a particular embodiment, the enumerated set comprises fourteen domains: (1) process piping; (2) pressure vessels; (3) atmospheric storage tanks; (4) low-pressure storage tanks; (5) heat exchangers; (6) offshore fixed platform structural members; (7) offshore floating structural members; (8) subsea pipelines; (9) underwater structural members (jackets, risers, conductors); (10) onshore buried pipelines; (11) above-ground transmission pipelines; (12) boilers and fired equipment; (13) rotating equipment pressure boundaries; and (14) atmospheric structural steel. Each domain carries its own enumerated set of compatible damage mechanisms, applicable codes, valid inspection methods, and characteristic failure modes.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Inputs that cannot be unambiguously assigned to a domain are rejected with a structured error indicating the source of ambiguity. This is in contrast to prior-art systems, which silently default to a generic mode and produce outputs that may not be applicable to the actual asset class. The reality lock prevents, by way of example, the System from applying piping inspection logic (API 570) to a pressure vessel governed by API 510, or from applying atmospheric corrosion logic to a splash-zone offshore member.</w:t>
      </w:r>
    </w:p>
    <w:p>
      <w:pPr>
        <w:pStyle w:val="Heading2"/>
        <w:spacing w:after="140" w:before="240"/>
        <w:jc w:val="left"/>
      </w:pPr>
      <w:r>
        <w:rPr>
          <w:rFonts w:ascii="Times New Roman" w:cs="Times New Roman" w:eastAsia="Times New Roman" w:hAnsi="Times New Roman"/>
          <w:b/>
          <w:bCs/>
          <w:sz w:val="24"/>
          <w:szCs w:val="24"/>
        </w:rPr>
        <w:t xml:space="preserve">6. Authority Lock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authority lock binds each engineering disposition to one or more clauses of an applicable engineering code. The lock maintains a structured representation of code requirements drawn from a corpus of standards including, without limitation, API 510, API 570, API 579-1/ASME FFS-1, API 581, API 653, ASME BPVC Sections V, VIII, and IX, NACE MR0175/ISO 15156, AWS D1.1, AWS D1.5, ADCI Consensus Standards, and analogous standards. For each candidate disposition, the lock identifies the controlling clause(s) and confirms that the proposed disposition is consistent with the clause requirements. A disposition that contradicts a binding clause is refused, regardless of LLM output. The bound clause text and reference are included in the System output, providing the inspector and reviewing engineer with direct citation of the controlling standard.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authority lock includes a code-ingestion subsystem that converts published code text into machine-readable rule structures. New or revised codes can be ingested and bound without modification of the decision core. This permits the System to be updated to reflect code revisions without re-validation of the underlying physics reasoning.</w:t>
      </w:r>
    </w:p>
    <w:p>
      <w:pPr>
        <w:pStyle w:val="Heading2"/>
        <w:spacing w:after="140" w:before="240"/>
        <w:jc w:val="left"/>
      </w:pPr>
      <w:r>
        <w:rPr>
          <w:rFonts w:ascii="Times New Roman" w:cs="Times New Roman" w:eastAsia="Times New Roman" w:hAnsi="Times New Roman"/>
          <w:b/>
          <w:bCs/>
          <w:sz w:val="24"/>
          <w:szCs w:val="24"/>
        </w:rPr>
        <w:t xml:space="preserve">7. Word-Boundary Semantic Validation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word-boundary validation subsystem prevents the substring collision failure mode described in the Background. The subsystem comprises a regex helper, in one embodiment having the function signature hasWordBoundary(haystack, needle), that returns a Boolean indicating whether the needle string appears in the haystack string flanked by word-boundary characters (whitespace, punctuation, or string terminators) on both sides. All entity extraction, environment classification, and material resolution proceed through this helper rather than through naive substring match.</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By way of non-limiting example, in the absence of word-boundary validation, an extraction layer searching for the entity "train" (a piping arrangement) would falsely match "restraint" (a structural feature). The substring "car" would falsely match "carbon" (a material constituent). The substring "jacket" (an offshore platform structure) would falsely match "jacketing" (a thermal insulation system). Each such false match cascades into downstream misclassification of asset domain, environment, or material. Empirical testing has demonstrated that enforcement of word boundaries eliminates all three classes of collision and prevents an entire family of cascade failures.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word-boundary subsystem is novel in its application to the inspection-intelligence domain. While word-boundary regex is a known technique in general text processing, its specific application as a safety-critical validation layer between free-form inspector input and physics-based reasoning has not been previously disclosed.</w:t>
      </w:r>
    </w:p>
    <w:p>
      <w:pPr>
        <w:pStyle w:val="Heading2"/>
        <w:spacing w:after="140" w:before="240"/>
        <w:jc w:val="left"/>
      </w:pPr>
      <w:r>
        <w:rPr>
          <w:rFonts w:ascii="Times New Roman" w:cs="Times New Roman" w:eastAsia="Times New Roman" w:hAnsi="Times New Roman"/>
          <w:b/>
          <w:bCs/>
          <w:sz w:val="24"/>
          <w:szCs w:val="24"/>
        </w:rPr>
        <w:t xml:space="preserve">8. Failure Mode Dominance (FMD)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FMD engine ranks candidate damage mechanisms by a composite score reflecting (i) environmental compatibility, (ii) material compatibility, (iii) observed signature match, (iv) characteristic time scale, and (v) historical base rate within the resolved domain. The output of the FMD is an ordered list of mechanisms with quantified margins between adjacent ranks.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Where the margin between rank 1 and rank 2 exceeds a configured threshold, the rank-1 mechanism is declared dominant and processing continues. Where the margin is below threshold, the engine declares a tie and triggers either: (a) a request for additional inspection data targeted at distinguishing the tied mechanisms; or (b) a contradiction signal to the contradiction engine. This prevents the System from issuing a confident disposition when the underlying mechanism identification is ambiguous.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FMD engine includes deterministic tie-breaking rules. Where two mechanisms have equal composite scores, the engine selects the mechanism with the more conservative remaining-life implication (i.e., the one that produces an earlier disposition action). This bias toward conservatism in tie-break is a deliberate design choice consistent with safety-critical engineering practice.</w:t>
      </w:r>
    </w:p>
    <w:p>
      <w:pPr>
        <w:pStyle w:val="Heading2"/>
        <w:spacing w:after="140" w:before="240"/>
        <w:jc w:val="left"/>
      </w:pPr>
      <w:r>
        <w:rPr>
          <w:rFonts w:ascii="Times New Roman" w:cs="Times New Roman" w:eastAsia="Times New Roman" w:hAnsi="Times New Roman"/>
          <w:b/>
          <w:bCs/>
          <w:sz w:val="24"/>
          <w:szCs w:val="24"/>
        </w:rPr>
        <w:t xml:space="preserve">9. Failure Timeline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failure timeline engine projects damage progression along a physics-based time axis. For each candidate mechanism, the engine computes a projected time-to-action (i.e., the time until repair or replacement becomes necessary under the engineering code). For compound mechanism scenarios in which two or more mechanisms operate concurrently, the engine identifies whether the failure is dominated by a single mechanism or whether multiple mechanisms must be jointly tracked.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implements a COMPOUND handling rule wherein, if the time-to-action of any single mechanism is less than a configured fraction (in one embodiment, 0.6) of the next-fastest mechanism, that mechanism is declared the rate-controlling mechanism and the disposition is governed by it alone. Otherwise, the disposition is governed by the joint envelope. This rule prevents the prior-art failure mode in which compound mechanisms either average their rates (producing nonsense) or report only "compound" without identifying the controlling rate.</w:t>
      </w:r>
    </w:p>
    <w:p>
      <w:pPr>
        <w:pStyle w:val="Heading2"/>
        <w:spacing w:after="140" w:before="240"/>
        <w:jc w:val="left"/>
      </w:pPr>
      <w:r>
        <w:rPr>
          <w:rFonts w:ascii="Times New Roman" w:cs="Times New Roman" w:eastAsia="Times New Roman" w:hAnsi="Times New Roman"/>
          <w:b/>
          <w:bCs/>
          <w:sz w:val="24"/>
          <w:szCs w:val="24"/>
        </w:rPr>
        <w:t xml:space="preserve">10. Disposition Pathway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disposition pathway engine generates a deterministic action plan from the FMD output, code authority binding, remaining-strength calculation, and timeline projection. The action plan is drawn from a finite enumerated set including: ACCEPT FOR CONTINUED SERVICE; ACCEPT WITH MONITORING; REPAIR; REPLACE; RE-INSPECT BY [METHOD]; FITNESS-FOR-SERVICE LEVEL 2 ASSESSMENT; FITNESS-FOR-SERVICE LEVEL 3 ASSESSMENT; REJECT FROM SERVICE; and REPORT TO JURISDICTIONAL AUTHORITY.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disposition is accompanied by: (i) the binding code clause; (ii) the dominant mechanism with margin; (iii) the timeline projection; (iv) the provenance label; (v) any fields requiring additional inspection to upgrade provenance; and (vi) the specific inspection method recommended for re-inspection, validated against the mechanism by Section 13 below to prevent method-mechanism mismatch.</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maintains a Field Action Library that maps each disposition to a structured field-execution checklist comprising required tools, qualification requirements for the executing inspector, and acceptance criteria. This permits the System's output to be acted upon directly in the field rather than requiring office-based interpretation.</w:t>
      </w:r>
    </w:p>
    <w:p>
      <w:pPr>
        <w:pStyle w:val="Heading2"/>
        <w:spacing w:after="140" w:before="240"/>
        <w:jc w:val="left"/>
      </w:pPr>
      <w:r>
        <w:rPr>
          <w:rFonts w:ascii="Times New Roman" w:cs="Times New Roman" w:eastAsia="Times New Roman" w:hAnsi="Times New Roman"/>
          <w:b/>
          <w:bCs/>
          <w:sz w:val="24"/>
          <w:szCs w:val="24"/>
        </w:rPr>
        <w:t xml:space="preserve">11. Contradiction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contradiction engine continuously evaluates the System state for logical contradictions across (i) extracted observations, (ii) environmental classification, (iii) damage mechanism candidates, (iv) timeline projections, (v) code requirements, and (vi) prior inspection records. Where an unresolved contradiction is detected, the engine raises a structured contradiction event that is routed to the cyclic deterministic decision core for re-entry, or, if the contradiction cannot be resolved within a configured cycle limit, the engine triggers a hard halt of the disposition pathway.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By way of non-limiting example, a contradiction is raised if: (a) the dominant mechanism is hydrogen-induced cracking but the resolved environment lacks H2S; (b) the recommended re-inspection method is ultrasonic thickness measurement but the dominant mechanism is environmental cracking; (c) the disposition is ACCEPT FOR CONTINUED SERVICE but a binding code clause requires REJECT; (d) two observed measurements at the same time and location report incompatible values; (e) the resolved material is incompatible with the resolved environment under the operating temperature.</w:t>
      </w:r>
    </w:p>
    <w:p>
      <w:pPr>
        <w:pStyle w:val="Heading2"/>
        <w:spacing w:after="140" w:before="240"/>
        <w:jc w:val="left"/>
      </w:pPr>
      <w:r>
        <w:rPr>
          <w:rFonts w:ascii="Times New Roman" w:cs="Times New Roman" w:eastAsia="Times New Roman" w:hAnsi="Times New Roman"/>
          <w:b/>
          <w:bCs/>
          <w:sz w:val="24"/>
          <w:szCs w:val="24"/>
        </w:rPr>
        <w:t xml:space="preserve">12. Hard Lock 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hard lock system is a final safety override comprising a finite enumerated set of trigger conditions. When a hard lock condition is matched, the System forces output to a defined safe state regardless of any other reasoning outcome. In a particular embodiment, the hard lock system comprises ten triggers including, without limitation: (1) wet H2S service with as-measured hardness exceeding the NACE MR0175 limit; (2) operating temperature above the material's allowable range; (3) loss of containment imminent (any leak observation); (4) structural member with section loss exceeding code-allowable; (5) inspection method incompatible with dominant mechanism; (6) provenance of disposition lower than configured minimum; (7) contradiction unresolved after maximum cycles; (8) authority lock binding clause violated; (9) input rejected by reality lock; (10) catastrophic field condition reported (fire, explosion risk, exposed personnel).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hard lock trigger maps to a defined safe-state output, in most cases an immediate REJECT FROM SERVICE or HALT-AND-ESCALATE disposition. The hard lock outputs are not subject to LLM synthesis; they are surfaced verbatim. This guarantees that the System cannot be talked out of a safety-critical halt by adversarial or malformed input.</w:t>
      </w:r>
    </w:p>
    <w:p>
      <w:pPr>
        <w:pStyle w:val="Heading2"/>
        <w:spacing w:after="140" w:before="240"/>
        <w:jc w:val="left"/>
      </w:pPr>
      <w:r>
        <w:rPr>
          <w:rFonts w:ascii="Times New Roman" w:cs="Times New Roman" w:eastAsia="Times New Roman" w:hAnsi="Times New Roman"/>
          <w:b/>
          <w:bCs/>
          <w:sz w:val="24"/>
          <w:szCs w:val="24"/>
        </w:rPr>
        <w:t xml:space="preserve">13. Voice Grammar Bridge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voice grammar bridge converts free-form inspector input — whether typed, dictated, or transcribed from voice — into a normalized structured representation. The bridge handles abbreviations, units, slang, regional vocabulary, and the characteristic disfluencies of spoken inspection notes. In a particular embodiment, the bridge implements a pre-gate risk check that scans normalized input for keywords associated with elevated hazard categories (fire, explosion, leak, exposure, fall risk) and elevates such inputs to expedited processing.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bridge additionally validates the inspection method recommended in any output against the dominant mechanism. The bridge maintains a method-mechanism compatibility matrix derived from established NDT capability tables (e.g., probability of detection (POD) data published in MIL-HDBK-1823A, ASNT recommended practices, etc.). Where the recommended method has POD below a configured threshold for the dominant mechanism, the bridge raises a method-mechanism mismatch contradiction.</w:t>
      </w:r>
    </w:p>
    <w:p>
      <w:pPr>
        <w:pStyle w:val="Heading2"/>
        <w:spacing w:after="140" w:before="240"/>
        <w:jc w:val="left"/>
      </w:pPr>
      <w:r>
        <w:rPr>
          <w:rFonts w:ascii="Times New Roman" w:cs="Times New Roman" w:eastAsia="Times New Roman" w:hAnsi="Times New Roman"/>
          <w:b/>
          <w:bCs/>
          <w:sz w:val="24"/>
          <w:szCs w:val="24"/>
        </w:rPr>
        <w:t xml:space="preserve">14. Remaining Strength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remaining strength engine implements deterministic fitness-for-service calculations consistent with API 579-1/ASME FFS-1 Level 1 and Level 2 procedures. Inputs include nominal wall thickness, as-measured wall thickness, flaw depth, flaw length, operating pressure, design pressure, design temperature, and material allowable stress. Outputs include remaining strength factor (RSF), maximum allowable working pressure (MAWP) at the as-measured condition, and time-to-action under the projected corrosion rate.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is implemented as a pure deterministic function with no LLM dependency. Its outputs are bound by the authority lock to the controlling code clause. Its outputs feed the disposition pathway engine and may trigger hard locks if calculated MAWP falls below operating pressure.</w:t>
      </w:r>
    </w:p>
    <w:p>
      <w:pPr>
        <w:pStyle w:val="Heading2"/>
        <w:spacing w:after="140" w:before="240"/>
        <w:jc w:val="left"/>
      </w:pPr>
      <w:r>
        <w:rPr>
          <w:rFonts w:ascii="Times New Roman" w:cs="Times New Roman" w:eastAsia="Times New Roman" w:hAnsi="Times New Roman"/>
          <w:b/>
          <w:bCs/>
          <w:sz w:val="24"/>
          <w:szCs w:val="24"/>
        </w:rPr>
        <w:t xml:space="preserve">15. Architectural Reality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architectural reality engine resolves the asset's structural context within its containing system. By way of example, a piping segment may be a cantilever, a simply supported run, a riser, a pipeline tie-in, or a flange-to-flange spool. A vessel component may be a head, a shell course, a nozzle reinforcement, or a saddle support. The structural context constrains the candidate damage mechanisms, the applicable inspection methods, and the controlling code clauses. The engine prevents the System from applying logic appropriate to one structural context to a member in a different context.</w:t>
      </w:r>
    </w:p>
    <w:p>
      <w:pPr>
        <w:pStyle w:val="Heading2"/>
        <w:spacing w:after="140" w:before="240"/>
        <w:jc w:val="left"/>
      </w:pPr>
      <w:r>
        <w:rPr>
          <w:rFonts w:ascii="Times New Roman" w:cs="Times New Roman" w:eastAsia="Times New Roman" w:hAnsi="Times New Roman"/>
          <w:b/>
          <w:bCs/>
          <w:sz w:val="24"/>
          <w:szCs w:val="24"/>
        </w:rPr>
        <w:t xml:space="preserve">16. materials resolution subsystem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materials resolution subsystem resolves the asset material to a specification class with associated property bounds. The layer maintains a structured database of material specifications including chemical composition limits, mechanical property ranges, allowable temperature range, characteristic degradation modes, and code applicability. The layer constrains downstream reasoning to mechanisms compatible with the resolved material at the operating temperature.</w:t>
      </w:r>
    </w:p>
    <w:p>
      <w:pPr>
        <w:pStyle w:val="Heading2"/>
        <w:spacing w:after="140" w:before="240"/>
        <w:jc w:val="left"/>
      </w:pPr>
      <w:r>
        <w:rPr>
          <w:rFonts w:ascii="Times New Roman" w:cs="Times New Roman" w:eastAsia="Times New Roman" w:hAnsi="Times New Roman"/>
          <w:b/>
          <w:bCs/>
          <w:sz w:val="24"/>
          <w:szCs w:val="24"/>
        </w:rPr>
        <w:t xml:space="preserve">17. constrained generative synthesis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constrained generative synthesis layer performs a single constrained call to a generative LLM. Unlike prior-art LLM-driven systems, the constrained generative synthesis layer's prompt is fully determined by the deterministic pipeline output. The LLM is given: (a) the dominant mechanism with margin; (b) the binding code clause text; (c) the disposition decision already made by the deterministic pipeline; (d) the relevant evidence with provenance labels; and (e) a structured instruction to synthesize a natural-language explanation suitable for inspector and engineer review.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Crucially, the LLM is not asked to make the engineering decision. The decision has already been made deterministically. The LLM's role is restricted to natural-language synthesis of a decision that exists independently of its output. This restriction eliminates the principal failure modes of LLM-driven systems while retaining the natural-language fluency that is the legitimate strength of LLMs.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constrained generative synthesis layer's output is constrained by a JSON schema that the LLM is required to emit, with strict validation on receipt. Any output that fails schema validation is rejected and the layer is re-invoked with a corrective prompt; after a configured maximum of corrective re-invocations, the layer falls back to a templated natural-language output generated deterministically from the pipeline state.</w:t>
      </w:r>
    </w:p>
    <w:p>
      <w:pPr>
        <w:pStyle w:val="Heading2"/>
        <w:spacing w:after="140" w:before="240"/>
        <w:jc w:val="left"/>
      </w:pPr>
      <w:r>
        <w:rPr>
          <w:rFonts w:ascii="Times New Roman" w:cs="Times New Roman" w:eastAsia="Times New Roman" w:hAnsi="Times New Roman"/>
          <w:b/>
          <w:bCs/>
          <w:sz w:val="24"/>
          <w:szCs w:val="24"/>
        </w:rPr>
        <w:t xml:space="preserve">18. Multi-LLM Adversarial Validation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multi-LLM adversarial validation layer further constrains LLM output through a second, independent LLM (the "challenger") that evaluates the synthesis-layer output for: (i) hallucinated facts not present in the pipeline state; (ii) logical contradictions with the pipeline state; (iii) softening or rationalization of code-mandated actions; (iv) omission of binding clause references; and (v) any deviation from the deterministically determined disposition.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Where the challenger flags an issue, a deterministic arbiter resolves the dispute by reference to the pipeline state. The arbiter is not an LLM; it is a pure-function module that compares the synthesis output against the pipeline state on a field-by-field basis. The arbiter's output is the System's final output. The two-LLM arrangement, with deterministic arbitration, guarantees that the final output cannot deviate from the pipeline state regardless of LLM behavior.</w:t>
      </w:r>
    </w:p>
    <w:p>
      <w:pPr>
        <w:pStyle w:val="Heading2"/>
        <w:spacing w:after="140" w:before="240"/>
        <w:jc w:val="left"/>
      </w:pPr>
      <w:r>
        <w:rPr>
          <w:rFonts w:ascii="Times New Roman" w:cs="Times New Roman" w:eastAsia="Times New Roman" w:hAnsi="Times New Roman"/>
          <w:b/>
          <w:bCs/>
          <w:sz w:val="24"/>
          <w:szCs w:val="24"/>
        </w:rPr>
        <w:t xml:space="preserve">18A. Bayesian Differential Diagnosis Engine (DDE) — Probabilistic Mechanism Ranking</w:t>
      </w:r>
    </w:p>
    <w:p>
      <w:pPr>
        <w:spacing w:after="120" w:before="0" w:line="320"/>
        <w:ind w:firstLine="360"/>
        <w:jc w:val="both"/>
      </w:pPr>
      <w:r>
        <w:rPr>
          <w:rFonts w:ascii="Times New Roman" w:cs="Times New Roman" w:eastAsia="Times New Roman" w:hAnsi="Times New Roman"/>
          <w:sz w:val="22"/>
          <w:szCs w:val="22"/>
        </w:rPr>
        <w:t xml:space="preserve">In a particular embodiment that has been reduced to practice and validated, the FMD engine described in Section 8 is implemented as a Bayesian Differential Diagnosis Engine (herein “DDE”) that performs probabilistic mechanism ranking using full Bayes’ theorem rather than rule-based composite scoring. The DDE is a specific, non-obvious embodiment of the general FMD architecture that, in one embodiment reduced to practice, achieves superior discrimination accuracy while retaining full determinism. The DDE is distinct from the general FMD concept described in Section 8 in the following respects: it computes log-likelihood scores from structured conditional probability tables rather than ordinal scoring; it applies Bayes’ theorem with domain-specific prior base rates rather than equal-weight ranking; it implements inspector-nominated mechanism guarantees; and it outputs discriminating evidence recommendations computed from information-theoretic spread analysis across candidate hypotheses.</w:t>
      </w:r>
    </w:p>
    <w:p>
      <w:pPr>
        <w:pStyle w:val="Heading3"/>
        <w:spacing w:after="120" w:before="200"/>
        <w:jc w:val="left"/>
      </w:pPr>
      <w:r>
        <w:rPr>
          <w:rFonts w:ascii="Times New Roman" w:cs="Times New Roman" w:eastAsia="Times New Roman" w:hAnsi="Times New Roman"/>
          <w:b/>
          <w:bCs/>
          <w:i/>
          <w:sz w:val="22"/>
          <w:szCs w:val="22"/>
        </w:rPr>
        <w:t xml:space="preserve">18A.1. Domain-Specific Knowledge Bases with Conditional Probability Tables</w:t>
      </w:r>
    </w:p>
    <w:p>
      <w:pPr>
        <w:spacing w:after="120" w:before="0" w:line="320"/>
        <w:ind w:firstLine="360"/>
        <w:jc w:val="both"/>
      </w:pPr>
      <w:r>
        <w:rPr>
          <w:rFonts w:ascii="Times New Roman" w:cs="Times New Roman" w:eastAsia="Times New Roman" w:hAnsi="Times New Roman"/>
          <w:sz w:val="22"/>
          <w:szCs w:val="22"/>
        </w:rPr>
        <w:t xml:space="preserve">The DDE maintains five domain-specific knowledge bases corresponding to the asset domains: fixed equipment (including refinery and petrochemical), subsea infrastructure, marine vessel, floating production, and production equipment. Each knowledge base comprises an enumerated set of damage mechanisms, where each mechanism entry contains: (a) a set of hard prerequisites that must be satisfied for the mechanism to be considered (e.g., for Hydrogen-Induced Cracking: service_contains_h2s must be true, material_family must be carbon_steel or low_alloy_steel, water_phase_present must be true, and pH must fall within range [0, 7]); (b) a set of indicator dimensions, each comprising a conditional probability table P(observation | mechanism) that maps each possible observed categorical value to a calibrated probability; and (c) metadata including code references, severity classification, synergistic and competing mechanism identifiers, and typical consequence. In a particular embodiment, the five knowledge bases collectively comprise approximately 142 distinct damage mechanism entries with associated conditional probability tables across indicator dimensions including crack_orientation, crack_location, morphology, wall_loss_pattern, surface_condition, weld_proximity, operating_temperature_range, pH_range, and coating_condition.</w:t>
      </w:r>
    </w:p>
    <w:p>
      <w:pPr>
        <w:pStyle w:val="Heading3"/>
        <w:spacing w:after="120" w:before="200"/>
        <w:jc w:val="left"/>
      </w:pPr>
      <w:r>
        <w:rPr>
          <w:rFonts w:ascii="Times New Roman" w:cs="Times New Roman" w:eastAsia="Times New Roman" w:hAnsi="Times New Roman"/>
          <w:b/>
          <w:bCs/>
          <w:i/>
          <w:sz w:val="22"/>
          <w:szCs w:val="22"/>
        </w:rPr>
        <w:t xml:space="preserve">18A.2. Five-Phase Bayesian Ranking Pipeline</w:t>
      </w:r>
    </w:p>
    <w:p>
      <w:pPr>
        <w:spacing w:after="120" w:before="0" w:line="320"/>
        <w:ind w:firstLine="360"/>
        <w:jc w:val="both"/>
      </w:pPr>
      <w:r>
        <w:rPr>
          <w:rFonts w:ascii="Times New Roman" w:cs="Times New Roman" w:eastAsia="Times New Roman" w:hAnsi="Times New Roman"/>
          <w:sz w:val="22"/>
          <w:szCs w:val="22"/>
        </w:rPr>
        <w:t xml:space="preserve">The DDE processes each inspection case through a five-phase pipeline, each phase implemented as a deterministic pure function:</w:t>
      </w:r>
    </w:p>
    <w:p>
      <w:pPr>
        <w:spacing w:after="120" w:before="0" w:line="320"/>
        <w:ind w:firstLine="360"/>
        <w:jc w:val="both"/>
      </w:pPr>
      <w:r>
        <w:rPr>
          <w:rFonts w:ascii="Times New Roman" w:cs="Times New Roman" w:eastAsia="Times New Roman" w:hAnsi="Times New Roman"/>
          <w:sz w:val="22"/>
          <w:szCs w:val="22"/>
        </w:rPr>
        <w:t xml:space="preserve">Phase 1 — Prerequisite Pruning. For each mechanism in the active domain knowledge base, the DDE evaluates the mechanism’s hard prerequisites against the resolved asset context. A mechanism whose prerequisites are not satisfied is excluded from further consideration. This phase reduces the candidate set from the full domain mechanism list to a subset compatible with the resolved environment, material, and service conditions. The pruning is conservative: where a prerequisite field is absent from the input, the mechanism is retained (not excluded), consistent with the principle that absence of evidence is not evidence of absence.</w:t>
      </w:r>
    </w:p>
    <w:p>
      <w:pPr>
        <w:spacing w:after="120" w:before="0" w:line="320"/>
        <w:ind w:firstLine="360"/>
        <w:jc w:val="both"/>
      </w:pPr>
      <w:r>
        <w:rPr>
          <w:rFonts w:ascii="Times New Roman" w:cs="Times New Roman" w:eastAsia="Times New Roman" w:hAnsi="Times New Roman"/>
          <w:sz w:val="22"/>
          <w:szCs w:val="22"/>
        </w:rPr>
        <w:t xml:space="preserve">Phase 2 — Prior Selection. For each surviving candidate mechanism, the DDE selects a prior probability P(M) from a domain-specific prior base rate table. The prior reflects the historical prevalence of each mechanism in the asset domain, calibrated from published failure databases and engineering experience. In one embodiment, priors are normalized within each domain such that the sum of all mechanism priors equals 1.0. A configurable prior boost (in one embodiment, 1.5x) is applied to mechanisms identified by the FMD engine as especially consistent with observed failure mode signatures.</w:t>
      </w:r>
    </w:p>
    <w:p>
      <w:pPr>
        <w:spacing w:after="120" w:before="0" w:line="320"/>
        <w:ind w:firstLine="360"/>
        <w:jc w:val="both"/>
      </w:pPr>
      <w:r>
        <w:rPr>
          <w:rFonts w:ascii="Times New Roman" w:cs="Times New Roman" w:eastAsia="Times New Roman" w:hAnsi="Times New Roman"/>
          <w:sz w:val="22"/>
          <w:szCs w:val="22"/>
        </w:rPr>
        <w:t xml:space="preserve">Phase 3 — Log-Likelihood Scoring. For each candidate mechanism, the DDE computes the log-likelihood of the observed evidence given the mechanism: log P(E|M) = Σ log P(eᵢ | M) across all observed evidence dimensions eᵢ. Computation proceeds in log space to prevent floating-point underflow when multiple evidence dimensions are present. For each observed categorical value, the engine looks up the conditional probability P(eᵢ | M) from the mechanism’s indicator table. If the mechanism has an indicator dimension matching the evidence dimension but the observed categorical value is not present in the indicator table, a configurable likelihood floor (in one embodiment, 0.01) is assigned rather than zero. This “never-zero” design ensures that a single unrecognized evidence value attenuates but does not eliminate a hypothesis. If a mechanism has no indicator dimension matching a given evidence dimension, that dimension is silently skipped (contributing neither positive nor negative evidence). The output of this phase is, for each candidate, its log-likelihood, the number of evidence dimensions used, and a detailed contribution list identifying which observed values supported or contradicted the mechanism.</w:t>
      </w:r>
    </w:p>
    <w:p>
      <w:pPr>
        <w:spacing w:after="120" w:before="0" w:line="320"/>
        <w:ind w:firstLine="360"/>
        <w:jc w:val="both"/>
      </w:pPr>
      <w:r>
        <w:rPr>
          <w:rFonts w:ascii="Times New Roman" w:cs="Times New Roman" w:eastAsia="Times New Roman" w:hAnsi="Times New Roman"/>
          <w:sz w:val="22"/>
          <w:szCs w:val="22"/>
        </w:rPr>
        <w:t xml:space="preserve">Phase 4 — Posterior Normalization. The DDE applies Bayes’ theorem to compute the posterior probability P(M|E) for each candidate mechanism. For each candidate, the joint probability is computed as P(E|M) × P(M) (likelihood multiplied by prior). The posterior is obtained by normalizing: P(M|E) = joint / Σ joint across all candidates. The result is a ranked list of mechanisms sorted by posterior probability, where the posteriors sum to 1.0 across all candidates. The DDE additionally applies a configurable confidence ceiling that caps posteriors when critical context is absent — for example, when the service fluid is not specified, posteriors are capped at 0.65 regardless of evidence strength, enforcing epistemic humility.</w:t>
      </w:r>
    </w:p>
    <w:p>
      <w:pPr>
        <w:spacing w:after="120" w:before="0" w:line="320"/>
        <w:ind w:firstLine="360"/>
        <w:jc w:val="both"/>
      </w:pPr>
      <w:r>
        <w:rPr>
          <w:rFonts w:ascii="Times New Roman" w:cs="Times New Roman" w:eastAsia="Times New Roman" w:hAnsi="Times New Roman"/>
          <w:sz w:val="22"/>
          <w:szCs w:val="22"/>
        </w:rPr>
        <w:t xml:space="preserve">Phase 5 — Discriminating Evidence Computation. For the top-ranked hypotheses, the DDE identifies unobserved evidence dimensions that would most cleanly separate the competing hypotheses. For each unobserved dimension, the engine computes the discriminating power as the maximum spread of conditional probabilities across the top hypotheses. The dimension with the highest discriminating power is recommended first. For each recommended dimension, the DDE additionally specifies: the suggested inspection method; the relative cost; and a decision logic map that describes, for each possible observed value, which hypothesis it would favor and by how much. This phase converts the Bayesian ranking into actionable inspection guidance — telling the inspector not merely what mechanisms are suspected, but what specific additional observation would most efficiently resolve the ambiguity.</w:t>
      </w:r>
    </w:p>
    <w:p>
      <w:pPr>
        <w:pStyle w:val="Heading3"/>
        <w:spacing w:after="120" w:before="200"/>
        <w:jc w:val="left"/>
      </w:pPr>
      <w:r>
        <w:rPr>
          <w:rFonts w:ascii="Times New Roman" w:cs="Times New Roman" w:eastAsia="Times New Roman" w:hAnsi="Times New Roman"/>
          <w:b/>
          <w:bCs/>
          <w:i/>
          <w:sz w:val="22"/>
          <w:szCs w:val="22"/>
        </w:rPr>
        <w:t xml:space="preserve">18A.3. Inspector-Nominated Mechanism Guarantee</w:t>
      </w:r>
    </w:p>
    <w:p>
      <w:pPr>
        <w:spacing w:after="120" w:before="0" w:line="320"/>
        <w:ind w:firstLine="360"/>
        <w:jc w:val="both"/>
      </w:pPr>
      <w:r>
        <w:rPr>
          <w:rFonts w:ascii="Times New Roman" w:cs="Times New Roman" w:eastAsia="Times New Roman" w:hAnsi="Times New Roman"/>
          <w:sz w:val="22"/>
          <w:szCs w:val="22"/>
        </w:rPr>
        <w:t xml:space="preserve">The DDE implements a safety-critical property: an inspector-nominated mechanism — a damage mechanism explicitly identified by the field inspector based on on-site observation — is guaranteed to appear in the DDE output, regardless of where it falls in the Bayesian ranking. This guarantee operates through three coordinated mechanisms: First, prerequisite bypass: an inspector-nominated mechanism bypasses the prerequisite pruning phase entirely, ensuring that the inspector’s field identification is never silently eliminated by missing structured context data. Second, prior boosting: the inspector-nominated mechanism receives a configurable multiplicative boost to its prior probability (in one embodiment, 5.0x). This reflects the Bayesian principle that an expert’s on-site identification constitutes strong prior evidence. Third, output guarantee: after the posterior ranking is computed and the top N hypotheses are selected for output (in one embodiment, N = 3), the DDE performs a final check. If the inspector-nominated mechanism is not among the top N, it is appended to the output from its position in the full ranked list. This ensures that the field inspector’s identification is always visible in the output, even if the Bayesian evidence scoring assigns it a low posterior. This is a safety-critical property: a system that silently discards the field inspector’s identification without surfacing it for review is unsuitable for safety-critical inspection.</w:t>
      </w:r>
    </w:p>
    <w:p>
      <w:pPr>
        <w:pStyle w:val="Heading3"/>
        <w:spacing w:after="120" w:before="200"/>
        <w:jc w:val="left"/>
      </w:pPr>
      <w:r>
        <w:rPr>
          <w:rFonts w:ascii="Times New Roman" w:cs="Times New Roman" w:eastAsia="Times New Roman" w:hAnsi="Times New Roman"/>
          <w:b/>
          <w:bCs/>
          <w:i/>
          <w:sz w:val="22"/>
          <w:szCs w:val="22"/>
        </w:rPr>
        <w:t xml:space="preserve">18A.4. Evidence Mapping and Categorical Normalization</w:t>
      </w:r>
    </w:p>
    <w:p>
      <w:pPr>
        <w:spacing w:after="120" w:before="0" w:line="320"/>
        <w:ind w:firstLine="360"/>
        <w:jc w:val="both"/>
      </w:pPr>
      <w:r>
        <w:rPr>
          <w:rFonts w:ascii="Times New Roman" w:cs="Times New Roman" w:eastAsia="Times New Roman" w:hAnsi="Times New Roman"/>
          <w:sz w:val="22"/>
          <w:szCs w:val="22"/>
        </w:rPr>
        <w:t xml:space="preserve">The DDE includes an evidence mapper subsystem that normalizes raw inspection evidence into the categorical values expected by the knowledge base indicator tables. The mapper performs two classes of transformation: (a) direct pass-through of categorical fields (e.g., crack_orientation, morphology, wall_loss_pattern, weld_proximity, surface_condition, cp_status, coating_condition) that arrive as recognized categorical strings; and (b) bucketing of numeric fields into categorical ranges (e.g., a service temperature of 350°F is mapped to the categorical value “300_to_500”; a wall loss percentage of 23% is mapped to “20_to_40”; a water depth of 85 meters is mapped to “shallow”). The mapper additionally performs asset context inference: when prerequisite-relevant fields are not explicitly provided, the mapper infers them from the material specification string and observed evidence. This inference prevents prerequisites from incorrectly eliminating valid mechanisms due to incomplete structured context, while preserving the deterministic property of the pipeline.</w:t>
      </w:r>
    </w:p>
    <w:p>
      <w:pPr>
        <w:pStyle w:val="Heading2"/>
        <w:spacing w:after="140" w:before="240"/>
        <w:jc w:val="left"/>
      </w:pPr>
      <w:r>
        <w:rPr>
          <w:rFonts w:ascii="Times New Roman" w:cs="Times New Roman" w:eastAsia="Times New Roman" w:hAnsi="Times New Roman"/>
          <w:b/>
          <w:bCs/>
          <w:sz w:val="24"/>
          <w:szCs w:val="24"/>
        </w:rPr>
        <w:t xml:space="preserve">18B. Contextual Field Intelligence (CFI) Engine</w:t>
      </w:r>
    </w:p>
    <w:p>
      <w:pPr>
        <w:spacing w:after="120" w:before="0" w:line="320"/>
        <w:ind w:firstLine="360"/>
        <w:jc w:val="both"/>
      </w:pPr>
      <w:r>
        <w:rPr>
          <w:rFonts w:ascii="Times New Roman" w:cs="Times New Roman" w:eastAsia="Times New Roman" w:hAnsi="Times New Roman"/>
          <w:sz w:val="22"/>
          <w:szCs w:val="22"/>
        </w:rPr>
        <w:t xml:space="preserve">The System includes a Contextual Field Intelligence (CFI) engine that operates as Stage 0 of the processing pipeline, executing before the main decision core receives input. The CFI engine performs pattern-matched contextual enrichment: it matches the incoming inspection input against a structured database of contextual patterns drawn from published failure databases, engineering experience, and domain-specific heuristics. Each pattern in the database comprises: (a) a trigger condition expressed as a conjunction of input field matches (e.g., service fluid contains “amine” AND material is carbon steel AND temperature exceeds 200°F); (b) a set of contextual enrichments to inject into the input before downstream processing (e.g., add “alkaline SCC risk” to the concern list, flag HAZ regions for targeted inspection, suggest specific inspection methods); and (c) a confidence classification for each enrichment. In a particular embodiment, the CFI database comprises approximately 100 contextual patterns spanning the six asset domains. The CFI engine is deterministic: for any given input, the same patterns fire and the same enrichments are injected. The enrichments carry provenance labels of INFERRED-BY-PATTERN, which are propagated through the evidence provenance engine, ensuring that downstream reasoning can distinguish between inspector-provided evidence and pattern-injected context. The CFI engine addresses a practical limitation of field inspectors: experienced inspectors carry contextual knowledge (“amine service at temperature means check for alkaline SCC”) that less experienced inspectors may lack. The CFI engine encodes that contextual knowledge as a deterministic pre-processing layer, reducing the experience-dependency of system output.</w:t>
      </w:r>
    </w:p>
    <w:p>
      <w:pPr>
        <w:pStyle w:val="Heading2"/>
        <w:spacing w:after="140" w:before="240"/>
        <w:jc w:val="left"/>
      </w:pPr>
      <w:r>
        <w:rPr>
          <w:rFonts w:ascii="Times New Roman" w:cs="Times New Roman" w:eastAsia="Times New Roman" w:hAnsi="Times New Roman"/>
          <w:b/>
          <w:bCs/>
          <w:sz w:val="24"/>
          <w:szCs w:val="24"/>
        </w:rPr>
        <w:t xml:space="preserve">18C. Inspection Effectiveness Engine</w:t>
      </w:r>
    </w:p>
    <w:p>
      <w:pPr>
        <w:spacing w:after="120" w:before="0" w:line="320"/>
        <w:ind w:firstLine="360"/>
        <w:jc w:val="both"/>
      </w:pPr>
      <w:r>
        <w:rPr>
          <w:rFonts w:ascii="Times New Roman" w:cs="Times New Roman" w:eastAsia="Times New Roman" w:hAnsi="Times New Roman"/>
          <w:sz w:val="22"/>
          <w:szCs w:val="22"/>
        </w:rPr>
        <w:t xml:space="preserve">The System includes an Inspection Effectiveness Engine that quantifies the probability of detection (POD) and false negative risk for each inspection event, and gates the disposition pathway based on inspection adequacy. The engine goes beyond the method-mechanism compatibility matrix described in Section 13 by computing a quantified effectiveness score that accounts for at least ten field quality modifiers including: (1) surface preparation quality; (2) lighting conditions; (3) access constraints; (4) inspector qualification level relative to the inspection method; (5) equipment calibration status; (6) coverage percentage of the inspected area; (7) environmental conditions (temperature, humidity, visibility for underwater inspection); (8) time pressure indicators; (9) component geometry complexity; and (10) coating or insulation removal adequacy. Each modifier attenuates the base POD for the inspection method against the suspected mechanism. The engine outputs: (a) a quantified POD band (e.g., “HIGH: 85-95%,” “MODERATE: 60-80%,” “LOW: 30-55%”); (b) a false negative risk score; (c) a can_support_final_disposition Boolean flag; and (d) recommended supplementary inspection methods to close POD gaps. When can_support_final_disposition is false, the disposition pathway engine is blocked from issuing a final disposition and the System instead outputs a recommendation for additional inspection. This prevents the System from issuing confident dispositions based on inspections of insufficient quality — a failure mode that no prior-art system addresses. The engine also references applicable API standards for inspection effectiveness (API 581 Appendix G) and surfaces the controlling standard in its output.</w:t>
      </w:r>
    </w:p>
    <w:p>
      <w:pPr>
        <w:pStyle w:val="Heading2"/>
        <w:spacing w:after="140" w:before="240"/>
        <w:jc w:val="left"/>
      </w:pPr>
      <w:r>
        <w:rPr>
          <w:rFonts w:ascii="Times New Roman" w:cs="Times New Roman" w:eastAsia="Times New Roman" w:hAnsi="Times New Roman"/>
          <w:b/>
          <w:bCs/>
          <w:sz w:val="24"/>
          <w:szCs w:val="24"/>
        </w:rPr>
        <w:t xml:space="preserve">18D. Comprehensive Assessment Orchestrator</w:t>
      </w:r>
    </w:p>
    <w:p>
      <w:pPr>
        <w:spacing w:after="120" w:before="0" w:line="320"/>
        <w:ind w:firstLine="360"/>
        <w:jc w:val="both"/>
      </w:pPr>
      <w:r>
        <w:rPr>
          <w:rFonts w:ascii="Times New Roman" w:cs="Times New Roman" w:eastAsia="Times New Roman" w:hAnsi="Times New Roman"/>
          <w:sz w:val="22"/>
          <w:szCs w:val="22"/>
        </w:rPr>
        <w:t xml:space="preserve">The System includes a Comprehensive Assessment Orchestrator that sequences and coordinates the execution of all 142+ engines in a defined multi-stage pipeline with inter-stage gating. The Orchestrator is novel in that it is not a simple sequential invoker; it implements a stage-gated architecture in which each stage’s output is validated before the next stage begins, and in which later stages may trigger re-evaluation of earlier stages. In a particular embodiment, the Orchestrator executes eight stages: Stage 0 — Contextual Field Intelligence (Section 18B); Stage 1 — Material and Environmental Resolution; Stage 2 — Bayesian DDE Mechanism Ranking (Section 18A); Stage 3 — Physics-Based Assessment (remaining strength, corrosion rate, remaining life); Stage 4 — Inspection Effectiveness Validation (Section 18C); Stage 5 — Code Authority Binding and Contradiction Resolution; Stage 6 — Disposition Generation with Hard Lock Evaluation; Stage 7 — constrained generative synthesis Synthesis with Adversarial Validation. Each stage receives the accumulated state from all prior stages and emits an enriched state. The Orchestrator implements inter-stage dependency tracking: if Stage 4 (Inspection Effectiveness) determines that the inspection was insufficient to support a disposition, Stages 5-7 are skipped and the output is a recommendation for additional inspection rather than a disposition. The Orchestrator additionally tracks engine health: each engine reports its status (PASS, FAIL, DEGRADED), and the Orchestrator adjusts its behavior based on engine availability. The Orchestrator is itself a pure function of its input state, maintaining the System’s determinism property.</w:t>
      </w:r>
    </w:p>
    <w:p>
      <w:pPr>
        <w:pStyle w:val="Heading2"/>
        <w:spacing w:after="140" w:before="240"/>
        <w:jc w:val="left"/>
      </w:pPr>
      <w:r>
        <w:rPr>
          <w:rFonts w:ascii="Times New Roman" w:cs="Times New Roman" w:eastAsia="Times New Roman" w:hAnsi="Times New Roman"/>
          <w:b/>
          <w:bCs/>
          <w:sz w:val="24"/>
          <w:szCs w:val="24"/>
        </w:rPr>
        <w:t xml:space="preserve">18E. Domain-Specialized Assessment Engines</w:t>
      </w:r>
    </w:p>
    <w:p>
      <w:pPr>
        <w:spacing w:after="120" w:before="0" w:line="320"/>
        <w:ind w:firstLine="360"/>
        <w:jc w:val="both"/>
      </w:pPr>
      <w:r>
        <w:rPr>
          <w:rFonts w:ascii="Times New Roman" w:cs="Times New Roman" w:eastAsia="Times New Roman" w:hAnsi="Times New Roman"/>
          <w:sz w:val="22"/>
          <w:szCs w:val="22"/>
        </w:rPr>
        <w:t xml:space="preserve">Beyond the general-purpose engines described in Sections 1-18, the System includes domain-specialized assessment engines that encode deep domain knowledge for specific asset classes. These engines are invoked by the Comprehensive Assessment Orchestrator when the reality lock assigns the inspection to a matching domain. The domain-specialized engines include, without limitation:</w:t>
      </w:r>
    </w:p>
    <w:p>
      <w:pPr>
        <w:spacing w:after="120" w:before="0" w:line="320"/>
        <w:ind w:firstLine="360"/>
        <w:jc w:val="both"/>
      </w:pPr>
      <w:r>
        <w:rPr>
          <w:rFonts w:ascii="Times New Roman" w:cs="Times New Roman" w:eastAsia="Times New Roman" w:hAnsi="Times New Roman"/>
          <w:sz w:val="22"/>
          <w:szCs w:val="22"/>
        </w:rPr>
        <w:t xml:space="preserve">(a) Subsea Domain Engines: a Zone Severity Engine that classifies subsea structural zones (splash zone, tidal zone, submerged, buried) and adjusts damage mechanism priors and corrosion rates accordingly; a Cathodic Protection (CP) Intelligence Engine that evaluates CP system adequacy from anode potential readings, current density, and coating condition; a Marine Growth and Fouling Engine that assesses the impact of biological growth on structural integrity, inspection access, and corrosion acceleration; an External Interaction and Trauma Engine that evaluates mechanical damage from dropped objects, vessel impacts, and anchor strikes; and a Subsea Structures Orchestrator that coordinates these specialized engines and produces a unified subsea assessment. These engines additionally implement underwater NDT confidence scoring that accounts for visibility, current, diver/ROV capability, and method applicability in the marine environment, with reference to AWS D3.6M for underwater welding acceptance criteria.</w:t>
      </w:r>
    </w:p>
    <w:p>
      <w:pPr>
        <w:spacing w:after="120" w:before="0" w:line="320"/>
        <w:ind w:firstLine="360"/>
        <w:jc w:val="both"/>
      </w:pPr>
      <w:r>
        <w:rPr>
          <w:rFonts w:ascii="Times New Roman" w:cs="Times New Roman" w:eastAsia="Times New Roman" w:hAnsi="Times New Roman"/>
          <w:sz w:val="22"/>
          <w:szCs w:val="22"/>
        </w:rPr>
        <w:t xml:space="preserve">(b) Marine Vessel Engines: a Vessel Class Registry and Structural Systems Engine that resolves the vessel type (tanker, bulk carrier, container vessel, FPSO, semi-submersible) and its structural classification system; a Stability and Ballast Engine that evaluates the impact of structural degradation on vessel stability and ballast system integrity; a Motion and Hydrodynamics Engine that accounts for dynamic loading, wave-induced stress, and fatigue from vessel motion; and a Marine Vessel Orchestrator that coordinates these engines and produces a unified vessel structural assessment.</w:t>
      </w:r>
    </w:p>
    <w:p>
      <w:pPr>
        <w:spacing w:after="120" w:before="0" w:line="320"/>
        <w:ind w:firstLine="360"/>
        <w:jc w:val="both"/>
      </w:pPr>
      <w:r>
        <w:rPr>
          <w:rFonts w:ascii="Times New Roman" w:cs="Times New Roman" w:eastAsia="Times New Roman" w:hAnsi="Times New Roman"/>
          <w:sz w:val="22"/>
          <w:szCs w:val="22"/>
        </w:rPr>
        <w:t xml:space="preserve">(c) Floating Production Engines: a Floating Platform Assessment Engine for FPSO and semi-submersible topside and hull structures; a Mooring System Assessment Engine for chain, wire rope, and synthetic mooring integrity; a Riser Dynamics and Vortex-Induced Vibration (VIV) Engine that evaluates fatigue from riser motion; and a Sour Service and Corrosion Prediction Engine specialized for production environments with H₂S, CO₂, and mixed-phase flow.</w:t>
      </w:r>
    </w:p>
    <w:p>
      <w:pPr>
        <w:spacing w:after="120" w:before="0" w:line="320"/>
        <w:ind w:firstLine="360"/>
        <w:jc w:val="both"/>
      </w:pPr>
      <w:r>
        <w:rPr>
          <w:rFonts w:ascii="Times New Roman" w:cs="Times New Roman" w:eastAsia="Times New Roman" w:hAnsi="Times New Roman"/>
          <w:sz w:val="22"/>
          <w:szCs w:val="22"/>
        </w:rPr>
        <w:t xml:space="preserve">(d) Refinery Process Engines: a Process Condition Authority Engine that evaluates refinery process variables (temperature, pressure, flow rate, fluid composition) against known damage mechanism activation thresholds; a Refinery Mechanism Authority Engine encoding refinery-specific damage mechanisms (sulfidation, naphthenic acid corrosion, polythionic acid SCC, high-temperature hydrogen attack, chloride SCC, amine cracking, and CUI); and a Refinery Code Authority Router that selects the applicable refinery inspection code (API 510, API 570, API 653, API 579) based on asset type and determines whether risk-based inspection intervals per API 580/581 are applicable.</w:t>
      </w:r>
    </w:p>
    <w:p>
      <w:pPr>
        <w:spacing w:after="120" w:before="0" w:line="320"/>
        <w:ind w:firstLine="360"/>
        <w:jc w:val="both"/>
      </w:pPr>
      <w:r>
        <w:rPr>
          <w:rFonts w:ascii="Times New Roman" w:cs="Times New Roman" w:eastAsia="Times New Roman" w:hAnsi="Times New Roman"/>
          <w:sz w:val="22"/>
          <w:szCs w:val="22"/>
        </w:rPr>
        <w:t xml:space="preserve">(e) Power Generation Engines: a Power Generation Authority Engine encoding turbine-specific damage mechanisms (creep, thermal fatigue, solid particle erosion, hot corrosion, oxidation, fretting) and the applicable codes for power generation assets (ASME PCC-3, API 612, NEMA SM 23, IEEE C57 for transformers). These engines include physics sub-engines for creep life assessment, thermal gradient stress analysis, and erosion rate modeling.</w:t>
      </w:r>
    </w:p>
    <w:p>
      <w:pPr>
        <w:pStyle w:val="Heading2"/>
        <w:spacing w:after="140" w:before="240"/>
        <w:jc w:val="left"/>
      </w:pPr>
      <w:r>
        <w:rPr>
          <w:rFonts w:ascii="Times New Roman" w:cs="Times New Roman" w:eastAsia="Times New Roman" w:hAnsi="Times New Roman"/>
          <w:b/>
          <w:bCs/>
          <w:sz w:val="24"/>
          <w:szCs w:val="24"/>
        </w:rPr>
        <w:t xml:space="preserve">18F. Advanced Reasoning and Uncertainty Engines</w:t>
      </w:r>
    </w:p>
    <w:p>
      <w:pPr>
        <w:spacing w:after="120" w:before="0" w:line="320"/>
        <w:ind w:firstLine="360"/>
        <w:jc w:val="both"/>
      </w:pPr>
      <w:r>
        <w:rPr>
          <w:rFonts w:ascii="Times New Roman" w:cs="Times New Roman" w:eastAsia="Times New Roman" w:hAnsi="Times New Roman"/>
          <w:sz w:val="22"/>
          <w:szCs w:val="22"/>
        </w:rPr>
        <w:t xml:space="preserve">The System includes a suite of advanced reasoning and uncertainty quantification engines that extend the base architecture:</w:t>
      </w:r>
    </w:p>
    <w:p>
      <w:pPr>
        <w:spacing w:after="120" w:before="0" w:line="320"/>
        <w:ind w:firstLine="360"/>
        <w:jc w:val="both"/>
      </w:pPr>
      <w:r>
        <w:rPr>
          <w:rFonts w:ascii="Times New Roman" w:cs="Times New Roman" w:eastAsia="Times New Roman" w:hAnsi="Times New Roman"/>
          <w:sz w:val="22"/>
          <w:szCs w:val="22"/>
        </w:rPr>
        <w:t xml:space="preserve">(a) Neurosymbolic Reasoning Engine: a hybrid engine that combines symbolic rule-based reasoning (from the deterministic pipeline) with neural pattern recognition (from the LLM layers). The engine identifies cases where pure symbolic reasoning produces ambiguous results and selectively invokes neural pattern matching on the ambiguous dimensions, while constraining the neural output to remain consistent with the symbolic rules. This hybrid approach captures nuances in inspection evidence that purely symbolic rules cannot express (e.g., corrosion patterns that are “consistent with MIC but with atypical morphology”) while preventing the neural component from overriding safety-critical symbolic constraints.</w:t>
      </w:r>
    </w:p>
    <w:p>
      <w:pPr>
        <w:spacing w:after="120" w:before="0" w:line="320"/>
        <w:ind w:firstLine="360"/>
        <w:jc w:val="both"/>
      </w:pPr>
      <w:r>
        <w:rPr>
          <w:rFonts w:ascii="Times New Roman" w:cs="Times New Roman" w:eastAsia="Times New Roman" w:hAnsi="Times New Roman"/>
          <w:sz w:val="22"/>
          <w:szCs w:val="22"/>
        </w:rPr>
        <w:t xml:space="preserve">(b) Conformal Prediction Engine: an engine that provides statistically valid prediction intervals for remaining life and corrosion rate estimates. Rather than point estimates, the engine produces prediction sets with guaranteed coverage probability (in one embodiment, 90% coverage). The engine calibrates its prediction intervals using historical inspection data and adjusts interval width based on the evidence quality: cases with high-provenance, multi-dimensional evidence produce narrow intervals, while cases with sparse or low-provenance evidence produce appropriately wide intervals. This calibrated uncertainty quantification is novel in the inspection domain and provides engineers with statistically defensible confidence bounds rather than false precision.</w:t>
      </w:r>
    </w:p>
    <w:p>
      <w:pPr>
        <w:spacing w:after="120" w:before="0" w:line="320"/>
        <w:ind w:firstLine="360"/>
        <w:jc w:val="both"/>
      </w:pPr>
      <w:r>
        <w:rPr>
          <w:rFonts w:ascii="Times New Roman" w:cs="Times New Roman" w:eastAsia="Times New Roman" w:hAnsi="Times New Roman"/>
          <w:sz w:val="22"/>
          <w:szCs w:val="22"/>
        </w:rPr>
        <w:t xml:space="preserve">(c) Active Inspection Optimizer: an engine that, given the current state of knowledge about an asset, recommends the next inspection action that would produce the maximum information gain. The engine computes, for each candidate inspection method at each candidate inspection location, the expected reduction in posterior entropy over the damage mechanism hypothesis space. The method-location pair with the highest expected information gain is recommended first. This converts inspection planning from a checklist-driven activity to an information-theoretically optimal process, reducing the number of inspections required to reach a confident disposition.</w:t>
      </w:r>
    </w:p>
    <w:p>
      <w:pPr>
        <w:spacing w:after="120" w:before="0" w:line="320"/>
        <w:ind w:firstLine="360"/>
        <w:jc w:val="both"/>
      </w:pPr>
      <w:r>
        <w:rPr>
          <w:rFonts w:ascii="Times New Roman" w:cs="Times New Roman" w:eastAsia="Times New Roman" w:hAnsi="Times New Roman"/>
          <w:sz w:val="22"/>
          <w:szCs w:val="22"/>
        </w:rPr>
        <w:t xml:space="preserve">(d) Self-Calibrating Digital Twin Engine: an engine that maintains a continuously updated mathematical model of each inspected asset’s condition. Each new inspection datum updates the model via Bayesian inference. Over time, the model converges on asset-specific degradation parameters (corrosion rate, crack growth rate, fatigue cycle count) that are calibrated to the actual asset rather than generic handbook values. The digital twin produces asset-specific remaining life predictions that improve with each inspection cycle. The engine implements anomaly detection: if a new inspection datum is inconsistent with the digital twin’s predicted state by more than a configured threshold, the engine flags the measurement for re-verification and adjusts the model only after verification, preventing a single erroneous reading from corrupting the asset model.</w:t>
      </w:r>
    </w:p>
    <w:p>
      <w:pPr>
        <w:pStyle w:val="Heading2"/>
        <w:spacing w:after="140" w:before="240"/>
        <w:jc w:val="left"/>
      </w:pPr>
      <w:r>
        <w:rPr>
          <w:rFonts w:ascii="Times New Roman" w:cs="Times New Roman" w:eastAsia="Times New Roman" w:hAnsi="Times New Roman"/>
          <w:b/>
          <w:bCs/>
          <w:sz w:val="24"/>
          <w:szCs w:val="24"/>
        </w:rPr>
        <w:t xml:space="preserve">18G. Validation and Regression Architecture</w:t>
      </w:r>
    </w:p>
    <w:p>
      <w:pPr>
        <w:spacing w:after="120" w:before="0" w:line="320"/>
        <w:ind w:firstLine="360"/>
        <w:jc w:val="both"/>
      </w:pPr>
      <w:r>
        <w:rPr>
          <w:rFonts w:ascii="Times New Roman" w:cs="Times New Roman" w:eastAsia="Times New Roman" w:hAnsi="Times New Roman"/>
          <w:sz w:val="22"/>
          <w:szCs w:val="22"/>
        </w:rPr>
        <w:t xml:space="preserve">The System includes a built-in validation architecture comprising two engines: a Regression Test Authority Engine and a Decision Proof Recorder Engine. The Regression Test Authority Engine maintains a versioned suite of canonical test scenarios (in a particular embodiment, a 100-case “golden suite” and a 50-case “blind suite”) against which the System is validated before each release. Each test scenario comprises a structured input, an expected mechanism ranking, an expected disposition, and expected code citations. The engine scores each scenario on an eight-criteria rubric (mechanism identification, multi-mechanism retention, timeline reasoning, evidence weighting, uncertainty handling, decision quality, authority lock correctness, and action recommendations) for a maximum of 100 points per case. A release is blocked if the aggregate score falls below a configured threshold (in one embodiment, 95%). The Decision Proof Recorder Engine captures the full audit trail of every production disposition and stores it in a tamper-evident format, creating a permanent record of every decision the System has made, the evidence it was based on, and the reasoning path it followed. This validation architecture is evidence of the System’s reliability and supports regulatory acceptance. In one embodiment, the DDE has been validated at 97.1% on a 100-case golden suite and 97.4% on a 50-case blind suite across six asset domains. These figures are representative of a particular implementation and are not intended to limit the scope of the claimed architecture.</w:t>
      </w:r>
    </w:p>
    <w:p>
      <w:pPr>
        <w:pStyle w:val="Heading2"/>
        <w:spacing w:after="140" w:before="240"/>
        <w:jc w:val="left"/>
      </w:pPr>
      <w:r>
        <w:rPr>
          <w:rFonts w:ascii="Times New Roman" w:cs="Times New Roman" w:eastAsia="Times New Roman" w:hAnsi="Times New Roman"/>
          <w:b/>
          <w:bCs/>
          <w:sz w:val="24"/>
          <w:szCs w:val="24"/>
        </w:rPr>
        <w:t xml:space="preserve">18H. Cross-Case Pattern Recognition and Fleet Intelligence</w:t>
      </w:r>
    </w:p>
    <w:p>
      <w:pPr>
        <w:spacing w:after="120" w:before="0" w:line="320"/>
        <w:ind w:firstLine="360"/>
        <w:jc w:val="both"/>
      </w:pPr>
      <w:r>
        <w:rPr>
          <w:rFonts w:ascii="Times New Roman" w:cs="Times New Roman" w:eastAsia="Times New Roman" w:hAnsi="Times New Roman"/>
          <w:sz w:val="22"/>
          <w:szCs w:val="22"/>
        </w:rPr>
        <w:t xml:space="preserve">The System includes a Cross-Case Pattern Recognition Engine that analyzes historical inspection cases across an organization’s asset fleet to identify systemic patterns that are not visible in individual case assessments. The engine implements: (a) similarity clustering, in which cases with similar environmental conditions, material, and mechanism profiles are grouped and analyzed for common degradation trends; (b) fleet-level risk ranking, in which assets are ranked by projected time-to-action across the fleet, enabling risk-prioritized inspection planning; (c) systemic failure mode detection, in which a spike in a specific mechanism across multiple assets triggers an alert that a systemic condition (e.g., a feedstock change, a CP system degradation, a common fabrication defect) may be present; and (d) root cause prevention tracking, in which corrective actions taken on one asset are tracked for effectiveness and recommended to similar assets. The fleet resolution subsystem operates above the per-asset cyclic deterministic decision core, as described in Embodiment G, and produces fleet-level outputs that can trigger re-evaluation of individual asset dispositions. This converts the System from a single-asset tool to an enterprise asset intelligence platform.</w:t>
      </w:r>
    </w:p>
    <w:p>
      <w:pPr>
        <w:pStyle w:val="Heading2"/>
        <w:spacing w:after="140" w:before="240"/>
        <w:jc w:val="left"/>
      </w:pPr>
      <w:r>
        <w:rPr>
          <w:rFonts w:ascii="Times New Roman" w:cs="Times New Roman" w:eastAsia="Times New Roman" w:hAnsi="Times New Roman"/>
          <w:b/>
          <w:bCs/>
          <w:sz w:val="24"/>
          <w:szCs w:val="24"/>
        </w:rPr>
        <w:t xml:space="preserve">18I. Microbiologically Influenced Corrosion (MIC) Intelligence Engine</w:t>
      </w:r>
    </w:p>
    <w:p>
      <w:pPr>
        <w:spacing w:after="120" w:before="0" w:line="320"/>
        <w:ind w:firstLine="360"/>
        <w:jc w:val="both"/>
      </w:pPr>
      <w:r>
        <w:rPr>
          <w:rFonts w:ascii="Times New Roman" w:cs="Times New Roman" w:eastAsia="Times New Roman" w:hAnsi="Times New Roman"/>
          <w:sz w:val="22"/>
          <w:szCs w:val="22"/>
        </w:rPr>
        <w:t xml:space="preserve">The System includes a Microbiologically Influenced Corrosion (MIC) Intelligence Engine that evaluates the risk of biologically driven corrosion mechanisms. MIC is frequently misdiagnosed as general corrosion or under-deposit attack because its morphological signatures overlap with abiotic mechanisms. The MIC engine implements: (a) environmental risk scoring based on water chemistry, temperature, flow rate, and stagnation indicators; (b) morphological pattern matching against known MIC signatures (tuberculation, under-deposit pitting with characteristic aspect ratios, biofilm evidence); (c) material susceptibility assessment considering alloy composition and surface treatment; (d) synergistic mechanism evaluation, in which MIC’s interaction with concurrent mechanisms (e.g., MIC accelerating under-deposit pitting, MIC-induced sulfide stress cracking) is explicitly modeled; and (e) recommended confirmatory testing (biological activity testing, DNA sampling, metabolite analysis). The MIC engine is integrated with the DDE knowledge bases as a distinct mechanism entry with its own conditional probability tables, allowing the Bayesian ranking to properly weight MIC against competing hypotheses.</w:t>
      </w:r>
    </w:p>
    <w:p>
      <w:pPr>
        <w:pStyle w:val="Heading2"/>
        <w:spacing w:after="140" w:before="240"/>
        <w:jc w:val="left"/>
      </w:pPr>
      <w:r>
        <w:rPr>
          <w:rFonts w:ascii="Times New Roman" w:cs="Times New Roman" w:eastAsia="Times New Roman" w:hAnsi="Times New Roman"/>
          <w:b/>
          <w:bCs/>
          <w:sz w:val="24"/>
          <w:szCs w:val="24"/>
        </w:rPr>
        <w:t xml:space="preserve">18J. Formal Input–Processing–Output Specifications for Principal Subsystems</w:t>
      </w:r>
    </w:p>
    <w:p>
      <w:pPr>
        <w:spacing w:after="120" w:before="0" w:line="320"/>
        <w:ind w:firstLine="360"/>
        <w:jc w:val="both"/>
      </w:pPr>
      <w:r>
        <w:rPr>
          <w:rFonts w:ascii="Times New Roman" w:cs="Times New Roman" w:eastAsia="Times New Roman" w:hAnsi="Times New Roman"/>
          <w:sz w:val="22"/>
          <w:szCs w:val="22"/>
        </w:rPr>
        <w:t xml:space="preserve">Each principal subsystem described in this disclosure operates on a formally defined input schema, performs a specified transformation, and emits a formally defined output schema. The following specifications apply to the reduced-to-practice embodiment.</w:t>
      </w:r>
    </w:p>
    <w:p>
      <w:pPr>
        <w:spacing w:after="100" w:before="160" w:line="320"/>
        <w:jc w:val="both"/>
      </w:pPr>
      <w:r>
        <w:rPr>
          <w:rFonts w:ascii="Times New Roman" w:cs="Times New Roman" w:eastAsia="Times New Roman" w:hAnsi="Times New Roman"/>
          <w:b/>
          <w:sz w:val="22"/>
          <w:szCs w:val="22"/>
        </w:rPr>
        <w:t xml:space="preserve">18J.1 Entity Extraction Engine</w:t>
      </w:r>
    </w:p>
    <w:p>
      <w:pPr>
        <w:spacing w:after="120" w:before="0" w:line="320"/>
        <w:ind w:firstLine="360"/>
        <w:jc w:val="both"/>
      </w:pPr>
      <w:r>
        <w:rPr>
          <w:rFonts w:ascii="Times New Roman" w:cs="Times New Roman" w:eastAsia="Times New Roman" w:hAnsi="Times New Roman"/>
          <w:sz w:val="22"/>
          <w:szCs w:val="22"/>
        </w:rPr>
        <w:t xml:space="preserve">Input: a free-form natural-language string containing an inspector’s observations, comprising at most 50,000 characters, together with an optional structured metadata object specifying asset identifier, NDT method code, and asset class. Processing: the engine tokenizes the input text, applies a library of compiled regular expressions with enforced word-boundary anchors (\b) to each token, matches tokens against enumerated dictionaries of materials (at least 200 entries), environments (at least 80 entries), measurements (numeric value plus unit patterns), component types (at least 150 entries), and damage indicators (at least 300 entries). Each matched entity is validated by a second-pass boundary check that confirms the matched substring is flanked by word-boundary characters in the original input, preventing substring-collision false positives (e.g., “piping” inside “stripping”). Output: a structured entity state object containing arrays of resolved materials (each with material_family, material_class, and grade), environments (each with environment_type and severity), measurements (each with parameter_name, numeric_value, unit, and source_location), and damage_indicators (each with indicator_type and indicator_severity), with every entity tagged with a provenance label from the set {OBSERVED, INFERRED, ASSUMED} and a source_offset indicating its character position in the original input.</w:t>
      </w:r>
    </w:p>
    <w:p>
      <w:pPr>
        <w:spacing w:after="100" w:before="160" w:line="320"/>
        <w:jc w:val="both"/>
      </w:pPr>
      <w:r>
        <w:rPr>
          <w:rFonts w:ascii="Times New Roman" w:cs="Times New Roman" w:eastAsia="Times New Roman" w:hAnsi="Times New Roman"/>
          <w:b/>
          <w:sz w:val="22"/>
          <w:szCs w:val="22"/>
        </w:rPr>
        <w:t xml:space="preserve">18J.2 Evidence Provenance Engine</w:t>
      </w:r>
    </w:p>
    <w:p>
      <w:pPr>
        <w:spacing w:after="120" w:before="0" w:line="320"/>
        <w:ind w:firstLine="360"/>
        <w:jc w:val="both"/>
      </w:pPr>
      <w:r>
        <w:rPr>
          <w:rFonts w:ascii="Times New Roman" w:cs="Times New Roman" w:eastAsia="Times New Roman" w:hAnsi="Times New Roman"/>
          <w:sz w:val="22"/>
          <w:szCs w:val="22"/>
        </w:rPr>
        <w:t xml:space="preserve">Input: the entity state object from Section 18J.1, containing entities with initial provenance labels. Processing: the engine constructs a directed acyclic graph (DAG) in which each node is a datum (observed or derived) and each edge represents a derivation relationship. The engine evaluates each derivation edge and assigns the derived datum a provenance label constrained to be no higher than the minimum provenance among its inputs, using the ordering OBSERVED &gt; INFERRED &gt; ASSUMED. The engine then computes a composite confidence score for each datum as a function of its provenance label and the number and quality of supporting observations. Output: an enriched entity state object in which every datum carries a final provenance label, a confidence score in the range [0.0, 1.0], and a list of datum identifiers upon which it depends, forming a complete traceable provenance chain from each derived datum back to its root observations.</w:t>
      </w:r>
    </w:p>
    <w:p>
      <w:pPr>
        <w:spacing w:after="100" w:before="160" w:line="320"/>
        <w:jc w:val="both"/>
      </w:pPr>
      <w:r>
        <w:rPr>
          <w:rFonts w:ascii="Times New Roman" w:cs="Times New Roman" w:eastAsia="Times New Roman" w:hAnsi="Times New Roman"/>
          <w:b/>
          <w:sz w:val="22"/>
          <w:szCs w:val="22"/>
        </w:rPr>
        <w:t xml:space="preserve">18J.3 Bayesian Differential Diagnosis Engine (DDE)</w:t>
      </w:r>
    </w:p>
    <w:p>
      <w:pPr>
        <w:spacing w:after="120" w:before="0" w:line="320"/>
        <w:ind w:firstLine="360"/>
        <w:jc w:val="both"/>
      </w:pPr>
      <w:r>
        <w:rPr>
          <w:rFonts w:ascii="Times New Roman" w:cs="Times New Roman" w:eastAsia="Times New Roman" w:hAnsi="Times New Roman"/>
          <w:sz w:val="22"/>
          <w:szCs w:val="22"/>
        </w:rPr>
        <w:t xml:space="preserve">Input: the enriched entity state object from Section 18J.2, together with an asset_domain identifier (one of: fixed_equipment, subsea, marine_vessel, floating_production, production_equipment) and an optional inspector_nominated_mechanism string. Processing: (Phase 1) the engine loads the domain-specific knowledge base containing conditional probability tables for at least twenty-five mechanisms, then eliminates mechanisms whose prerequisite conditions (material compatibility, environment type, temperature range) are not satisfied by the resolved entity state, except that any inspector-nominated mechanism is forced to survive this pruning; (Phase 2) the engine assigns a prior probability P(mechanism) to each surviving candidate from the domain-specific base-rate table, with a configurable boost multiplier (default 3.0x) applied to any inspector-nominated mechanism; (Phase 3) for each surviving mechanism and each observed evidence token, the engine looks up the conditional probability P(evidence | mechanism) from the knowledge base and computes the log-likelihood contribution as log(P(evidence | mechanism) / P(evidence | not mechanism)), summing contributions across all evidence tokens to produce a total log-likelihood score per mechanism; (Phase 4) the engine applies Bayes’ theorem by combining the prior probability with the total log-likelihood to produce an unnormalized posterior, then normalizes across all surviving candidates to produce calibrated posterior probabilities summing to 1.0; (Phase 5) the engine computes the information-theoretic spread of each unobserved evidence token across the surviving candidates and ranks tokens by discriminating power. Output: a ranked array of candidate mechanisms, each containing mechanism_id, posterior_probability, log_likelihood_score, prior_used, and supporting_evidence array; a dominant_mechanism object with quantified margin over the second-ranked candidate; and a discriminating_evidence array listing the top five recommended next inspection actions ranked by expected information gain.</w:t>
      </w:r>
    </w:p>
    <w:p>
      <w:pPr>
        <w:spacing w:after="100" w:before="160" w:line="320"/>
        <w:jc w:val="both"/>
      </w:pPr>
      <w:r>
        <w:rPr>
          <w:rFonts w:ascii="Times New Roman" w:cs="Times New Roman" w:eastAsia="Times New Roman" w:hAnsi="Times New Roman"/>
          <w:b/>
          <w:sz w:val="22"/>
          <w:szCs w:val="22"/>
        </w:rPr>
        <w:t xml:space="preserve">18J.4 Authority Lock Subsystem</w:t>
      </w:r>
    </w:p>
    <w:p>
      <w:pPr>
        <w:spacing w:after="120" w:before="0" w:line="320"/>
        <w:ind w:firstLine="360"/>
        <w:jc w:val="both"/>
      </w:pPr>
      <w:r>
        <w:rPr>
          <w:rFonts w:ascii="Times New Roman" w:cs="Times New Roman" w:eastAsia="Times New Roman" w:hAnsi="Times New Roman"/>
          <w:sz w:val="22"/>
          <w:szCs w:val="22"/>
        </w:rPr>
        <w:t xml:space="preserve">Input: a candidate disposition object containing disposition_class (one of: ACCEPTABLE, MONITOR, INCREASE_INSPECTION, ENGINEERING_REVIEW, CRITICAL-REPLACE, SHUTDOWN-IMMEDIATE), the dominant mechanism, material and environment context, and all measurements. Processing: the engine loads the applicable code corpus (e.g., API 510, API 570, API 579-1/ASME FFS-1, NACE MR0175/ISO 15156, ASME BPVC Section VIII, AWS D1.1) and evaluates each code clause against the candidate disposition. For each clause, the engine computes whether the disposition satisfies, violates, or is not applicable to that clause. If any binding clause is violated, the authority lock blocks the disposition and returns a structured violation report. The engine also verifies that the disposition references at least one supporting code clause. Output: an authority_lock_result object containing lock_status (PASSED or BLOCKED), an array of satisfied_clauses each with code_id, clause_reference, and satisfaction_rationale, an array of violated_clauses each with code_id, clause_reference, violation_description, and required_action, and a boolean field disposition_authorized indicating whether the disposition may proceed to output.</w:t>
      </w:r>
    </w:p>
    <w:p>
      <w:pPr>
        <w:spacing w:after="100" w:before="160" w:line="320"/>
        <w:jc w:val="both"/>
      </w:pPr>
      <w:r>
        <w:rPr>
          <w:rFonts w:ascii="Times New Roman" w:cs="Times New Roman" w:eastAsia="Times New Roman" w:hAnsi="Times New Roman"/>
          <w:b/>
          <w:sz w:val="22"/>
          <w:szCs w:val="22"/>
        </w:rPr>
        <w:t xml:space="preserve">18J.5 Contradiction Detection Engine</w:t>
      </w:r>
    </w:p>
    <w:p>
      <w:pPr>
        <w:spacing w:after="120" w:before="0" w:line="320"/>
        <w:ind w:firstLine="360"/>
        <w:jc w:val="both"/>
      </w:pPr>
      <w:r>
        <w:rPr>
          <w:rFonts w:ascii="Times New Roman" w:cs="Times New Roman" w:eastAsia="Times New Roman" w:hAnsi="Times New Roman"/>
          <w:sz w:val="22"/>
          <w:szCs w:val="22"/>
        </w:rPr>
        <w:t xml:space="preserve">Input: the complete pipeline state comprising entity state, DDE results, authority lock results, and candidate disposition. Processing: the engine evaluates a matrix of contradiction rules organized into five categories: (a) observation-observation contradictions (e.g., reported wall thickness both above and below minimum in the same zone); (b) observation-inference contradictions (e.g., observed high-temperature operation contradicting inferred low-temperature material grade); (c) mechanism-mechanism contradictions (e.g., dominant mechanism requiring wet environment while environment resolved as dry); (d) timeline contradictions (e.g., predicted remaining life exceeding physical possibility for stated degradation rate); and (e) disposition-code contradictions (e.g., disposition of ACCEPTABLE while a binding code clause requires immediate action). For each detected contradiction, the engine assigns a severity level (WARNING, BLOCKING) and generates a structured resolution recommendation. Output: a contradiction_report object containing an array of detected contradictions each with contradiction_type, severity, description, involved_data_points, and recommended_resolution; a boolean has_blocking_contradictions; and, when blocking contradictions exist, a forced re-entry signal that causes the cyclic deterministic decision core to re-process from State 1 with the contradiction flagged.</w:t>
      </w:r>
    </w:p>
    <w:p>
      <w:pPr>
        <w:spacing w:after="100" w:before="160" w:line="320"/>
        <w:jc w:val="both"/>
      </w:pPr>
      <w:r>
        <w:rPr>
          <w:rFonts w:ascii="Times New Roman" w:cs="Times New Roman" w:eastAsia="Times New Roman" w:hAnsi="Times New Roman"/>
          <w:b/>
          <w:sz w:val="22"/>
          <w:szCs w:val="22"/>
        </w:rPr>
        <w:t xml:space="preserve">18J.6 Hard Lock Override Subsystem</w:t>
      </w:r>
    </w:p>
    <w:p>
      <w:pPr>
        <w:spacing w:after="120" w:before="0" w:line="320"/>
        <w:ind w:firstLine="360"/>
        <w:jc w:val="both"/>
      </w:pPr>
      <w:r>
        <w:rPr>
          <w:rFonts w:ascii="Times New Roman" w:cs="Times New Roman" w:eastAsia="Times New Roman" w:hAnsi="Times New Roman"/>
          <w:sz w:val="22"/>
          <w:szCs w:val="22"/>
        </w:rPr>
        <w:t xml:space="preserve">Input: the complete pipeline state and the candidate disposition. Processing: the engine evaluates a finite, enumerated set of hard-lock trigger conditions. Each trigger is a pure boolean function of the pipeline state that returns true or false with no probabilistic element. Example triggers in the inspection embodiment include: (a) wall thickness below code-minimum for the resolved material and pressure rating; (b) hardness exceeding NACE MR0175 limit for sour service (e.g., 22 HRC for carbon steel); (c) crack-like indication in a pressure-boundary weld with no fitness-for-service evaluation; (d) active hydrogen damage indicators (blistering, stepwise cracking) in an H2/H2S environment; (e) section loss exceeding the code-allowable retirement threshold. When any trigger evaluates to true, the hard lock forces the disposition to a predefined safe state (typically CRITICAL-REPLACE or SHUTDOWN-IMMEDIATE) regardless of the disposition computed by all other engines. Output: a hard_lock_result object containing triggered (boolean), an array of triggered_conditions each with trigger_id, trigger_description, measured_value, threshold_value, and forced_disposition, and the final forced_disposition_class if any trigger fired.</w:t>
      </w:r>
    </w:p>
    <w:p>
      <w:pPr>
        <w:spacing w:after="100" w:before="160" w:line="320"/>
        <w:jc w:val="both"/>
      </w:pPr>
      <w:r>
        <w:rPr>
          <w:rFonts w:ascii="Times New Roman" w:cs="Times New Roman" w:eastAsia="Times New Roman" w:hAnsi="Times New Roman"/>
          <w:b/>
          <w:sz w:val="22"/>
          <w:szCs w:val="22"/>
        </w:rPr>
        <w:t xml:space="preserve">18J.7 Constrained Generative Synthesis Interface</w:t>
      </w:r>
    </w:p>
    <w:p>
      <w:pPr>
        <w:spacing w:after="120" w:before="0" w:line="320"/>
        <w:ind w:firstLine="360"/>
        <w:jc w:val="both"/>
      </w:pPr>
      <w:r>
        <w:rPr>
          <w:rFonts w:ascii="Times New Roman" w:cs="Times New Roman" w:eastAsia="Times New Roman" w:hAnsi="Times New Roman"/>
          <w:sz w:val="22"/>
          <w:szCs w:val="22"/>
        </w:rPr>
        <w:t xml:space="preserve">Input: the complete deterministic pipeline state, including entity state, DDE results, authority lock result, contradiction report, hard lock result, and the final disposition class. The generative model receives these as a structured JSON prompt whose content is fully determined by the pipeline state; no free-form prompt content is permitted. Processing: the generative language model (operating in synthesis-only mode) produces a natural-language narrative that explains the disposition to a human reader. The model is explicitly prohibited from altering the disposition class, adding mechanisms not identified by the DDE, removing authority lock violations, or overriding hard lock triggers. A second adversarial language model independently evaluates the synthesis output against the pipeline state on a field-by-field basis. A deterministic arbiter (not a language model) compares the two outputs and resolves any discrepancy by reference to the pipeline state, always selecting the interpretation that matches the pipeline state. Output: a final_report object containing the natural-language synthesis (narrative text explaining the disposition), the machine-readable audit trail (a JSON object tracing every datum, classification, mechanism score, code clause, contradiction, and hard lock evaluation back to its source), and a verification_status indicating whether the adversarial model and arbiter confirmed consistency with the pipeline state.</w:t>
      </w:r>
    </w:p>
    <w:p>
      <w:pPr>
        <w:spacing w:after="100" w:before="160" w:line="320"/>
        <w:jc w:val="both"/>
      </w:pPr>
      <w:r>
        <w:rPr>
          <w:rFonts w:ascii="Times New Roman" w:cs="Times New Roman" w:eastAsia="Times New Roman" w:hAnsi="Times New Roman"/>
          <w:b/>
          <w:sz w:val="22"/>
          <w:szCs w:val="22"/>
        </w:rPr>
        <w:t xml:space="preserve">18J.8 Inspection Effectiveness Engine</w:t>
      </w:r>
    </w:p>
    <w:p>
      <w:pPr>
        <w:spacing w:after="120" w:before="0" w:line="320"/>
        <w:ind w:firstLine="360"/>
        <w:jc w:val="both"/>
      </w:pPr>
      <w:r>
        <w:rPr>
          <w:rFonts w:ascii="Times New Roman" w:cs="Times New Roman" w:eastAsia="Times New Roman" w:hAnsi="Times New Roman"/>
          <w:sz w:val="22"/>
          <w:szCs w:val="22"/>
        </w:rPr>
        <w:t xml:space="preserve">Input: the NDT method code, the dominant damage mechanism from the DDE, the material and geometry of the inspected component, and a set of field quality observations including surface preparation grade, calibration date, environmental conditions (temperature, humidity, lighting), inspector qualification level, equipment model and capability rating, access type (direct, remote, underwater), coverage percentage, and reference standard currency. Processing: the engine evaluates each of the ten field quality modifiers against domain-specific thresholds to produce a modifier score in [0.0, 1.0] for each factor. The engine then computes a composite inspection quality score as the product of all modifier scores. Separately, the engine maps the NDT method, material, geometry, and flaw type to a Probability of Detection (POD) band per API 581 RBI methodology, producing a detection probability range (e.g., 0.70–0.90 for UT on internal corrosion in carbon steel pipe). The engine computes a false negative risk as (1.0 − POD_midpoint) × (1.0 − composite_quality_score). Output: an inspection_effectiveness object containing the composite_quality_score, individual modifier scores, the POD_band (low, mid, high), the false_negative_risk, and a boolean can_support_final_disposition that is true only when both composite_quality_score and POD_midpoint exceed domain-specific thresholds (default 0.60 and 0.50 respectively). When can_support_final_disposition is false, the system blocks final disposition and instead recommends additional inspection or engineering review.</w:t>
      </w:r>
    </w:p>
    <w:p>
      <w:pPr>
        <w:pStyle w:val="Heading2"/>
        <w:spacing w:after="140" w:before="240"/>
        <w:jc w:val="left"/>
      </w:pPr>
      <w:r>
        <w:rPr>
          <w:rFonts w:ascii="Times New Roman" w:cs="Times New Roman" w:eastAsia="Times New Roman" w:hAnsi="Times New Roman"/>
          <w:b/>
          <w:bCs/>
          <w:sz w:val="24"/>
          <w:szCs w:val="24"/>
        </w:rPr>
        <w:t xml:space="preserve">18K. Worked Example Embodiments — Step-by-Step Pipeline Traces</w:t>
      </w:r>
    </w:p>
    <w:p>
      <w:pPr>
        <w:spacing w:after="120" w:before="0" w:line="320"/>
        <w:ind w:firstLine="360"/>
        <w:jc w:val="both"/>
      </w:pPr>
      <w:r>
        <w:rPr>
          <w:rFonts w:ascii="Times New Roman" w:cs="Times New Roman" w:eastAsia="Times New Roman" w:hAnsi="Times New Roman"/>
          <w:sz w:val="22"/>
          <w:szCs w:val="22"/>
        </w:rPr>
        <w:t xml:space="preserve">The following five worked examples demonstrate the complete input-to-output pipeline trace for representative real-world inspection scenarios across different asset domains. Each example shows the exact data flow through the principal subsystems described in this disclosure.</w:t>
      </w:r>
    </w:p>
    <w:p>
      <w:pPr>
        <w:spacing w:after="100" w:before="160" w:line="320"/>
        <w:jc w:val="both"/>
      </w:pPr>
      <w:r>
        <w:rPr>
          <w:rFonts w:ascii="Times New Roman" w:cs="Times New Roman" w:eastAsia="Times New Roman" w:hAnsi="Times New Roman"/>
          <w:b/>
          <w:sz w:val="22"/>
          <w:szCs w:val="22"/>
        </w:rPr>
        <w:t xml:space="preserve">Example 1: Corroded Refinery Crude Unit Pipe — Sulfidation Attack</w:t>
      </w:r>
    </w:p>
    <w:p>
      <w:pPr>
        <w:spacing w:after="120" w:before="0" w:line="320"/>
        <w:ind w:firstLine="360"/>
        <w:jc w:val="both"/>
      </w:pPr>
      <w:r>
        <w:rPr>
          <w:rFonts w:ascii="Times New Roman" w:cs="Times New Roman" w:eastAsia="Times New Roman" w:hAnsi="Times New Roman"/>
          <w:sz w:val="22"/>
          <w:szCs w:val="22"/>
        </w:rPr>
        <w:t xml:space="preserve">Inspector Input (free-form text): “6-inch carbon steel pipe, crude unit transfer line, 15 years service. Operating at 550°F with high-sulfur crude (2.8% sulfur content). UT thickness readings: nominal 0.280 inches, measured 0.165 inches at 6 o’clock position, 0.190 inches at 12 o’clock. Thinning is uniform and follows the pipe curvature. No pitting observed. API 570 applies.”</w:t>
      </w:r>
    </w:p>
    <w:p>
      <w:pPr>
        <w:spacing w:after="120" w:before="0" w:line="320"/>
        <w:ind w:firstLine="360"/>
        <w:jc w:val="both"/>
      </w:pPr>
      <w:r>
        <w:rPr>
          <w:rFonts w:ascii="Times New Roman" w:cs="Times New Roman" w:eastAsia="Times New Roman" w:hAnsi="Times New Roman"/>
          <w:sz w:val="22"/>
          <w:szCs w:val="22"/>
        </w:rPr>
        <w:t xml:space="preserve">Step 1 — Entity Extraction: The engine extracts: material = carbon steel (provenance: OBSERVED); component = 6-inch pipe (OBSERVED); environment = high-sulfur crude, 2.8% sulfur, 550°F (OBSERVED); measurements = nominal wall 0.280”, minimum measured 0.165” at 6 o’clock, 0.190” at 12 o’clock (OBSERVED); damage_pattern = uniform thinning (OBSERVED); applicable_code = API 570 (OBSERVED); service_duration = 15 years (OBSERVED). Step 2 — Contextual Fact Inference (CFI): The CFI engine infers: high-sulfur crude at 550°F triggers pattern “sulfidation_environment” (confidence 0.95, provenance: INFERRED-BY-PATTERN); carbon steel in sulfidation service triggers “modified McConomy curve applicable” (confidence 0.90, INFERRED-BY-PATTERN); uniform thinning pattern consistent with sulfidation morphology (confidence 0.88, INFERRED-BY-PATTERN). Step 3 — Evidence Provenance: All directly stated measurements retain OBSERVED provenance. The sulfidation inference is tagged INFERRED with confidence 0.92. The composite provenance chain shows that the disposition will be constrained by the OBSERVED measurements but informed by the INFERRED mechanism identification. Step 4 — Bayesian DDE: The engine loads the fixed_equipment knowledge base (25+ mechanisms). Prerequisite pruning eliminates mechanisms incompatible with carbon steel at 550°F (e.g., chloride SCC requires austenitic steel). Surviving candidates include: sulfidation (prior 0.25 in refinery context), general corrosion (prior 0.20), naphthenic acid corrosion (prior 0.10), oxidation (prior 0.08). Log-likelihood scoring: sulfidation receives strong positive contributions from high-sulfur content (+2.1), elevated temperature in sulfidation range (+1.8), uniform thinning pattern (+1.4), carbon steel susceptibility (+0.9). Posterior normalization yields: sulfidation 94.2%, general corrosion 3.1%, naphthenic acid 1.8%, others &lt;1%. Dominant mechanism: sulfidation with 91.1% margin. Discriminating evidence: the engine recommends (a) coupon analysis for sulfide scale composition, (b) comparison with modified McConomy predicted rates. Step 5 — Inspection Effectiveness: UT method on carbon steel pipe, direct access, calibrated equipment. Composite quality score: 0.87. POD band for UT wall thickness on uniform thinning: 0.85–0.95. False negative risk: 0.012. can_support_final_disposition: true. Step 6 — Authority Lock: API 570 Section 7.2 requires retirement when wall thickness falls below t_min calculated per ASME B31.3. Calculated t_min for this service: 0.156”. Measured minimum 0.165” exceeds t_min but is within 10% (0.009” margin). API 579-1 Part 4 Level 1 assessment: remaining strength factor RSF = 0.165/0.280 = 0.589, below the allowable RSF_a of 0.90. Authority lock binds disposition to API 579-1 Part 4, Clause 4.4.2.1: “component does not satisfy Level 1 criteria; Level 2 or Level 3 assessment required, or re-rate, repair, or replace.” Step 7 — Contradiction Check: No contradictions detected. Uniform thinning is consistent with sulfidation mechanism. Measurements are internally consistent (6 o’clock thinner than 12 o’clock, consistent with bottom-of-pipe flow pattern). Step 8 — Hard Lock Evaluation: Measured wall 0.165” exceeds code minimum 0.156”; no hard lock triggered. However, remaining life at current corrosion rate (0.280 − 0.165 = 0.115” loss over 15 years = 7.67 mils/year): (0.165 − 0.156) / 0.00767 = 1.17 years. Short remaining life does not trigger hard lock but is flagged for disposition. Step 9 — Constrained Synthesis: The generative model receives the complete pipeline state and produces a narrative explaining: sulfidation at 94.2% probability, API 579-1 Level 1 failure, 1.17 years estimated remaining life, recommendation for engineering review with Level 2 FFS assessment or replacement planning. The adversarial model confirms the synthesis accurately reflects the pipeline state. Final Disposition: CRITICAL-REPLACE. Audit trail contains 47 linked data points traceable from the disposition back to each input measurement, code clause, and mechanism score.</w:t>
      </w:r>
    </w:p>
    <w:p>
      <w:pPr>
        <w:spacing w:after="100" w:before="160" w:line="320"/>
        <w:jc w:val="both"/>
      </w:pPr>
      <w:r>
        <w:rPr>
          <w:rFonts w:ascii="Times New Roman" w:cs="Times New Roman" w:eastAsia="Times New Roman" w:hAnsi="Times New Roman"/>
          <w:b/>
          <w:sz w:val="22"/>
          <w:szCs w:val="22"/>
        </w:rPr>
        <w:t xml:space="preserve">Example 2: H2S Cracking in Pressure Vessel — Hard Lock Override</w:t>
      </w:r>
    </w:p>
    <w:p>
      <w:pPr>
        <w:spacing w:after="120" w:before="0" w:line="320"/>
        <w:ind w:firstLine="360"/>
        <w:jc w:val="both"/>
      </w:pPr>
      <w:r>
        <w:rPr>
          <w:rFonts w:ascii="Times New Roman" w:cs="Times New Roman" w:eastAsia="Times New Roman" w:hAnsi="Times New Roman"/>
          <w:sz w:val="22"/>
          <w:szCs w:val="22"/>
        </w:rPr>
        <w:t xml:space="preserve">Inspector Input: “Amine absorber vessel, carbon steel SA-516 Gr 70, sour gas service with 15% H2S. Hardness survey shows 24 HRC at nozzle-to-shell weld. WT inspection shows crack-like indication at the HAZ, 0.25 inches deep in 1.0 inch wall. PWHT was performed at fabrication. API 510 applies, NACE MR0175 applies.”</w:t>
      </w:r>
    </w:p>
    <w:p>
      <w:pPr>
        <w:spacing w:after="120" w:before="0" w:line="320"/>
        <w:ind w:firstLine="360"/>
        <w:jc w:val="both"/>
      </w:pPr>
      <w:r>
        <w:rPr>
          <w:rFonts w:ascii="Times New Roman" w:cs="Times New Roman" w:eastAsia="Times New Roman" w:hAnsi="Times New Roman"/>
          <w:sz w:val="22"/>
          <w:szCs w:val="22"/>
        </w:rPr>
        <w:t xml:space="preserve">Step 1 — Entity Extraction: material = SA-516 Gr 70 carbon steel (OBSERVED); component = amine absorber pressure vessel (OBSERVED); environment = sour gas, 15% H2S (OBSERVED); measurements = hardness 24 HRC at nozzle weld HAZ (OBSERVED), crack indication 0.25” deep in 1.0” wall (OBSERVED); fabrication = PWHT performed (OBSERVED); codes = API 510, NACE MR0175 (OBSERVED). Step 2 — CFI: Sour gas + H2S triggers “sulfide_stress_cracking_environment” pattern. Amine service triggers “amine_cracking_susceptibility” pattern. Crack in HAZ triggers “hydrogen_assisted_cracking_indicator” pattern. Step 3 — Bayesian DDE: Prerequisite pruning retains: sulfide stress cracking (SSC), hydrogen-induced cracking (HIC), amine cracking, stress corrosion cracking. Log-likelihood scoring: SSC receives dominant contributions from H2S environment (+2.8), crack in HAZ (+2.2), hardness above 22 HRC in sour service (+2.5), carbon steel susceptibility (+1.1). Posterior: SSC 87.3%, amine cracking 8.1%, HIC 3.2%, others &lt;2%. Step 4 — Hard Lock Evaluation: TRIGGER FIRED. Hardness of 24 HRC exceeds the NACE MR0175 maximum of 22 HRC for carbon steel in sour service. This is a hard-lock condition. The hard lock forces the disposition to SHUTDOWN-IMMEDIATE regardless of all other pipeline computations. Additionally, crack-like indication in a pressure-boundary weld without completed FFS evaluation triggers a second hard lock. Step 5 — Authority Lock: NACE MR0175 Clause 7.3.1: maximum hardness 22 HRC for carbon steel in sour service. Measured value 24 HRC violates binding clause. API 510 Section 7.4: crack-like indications in pressure-boundary welds require fitness-for-service evaluation per API 579-1 Part 9 before continued operation. Both clauses confirm the hard-lock forced disposition. Step 6 — Contradiction Check: No contradictions. Hardness and cracking are consistent with SSC mechanism. Step 7 — Constrained Synthesis: The generative model explains: SSC at 87.3%, NACE hardness violation forcing SHUTDOWN-IMMEDIATE, two independent hard locks triggered, required actions include hardness re-testing after re-PWHT and API 579-1 Part 9 crack assessment. Final Disposition: SHUTDOWN-IMMEDIATE (forced by hard lock). This example demonstrates the system’s refusal behavior: even though the crack depth (0.25” in 1.0” wall = 25% through-wall) might not independently require shutdown, the NACE hardness violation creates an absolute override that no amount of engineering justification can bypass within the system.</w:t>
      </w:r>
    </w:p>
    <w:p>
      <w:pPr>
        <w:spacing w:after="100" w:before="160" w:line="320"/>
        <w:jc w:val="both"/>
      </w:pPr>
      <w:r>
        <w:rPr>
          <w:rFonts w:ascii="Times New Roman" w:cs="Times New Roman" w:eastAsia="Times New Roman" w:hAnsi="Times New Roman"/>
          <w:b/>
          <w:sz w:val="22"/>
          <w:szCs w:val="22"/>
        </w:rPr>
        <w:t xml:space="preserve">Example 3: Structural Weld Failure — Inspection Effectiveness Gate</w:t>
      </w:r>
    </w:p>
    <w:p>
      <w:pPr>
        <w:spacing w:after="120" w:before="0" w:line="320"/>
        <w:ind w:firstLine="360"/>
        <w:jc w:val="both"/>
      </w:pPr>
      <w:r>
        <w:rPr>
          <w:rFonts w:ascii="Times New Roman" w:cs="Times New Roman" w:eastAsia="Times New Roman" w:hAnsi="Times New Roman"/>
          <w:sz w:val="22"/>
          <w:szCs w:val="22"/>
        </w:rPr>
        <w:t xml:space="preserve">Inspector Input: “Structural fillet weld on offshore platform jacket leg, A36 steel, splash zone. VT inspection only — no UT or MT performed. Surface rust heavy, no surface prep done. Weld appears to have undercut and possible crack at toe. Inspector is Level I VT. AWS D1.1 applies.”</w:t>
      </w:r>
    </w:p>
    <w:p>
      <w:pPr>
        <w:spacing w:after="120" w:before="0" w:line="320"/>
        <w:ind w:firstLine="360"/>
        <w:jc w:val="both"/>
      </w:pPr>
      <w:r>
        <w:rPr>
          <w:rFonts w:ascii="Times New Roman" w:cs="Times New Roman" w:eastAsia="Times New Roman" w:hAnsi="Times New Roman"/>
          <w:sz w:val="22"/>
          <w:szCs w:val="22"/>
        </w:rPr>
        <w:t xml:space="preserve">Step 1 — Entity Extraction: material = A36 structural steel (OBSERVED); component = structural fillet weld, jacket leg (OBSERVED); environment = splash zone, offshore (OBSERVED); damage_indicators = undercut (OBSERVED), possible crack at weld toe (OBSERVED, qualified as “possible”); inspection_method = VT only (OBSERVED); surface_prep = none (OBSERVED); inspector_level = Level I (OBSERVED). Step 2 — Inspection Effectiveness Evaluation: This step is critical and demonstrates the inspection sufficiency gate. Surface preparation: NONE — modifier score 0.20 (heavy rust prevents reliable visual assessment). Inspector level: Level I for critical structural weld — modifier score 0.60. Method capability: VT only for suspected subsurface cracking — modifier score 0.30 (VT cannot reliably detect subsurface or tight toe cracks). Coverage: not quantified — modifier score 0.50. Composite quality score: 0.20 × 0.60 × 0.30 × 0.50 = 0.018. POD for VT on crack-like indications through heavy rust: 0.15–0.30. can_support_final_disposition: FALSE (composite score 0.018 far below threshold 0.60). Step 3 — System Response: The system REFUSES to issue a final disposition. Instead, it outputs: “Inspection data insufficient to support a final disposition. The following deficiencies must be addressed: (a) surface preparation required before re-inspection (minimum SSPC-SP 6 commercial blast); (b) supplementary NDT required: MT or PT for surface-breaking cracks, UT for subsurface evaluation; (c) Level II or III inspector required for critical structural weld assessment. Re-submit with improved inspection data.” This example demonstrates the system’s refusal to produce an unsafe output when the inspection quality is insufficient to support any reliable conclusion, even though the inspector has provided observations suggesting a defect.</w:t>
      </w:r>
    </w:p>
    <w:p>
      <w:pPr>
        <w:spacing w:after="100" w:before="160" w:line="320"/>
        <w:jc w:val="both"/>
      </w:pPr>
      <w:r>
        <w:rPr>
          <w:rFonts w:ascii="Times New Roman" w:cs="Times New Roman" w:eastAsia="Times New Roman" w:hAnsi="Times New Roman"/>
          <w:b/>
          <w:sz w:val="22"/>
          <w:szCs w:val="22"/>
        </w:rPr>
        <w:t xml:space="preserve">Example 4: Subsea Pipeline — Compound Mechanism with Contradiction Resolution</w:t>
      </w:r>
    </w:p>
    <w:p>
      <w:pPr>
        <w:spacing w:after="120" w:before="0" w:line="320"/>
        <w:ind w:firstLine="360"/>
        <w:jc w:val="both"/>
      </w:pPr>
      <w:r>
        <w:rPr>
          <w:rFonts w:ascii="Times New Roman" w:cs="Times New Roman" w:eastAsia="Times New Roman" w:hAnsi="Times New Roman"/>
          <w:sz w:val="22"/>
          <w:szCs w:val="22"/>
        </w:rPr>
        <w:t xml:space="preserve">Inspector Input: “12-inch subsea flowline, duplex stainless steel (UNS S31803), 200m water depth, 8 years service. Intelligent pig run shows internal wall loss of 15% at 3 o’clock position over a 2-meter length. External CP survey shows potential of −780 mV (Ag/AgCl). Water temperature 4°C. Produced fluid is sweet gas with 50 ppm CO2, no H2S. Marine growth moderate. Inspector suspects CO2 corrosion but notes duplex should resist this.”</w:t>
      </w:r>
    </w:p>
    <w:p>
      <w:pPr>
        <w:spacing w:after="120" w:before="0" w:line="320"/>
        <w:ind w:firstLine="360"/>
        <w:jc w:val="both"/>
      </w:pPr>
      <w:r>
        <w:rPr>
          <w:rFonts w:ascii="Times New Roman" w:cs="Times New Roman" w:eastAsia="Times New Roman" w:hAnsi="Times New Roman"/>
          <w:sz w:val="22"/>
          <w:szCs w:val="22"/>
        </w:rPr>
        <w:t xml:space="preserve">Step 1 — Entity Extraction and CFI: material = duplex stainless steel UNS S31803 (OBSERVED); component = 12” subsea flowline (OBSERVED); environment = 200m depth, 4°C, sweet gas, 50 ppm CO2, no H2S (OBSERVED); CP potential = −780 mV Ag/AgCl (OBSERVED); damage = 15% internal wall loss over 2m at 3 o’clock (OBSERVED); inspector_nominated = CO2 corrosion. CFI infers: duplex SS has high CO2 corrosion resistance (INFERRED-BY-PATTERN, confidence 0.95); 15% wall loss in duplex suggests mechanism other than CO2 (INFERRED-BY-PATTERN, confidence 0.85); CP potential −780 mV is insufficient for duplex in seawater (threshold −800 mV per DNV-RP-B401) (INFERRED-BY-PATTERN, confidence 0.92). Step 2 — Contradiction Detection: CONTRADICTION DETECTED. The inspector nominates CO2 corrosion, but the CFI engine has inferred that duplex stainless steel is highly resistant to CO2 at 50 ppm. This creates an observation-inference contradiction: the observed wall loss is inconsistent with the nominated mechanism given the resolved material. Contradiction severity: WARNING (not blocking, because the wall loss is real regardless of mechanism). Step 3 — Bayesian DDE with Inspector Override: The inspector-nominated CO2 corrosion is forced to survive pruning (inspector guarantee) and receives a 3x prior boost. However, log-likelihood scoring strongly penalizes CO2 for duplex steel (log-likelihood: −1.8). Competing mechanisms score higher: microbiologically influenced corrosion (MIC) receives positive contributions from subsea environment (+1.9), localized pattern at 3 o’clock (+1.4), moderate marine growth indicating biological activity (+1.2). Under-deposit corrosion receives contributions from the localized pattern (+1.3) and the 3 o’clock position suggesting bottom-of-pipe accumulation (+1.0). Posteriors: MIC 52.1%, under-deposit corrosion 24.3%, CO2 corrosion 11.8% (despite 3x boost, log-likelihood evidence overwhelms the prior), pitting 7.2%, others &lt;5%. The system retains CO2 in the output (inspector guarantee) but flags it as third-ranked with a note that the evidence does not support it as the dominant mechanism. Step 4 — Cyclic Re-processing: The contradiction triggers re-entry into the cyclic deterministic decision core at State 1. On re-processing, the system incorporates the MIC finding and evaluates the CP potential: −780 mV is below the DNV-RP-B401 minimum of −800 mV for duplex in seawater, indicating underprotection that increases external corrosion risk as a compounding factor. The system flags this as a compound-mechanism scenario: internal MIC + external CP underprotection. Step 5 — Authority Lock: DNV-OS-F101 Section 12: requires engineering assessment when intelligent pig data shows wall loss exceeding 10% in a subsea pipeline. API 579-1 Part 4: Level 1 assessment for general metal loss. DNV-RP-B401: CP potential non-compliant. All clauses bind to ENGINEERING_REVIEW. Step 6 — Constrained Synthesis: The system produces a report identifying MIC as the dominant mechanism (52.1%), noting the contradiction with the inspector’s CO2 nomination, recommending MIC confirmatory testing (biocide efficacy test, bacterial culture), and flagging the CP underprotection as a separate action item. Final Disposition: ENGINEERING_REVIEW with compound-mechanism flag.</w:t>
      </w:r>
    </w:p>
    <w:p>
      <w:pPr>
        <w:spacing w:after="100" w:before="160" w:line="320"/>
        <w:jc w:val="both"/>
      </w:pPr>
      <w:r>
        <w:rPr>
          <w:rFonts w:ascii="Times New Roman" w:cs="Times New Roman" w:eastAsia="Times New Roman" w:hAnsi="Times New Roman"/>
          <w:b/>
          <w:sz w:val="22"/>
          <w:szCs w:val="22"/>
        </w:rPr>
        <w:t xml:space="preserve">Example 5: Floating Production Platform — Multi-System Cascade Assessment</w:t>
      </w:r>
    </w:p>
    <w:p>
      <w:pPr>
        <w:spacing w:after="120" w:before="0" w:line="320"/>
        <w:ind w:firstLine="360"/>
        <w:jc w:val="both"/>
      </w:pPr>
      <w:r>
        <w:rPr>
          <w:rFonts w:ascii="Times New Roman" w:cs="Times New Roman" w:eastAsia="Times New Roman" w:hAnsi="Times New Roman"/>
          <w:sz w:val="22"/>
          <w:szCs w:val="22"/>
        </w:rPr>
        <w:t xml:space="preserve">Inspector Input: “FPSO turret bearing structure, AH36 shipbuilding steel, 12 years service in West Africa. UT grid survey of turret support ring shows 22% wall loss on windward quadrant, 8% on leeward. Fatigue cracks found at two bracket toes, 15mm and 22mm long. Mooring chain fairlead shows wear groove 4mm deep. Motion monitoring shows roll period has shifted from 14s to 11s over 3 years. Last drydock was 6 years ago. Class survey per DNV Rules for Classification of Floating Production Installations.”</w:t>
      </w:r>
    </w:p>
    <w:p>
      <w:pPr>
        <w:spacing w:after="120" w:before="0" w:line="320"/>
        <w:ind w:firstLine="360"/>
        <w:jc w:val="both"/>
      </w:pPr>
      <w:r>
        <w:rPr>
          <w:rFonts w:ascii="Times New Roman" w:cs="Times New Roman" w:eastAsia="Times New Roman" w:hAnsi="Times New Roman"/>
          <w:sz w:val="22"/>
          <w:szCs w:val="22"/>
        </w:rPr>
        <w:t xml:space="preserve">This example demonstrates the comprehensive assessment orchestrator coordinating multiple domain-specialized engines across a single complex asset. Step 1 — Orchestrator Routing: The orchestrator identifies three concurrent assessment threads: (Thread A) structural integrity of turret support ring — routed to the floating platform assessment engine; (Thread B) fatigue crack assessment at bracket toes — routed to the fatigue and vibration engine; (Thread C) mooring system wear assessment — routed to the mooring system assessment engine. Additionally, the motion monitoring data triggers the motion and hydrodynamics engine. Step 2 — Thread A (Structural): DDE identifies accelerated corrosion on windward quadrant (22% vs 8% leeward) as consistent with wave-impact-accelerated corrosion. The asymmetric pattern is a strong discriminator. Authority lock binds to DNV Classification Rules Section 3.4: structural members with wall loss exceeding 20% require immediate engineering assessment. Step 3 — Thread B (Fatigue): The fatigue engine evaluates the bracket toe cracks: 15mm and 22mm crack lengths at fatigue-prone detail category F2 (bracket toe). S-N curve assessment per DNV-RP-C203: at 12 years and observed crack lengths, the fatigue utilization is estimated at 0.85 (approaching limit of 1.0). The shifted roll period (14s to 11s) indicates changed loading spectrum, potentially accelerating fatigue. Step 4 — Thread C (Mooring): The mooring engine evaluates 4mm wear groove on fairlead: per API RP 2SK and DNV-OS-E301, fairlead wear exceeding 3mm typically requires detailed assessment of mooring chain engagement geometry. Step 5 — Cross-Thread Cascade Analysis: The orchestrator identifies a cascade risk: the shifted roll period (Thread B finding) affects both the fatigue loading (Thread B) and the mooring loads (Thread C). The structural wall loss (Thread A) reduces the turret’s ability to absorb the increased dynamic loads. The cascade engine escalates the overall assessment: any single thread might yield ENGINEERING_REVIEW, but the combination of degraded structure + active fatigue cracking + changed dynamic response + mooring wear creates a compound risk that requires immediate attention. Step 6 — Final Disposition: CRITICAL-REPLACE for the turret support ring (structural thread), ENGINEERING_REVIEW for fatigue cracks (with urgent timeline), INCREASE_INSPECTION for mooring system. The orchestrator’s overall assessment is CRITICAL with cascade risk flag, requiring simultaneous engineering action on all three threads because addressing any single thread in isolation could miss the systemic degradation pattern.</w:t>
      </w:r>
    </w:p>
    <w:p>
      <w:pPr>
        <w:pStyle w:val="Heading2"/>
        <w:spacing w:after="140" w:before="240"/>
        <w:jc w:val="left"/>
      </w:pPr>
      <w:r>
        <w:rPr>
          <w:rFonts w:ascii="Times New Roman" w:cs="Times New Roman" w:eastAsia="Times New Roman" w:hAnsi="Times New Roman"/>
          <w:b/>
          <w:bCs/>
          <w:sz w:val="24"/>
          <w:szCs w:val="24"/>
        </w:rPr>
        <w:t xml:space="preserve">19. Dynamic Code Ingestion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includes a code ingestion subsystem that accepts published engineering codes in their native form (PDF, HTML, structured text) and converts them into machine-readable rule structures usable by the authority lock. The subsystem identifies clause boundaries, extracts conditional structures ("if X, then Y shall Z"), resolves cross-references, and produces a structured representation in which each rule is traceable to its originating clause. New or revised codes may be ingested without modification of the decision core. This permits the System to remain current as codes evolve, without requiring re-validation of the underlying physics reasoning.</w:t>
      </w:r>
    </w:p>
    <w:p>
      <w:pPr>
        <w:pStyle w:val="Heading2"/>
        <w:spacing w:after="140" w:before="240"/>
        <w:jc w:val="left"/>
      </w:pPr>
      <w:r>
        <w:rPr>
          <w:rFonts w:ascii="Times New Roman" w:cs="Times New Roman" w:eastAsia="Times New Roman" w:hAnsi="Times New Roman"/>
          <w:b/>
          <w:bCs/>
          <w:sz w:val="24"/>
          <w:szCs w:val="24"/>
        </w:rPr>
        <w:t xml:space="preserve">20. Audit Trail and Reproducibility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Every disposition issued by the System is accompanied by a complete, machine-readable audit trail comprising: (a) the input as received; (b) the normalized structured representation after the voice grammar bridge; (c) the resolved domain, environment, material, and architectural context; (d) the evidence provenance graph; (e) the candidate mechanism set with FMD scores; (f) the dominant mechanism with margin; (g) the timeline projection; (h) the binding code clauses; (i) any contradictions detected and how resolved; (j) any hard locks triggered; (k) the disposition issued; (l) the synthesis-layer LLM output; (m) the challenger-layer LLM output; and (n) the arbiter resolution.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Because the deterministic pipeline produces bitwise-identical outputs for identical inputs, the audit trail is fully reproducible. A reviewing engineer can replay the System on the audit trail input and confirm that the same disposition is reached.</w:t>
      </w:r>
    </w:p>
    <w:p>
      <w:pPr>
        <w:pStyle w:val="Heading2"/>
        <w:spacing w:after="140" w:before="240"/>
        <w:jc w:val="left"/>
      </w:pPr>
      <w:r>
        <w:rPr>
          <w:rFonts w:ascii="Times New Roman" w:cs="Times New Roman" w:eastAsia="Times New Roman" w:hAnsi="Times New Roman"/>
          <w:b/>
          <w:bCs/>
          <w:sz w:val="24"/>
          <w:szCs w:val="24"/>
        </w:rPr>
        <w:t xml:space="preserve">21. Generalized Authoritative-Knowledge Framework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architecture described in Sections 1-20 is one specific application of a more general inventive pattern that the inventor has identified and reduced to practice. The general pattern comprises: (a) a deterministic decision core that operates over a finite enumerated domain space; (b) one or more authoritative knowledge sources whose content has been ingested and bound to the decision core via an authority lock subsystem; (c) an evidence provenance engine that classifies inputs and constrains derived-output confidence; (d) a contradiction engine that prevents output of conclusions inconsistent with authoritative sources; (e) a hard-lock subsystem comprising enumerated trigger conditions that force defined safe-state outputs in domain-recognized risk conditions; (f) a constrained generative LLM operating in a synthesis-only role with prompt content fully determined by the deterministic pipeline state; and (g) a multi-LLM adversarial validation layer with deterministic arbitration.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This pattern is applicable to any decision domain in which authoritative knowledge sources govern correct outcomes and in which incorrect outputs carry safety, regulatory, or professional-qualification consequences. Engineering inspection codes (API, ASME, NACE, AWS) are one class of authoritative knowledge sources. Curriculum and certification standards (NCCER, SENSE, AWS QC1, AWS QC10, ASNT SNT-TC-1A, ASNT CP-189, API ICP, ADCI Consensus Standards, NACE coating inspector qualifications, OSHA 29 CFR Part 1910) are a second class. Regulatory requirements in other safety-critical domains, including aviation maintenance (FAA Part 145), nuclear inspection (10 CFR Part 50 Appendix B), and medical-device inspection, are further classes within the scope of the generalized pattern. The architecture remains the same; only the source corpus and the active decision domain change. Embodiments of the System may be configured for any one such class of authoritative knowledge sources, or may operate across multiple classes simultaneously through a domain selector that activates the corresponding authority lock and decision-core state space.</w:t>
      </w:r>
    </w:p>
    <w:p>
      <w:pPr>
        <w:pStyle w:val="Heading2"/>
        <w:spacing w:after="140" w:before="240"/>
        <w:jc w:val="left"/>
      </w:pPr>
      <w:r>
        <w:rPr>
          <w:rFonts w:ascii="Times New Roman" w:cs="Times New Roman" w:eastAsia="Times New Roman" w:hAnsi="Times New Roman"/>
          <w:b/>
          <w:bCs/>
          <w:sz w:val="24"/>
          <w:szCs w:val="24"/>
        </w:rPr>
        <w:t xml:space="preserve">22. Educational and Diagnostic Variant — Architecture Overview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second principal embodiment of the System, herein referred to as the "Educational Variant" or "Diagnostic Variant," applies the generalized pattern to expert-domain training, qualification preparation, and supervised practice. In this variant, the asset under inspection is replaced by a learner response (typed, spoken, drawn, or selected from structured options); the damage mechanism is replaced by a learner misconception or knowledge gap; the engineering code clause is replaced by a curriculum learning objective or certification body requirement; and the engineering disposition is replaced by an instructional response — which may comprise a corrective explanation, a worked example, a probing follow-up question, a recommendation for further practice, a curriculum gating action, or an instructor-escalation flag.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All structural elements of the architecture described in Sections 1-20 are retained in the Educational Variant. The cyclic six-state deterministic cyclic decision core is retained; only its state semantics shift from mechanism reasoning to misconception reasoning. The twelve-step deterministic pipeline is retained, with each step having a direct counterpart in the educational domain (described in Section 27 below). The evidence provenance engine, reality lock, word-boundary semantic validation, contradiction engine, hard-lock system, voice grammar bridge, constrained generative synthesis synthesis, and multi-LLM adversarial validation layers are retained without structural modification, requiring only re-binding of their corpora and rule sets to the educational domain. The novel subsystems specific to the Educational Variant are described in Sections 23-26 below.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produces, for each instructional response issued, a complete audit trail comprising: (i) the learner response as received; (ii) the resolved curriculum module, learning objective, and certification context; (iii) the learner's resolved prior knowledge state; (iv) the candidate misconception set with dominance scores; (v) the dominant misconception with margin; (vi) the bound curriculum or certification clause; (vii) any contradictions detected and how resolved; (viii) any pedagogical hard locks triggered; (ix) the instructional response issued; and (x) the synthesis-layer LLM output and challenger evaluation. As in the inspection domain, this audit trail is fully reproducible and supports both pedagogical review and certification body audit.</w:t>
      </w:r>
    </w:p>
    <w:p>
      <w:pPr>
        <w:pStyle w:val="Heading2"/>
        <w:spacing w:after="140" w:before="240"/>
        <w:jc w:val="left"/>
      </w:pPr>
      <w:r>
        <w:rPr>
          <w:rFonts w:ascii="Times New Roman" w:cs="Times New Roman" w:eastAsia="Times New Roman" w:hAnsi="Times New Roman"/>
          <w:b/>
          <w:bCs/>
          <w:sz w:val="24"/>
          <w:szCs w:val="24"/>
        </w:rPr>
        <w:t xml:space="preserve">23. Student Response Classifier (Student Copy Mapper)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Student Response Classifier, herein also referred to as the "Student Copy Mapper," is the educational-variant analog of the input normalization, asset identity resolution, and entity extraction layers of the inspection pipeline. The classifier receives a learner response and maps it to a position within a finite enumerated misconception space defined by the active curriculum module. Each position in the space is associated with: (a) the curriculum learning objective(s) the response indicates the learner has not yet mastered; (b) the prerequisite knowledge the response demonstrates the learner has, lacks, or has not yet exercised; (c) a finite enumerated set of corrective instructional templates; and (d) a difficulty and safety-criticality classification.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directed to welding inspector preparation, the classifier maintains an enumerated set of at least 23 instructional templates per controlled curriculum objective. Each template addresses a distinct combination of (i) the specific misconception detected, (ii) the learner's prior demonstrated knowledge state, (iii) the recommended corrective approach (visual demonstration, step-by-step worked example, conceptual reframing, prerequisite remediation, hands-on lab assignment, or further-practice scaffolding), and (iv) the curriculum-mandated assessment threshold required for advancement past the objective. The mapping function from learner response to instructional template is deterministic; for any given learner response and prior-knowledge state, the mapped template is reproducible and traceable. This determinism is essential to certification body audit acceptance.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classifier is implemented using the same word-boundary semantic validation subsystem described in Section 7. Free-form learner text — including informal language, abbreviations, and the disfluencies of dictated responses — is processed through enforced word-boundary extraction, preventing the substring-collision failure modes that would otherwise misclassify learner responses (e.g., a learner discussing a weld "undercut" should not be falsely matched against "underbead," and a discussion of "stringer beads" should not be falsely matched against unrelated "stringers" in structural contexts).</w:t>
      </w:r>
    </w:p>
    <w:p>
      <w:pPr>
        <w:pStyle w:val="Heading2"/>
        <w:spacing w:after="140" w:before="240"/>
        <w:jc w:val="left"/>
      </w:pPr>
      <w:r>
        <w:rPr>
          <w:rFonts w:ascii="Times New Roman" w:cs="Times New Roman" w:eastAsia="Times New Roman" w:hAnsi="Times New Roman"/>
          <w:b/>
          <w:bCs/>
          <w:sz w:val="24"/>
          <w:szCs w:val="24"/>
        </w:rPr>
        <w:t xml:space="preserve">24. Misconception Dominance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Misconception Dominance Engine is the educational-variant analog of the failure mode dominance (FMD) engine described in Section 8. Where multiple misconceptions are simultaneously plausible from a learner response, the engine ranks the candidates by a composite score reflecting: (i) consistency with the observed response signature; (ii) consistency with the learner's prior demonstrated knowledge; (iii) instructional efficiency, defined as the predicted reduction in downstream errors per unit of corrective instruction time; (iv) safety implications, where misconceptions that would lead to unsafe field practice are weighted more heavily than misconceptions of equal evidential weight without safety implications; and (v) historical base rate of the misconception within the active curriculum cohort.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outputs a single dominant misconception with quantified margin over secondary misconceptions. Where the margin between rank-1 and rank-2 falls below a configured threshold, the engine declares a tie and triggers either: (a) generation of a probing follow-up question targeted specifically at distinguishing the tied misconceptions; (b) routing of the case to the contradiction engine for additional consistency checking; or (c) where safety implications differ between the tied candidates, conservative selection of the misconception with the higher safety implication, on the same conservative-tie-breaking principle as the inspection-variant FMD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resists the prior-art failure mode in which adaptive learning platforms address peripheral errors while leaving the dominant underlying misconception uncorrected. By computing margin and instructional efficiency explicitly, the engine routes corrective instruction to the misconception whose remediation produces the greatest improvement in subsequent learner performance.</w:t>
      </w:r>
    </w:p>
    <w:p>
      <w:pPr>
        <w:pStyle w:val="Heading2"/>
        <w:spacing w:after="140" w:before="240"/>
        <w:jc w:val="left"/>
      </w:pPr>
      <w:r>
        <w:rPr>
          <w:rFonts w:ascii="Times New Roman" w:cs="Times New Roman" w:eastAsia="Times New Roman" w:hAnsi="Times New Roman"/>
          <w:b/>
          <w:bCs/>
          <w:sz w:val="24"/>
          <w:szCs w:val="24"/>
        </w:rPr>
        <w:t xml:space="preserve">25. Curriculum Authority Lock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Curriculum Authority Lock is the educational-variant analog of the engineering authority lock described in Section 6. The lock maintains structured representations of curriculum standards and certification body requirements, drawn from sources including, without limitation: NCCER welding curriculum modules and NCCER NDT modules; SENSE training program standards; AWS QC1 certification of welding inspectors; AWS QC10 certification of welders; AWS B5.1 certification of welding inspector specialists; ASNT SNT-TC-1A and ASNT CP-189 personnel qualification recommended practices; API Individual Certification Programs (ICP) for inspectors covering API 510, 570, 653, 580, and related codes; ADCI Consensus Standards for commercial diver and supervisor training; NACE coating inspector and corrosion technician qualifications; and OSHA 29 CFR Part 1910 Subpart T for commercial diving operations.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instructional response generated by the System is bound to one or more learning objectives or competency requirements of the controlling curriculum or certification body. The Curriculum Authority Lock refuses to issue an instructional response that: (i) confirms a learner practice that would, if executed in the field, violate an applicable safety standard; (ii) contradicts a binding curriculum requirement (for example, declaring as acceptable a weld profile that violates AWS D1.1 acceptance criteria, regardless of how plausible the learner's reasoning); (iii) would qualify a learner for advancement past a curriculum gate on the basis of demonstrably absent prerequisite knowledge; (iv) would credit a learner with completion of a competency requirement on the basis of evidence whose provenance does not satisfy the certification body's documentary standard; or (v) would issue a corrective response inconsistent with the controlling curriculum's instructional sequence (for example, teaching a topic before its prerequisites in a curriculum that explicitly requires prerequisite ordering).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Curriculum Authority Lock includes a curriculum-ingestion module functionally analogous to the engineering code-ingestion module of Section 19. New or revised curriculum standards may be ingested without modification of the deterministic decision core, permitting the System to be updated to reflect curriculum revisions or new certification body programs without re-validation of the underlying diagnostic reasoning.</w:t>
      </w:r>
    </w:p>
    <w:p>
      <w:pPr>
        <w:pStyle w:val="Heading2"/>
        <w:spacing w:after="140" w:before="240"/>
        <w:jc w:val="left"/>
      </w:pPr>
      <w:r>
        <w:rPr>
          <w:rFonts w:ascii="Times New Roman" w:cs="Times New Roman" w:eastAsia="Times New Roman" w:hAnsi="Times New Roman"/>
          <w:b/>
          <w:bCs/>
          <w:sz w:val="24"/>
          <w:szCs w:val="24"/>
        </w:rPr>
        <w:t xml:space="preserve">26. Pedagogical Hard-Lock Subsystem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Pedagogical Hard-Lock Subsystem is a finite enumerated set of trigger conditions specific to the Educational Variant, functionally analogous to the inspection-variant hard locks described in Section 12. Triggers include, without limitation: (1) the learner response, if applied in field practice, would produce an unsafe outcome — for example, approving a weld that violates AWS D1.1 acceptance criteria, or executing a dive in a configuration that violates ADCI Consensus Standards diver-supervisor ratios; (2) the learner response demonstrates a misconception that, in the controlling curriculum, requires explicit instructor-supervised remediation before learner progression; (3) the learner is attempting to advance to a curriculum module for which prerequisite mastery has not been demonstrated; (4) the learner has produced an identical or substantially identical misconception across a configured threshold of attempts, indicating a structural knowledge gap requiring instructor escalation; (5) the learner response, if interpreted as a request for the System to confirm a proposed practice, would constitute the System endorsing an unsafe field action; (6) the learner is approaching a certification examination simulation without having satisfied the certification body's prerequisite training-hour or performance requirements; and (7) the System has accumulated insufficient evidence (provenance below configured minimum) to support any instructional response with confidence.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When a pedagogical hard lock triggers, the System forces output to a defined safe state. Safe-state outputs include, without limitation: (a) a corrective response that explicitly identifies the safety-critical aspect of the learner's misconception, presented in a manner traceable to the binding code or standard; (b) an instructor-escalation flag that surfaces the case to a human supervisor with full audit-trail context; (c) a curriculum gating action that prevents the learner from advancing past the unmastered topic regardless of the learner's other progress; (d) a referral to specific remedial materials drawn from the controlling curriculum; or (e) some combination of the foregoing. As with the inspection-variant hard locks, pedagogical hard-lock outputs are not subject to LLM synthesis, are surfaced verbatim, and cannot be overridden by LLM rationalization or learner pushback.</w:t>
      </w:r>
    </w:p>
    <w:p>
      <w:pPr>
        <w:pStyle w:val="Heading2"/>
        <w:spacing w:after="140" w:before="240"/>
        <w:jc w:val="left"/>
      </w:pPr>
      <w:r>
        <w:rPr>
          <w:rFonts w:ascii="Times New Roman" w:cs="Times New Roman" w:eastAsia="Times New Roman" w:hAnsi="Times New Roman"/>
          <w:b/>
          <w:bCs/>
          <w:sz w:val="24"/>
          <w:szCs w:val="24"/>
        </w:rPr>
        <w:t xml:space="preserve">27. Diagnostic Reasoning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diagnostic reasoning pipeline of the Educational Variant is the direct analog of the engineering twelve-step pipeline of Section 3. Each step has a counterpart that retains the same pure-function determinism property:</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 — Response Tokenization. The learner response is tokenized using word-boundary-enforced extraction (Section 7).</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2 — Learner Identity Resolution. The learner is resolved against a platform user registry, including their accumulated prior performance history, current curriculum position, and certification track.</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3 — Curricular Context Resolution. The active curriculum module, learning objective, and progression position are resolved.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4 — Prerequisite Resolution. The learner's demonstrated prior knowledge is resolved against the prerequisite map of the active learning objective.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5 — Pedagogical Context Resolution. The instructional setting (lecture, lab, supervised practice, examination simulation, unsupervised review) is resolved, as different settings carry different acceptable instructional response types and different hard-lock thresholds.</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6 — Response Evidence Classification. The learner response is decomposed into evidence categories: what the response demonstrates the learner OBSERVED-LY knows; what is INFERRED from response patterns; and what is ASSUMED by default in the absence of direct evidence.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7 — Misconception Candidate Generation. Candidate misconceptions consistent with the response and the learner's prerequisite state are enumerated from the active curriculum's misconception space.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8 — Misconception Dominance Scoring. Candidates are scored by the Misconception Dominance Engine (Section 24).</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9 — Learning Trajectory Projection. The projected learner progression under the recommended instructional response is projected, including time-to-mastery and risk of recurrence.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10 — Curriculum Authority Binding. The applicable curriculum learning objective and certification body requirement are bound (Section 25).</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11 — Pedagogical Contradiction Check. Contradictions are detected, including: would the recommended response contradict the curriculum's instructional sequence? would it endorse an unsafe practice? would it advance the learner past an unmastered prerequisite? would it credit the learner with mastery on insufficient evidence?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12 — Instructional Response Gate. The instructional response is issued or blocked based on the outcomes of the prior eleven steps and the Pedagogical Hard-Lock Subsystem (Section 26).</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pipeline is testable through a regression suite directly analogous to the inspection-variant suite. In a particular embodiment, a 52-test regression suite covers the principal misconception categories within the welding-inspection curriculum, including weld profile misclassification, acceptance-criterion confusion, NDT method-discontinuity mismatch, code-applicability errors, and material-process compatibility errors. Each test scenario produces a deterministic expected output that the System must reproduce on each release.</w:t>
      </w:r>
    </w:p>
    <w:p>
      <w:r>
        <w:br w:type="page"/>
      </w:r>
    </w:p>
    <w:p>
      <w:pPr>
        <w:pStyle w:val="Heading1"/>
        <w:spacing w:after="200" w:before="360"/>
        <w:jc w:val="left"/>
      </w:pPr>
      <w:r>
        <w:rPr>
          <w:rFonts w:ascii="Times New Roman" w:cs="Times New Roman" w:eastAsia="Times New Roman" w:hAnsi="Times New Roman"/>
          <w:b/>
          <w:bCs/>
          <w:sz w:val="26"/>
          <w:szCs w:val="26"/>
        </w:rPr>
        <w:t xml:space="preserve">ALTERNATIVE EMBODIMENTS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invention may be practiced in any of the following non-limiting embodiments, each of which retains the core architectural innovations described above:</w:t>
      </w:r>
    </w:p>
    <w:p>
      <w:pPr>
        <w:pStyle w:val="Heading2"/>
        <w:spacing w:after="140" w:before="240"/>
        <w:jc w:val="left"/>
      </w:pPr>
      <w:r>
        <w:rPr>
          <w:rFonts w:ascii="Times New Roman" w:cs="Times New Roman" w:eastAsia="Times New Roman" w:hAnsi="Times New Roman"/>
          <w:b/>
          <w:bCs/>
          <w:sz w:val="24"/>
          <w:szCs w:val="24"/>
        </w:rPr>
        <w:t xml:space="preserve">Embodiment A: Full Pipeline Web Application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application implementing all subsystems described in Sections 1-20, deployed as a serverless backend with a React-based frontend, accessible from desktop and mobile browsers. This is the principal embodiment.</w:t>
      </w:r>
    </w:p>
    <w:p>
      <w:pPr>
        <w:pStyle w:val="Heading2"/>
        <w:spacing w:after="140" w:before="240"/>
        <w:jc w:val="left"/>
      </w:pPr>
      <w:r>
        <w:rPr>
          <w:rFonts w:ascii="Times New Roman" w:cs="Times New Roman" w:eastAsia="Times New Roman" w:hAnsi="Times New Roman"/>
          <w:b/>
          <w:bCs/>
          <w:sz w:val="24"/>
          <w:szCs w:val="24"/>
        </w:rPr>
        <w:t xml:space="preserve">Embodiment B: Mobile Field Inspection Companion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mobile-first application optimized for field use, comprising a voice-driven inspection capture interface, on-device draft of the voice grammar bridge, and synchronized backend processing. The mobile embodiment retains all safety-critical reasoning on the backend; the on-device component handles only input capture and offline queueing.</w:t>
      </w:r>
    </w:p>
    <w:p>
      <w:pPr>
        <w:pStyle w:val="Heading2"/>
        <w:spacing w:after="140" w:before="240"/>
        <w:jc w:val="left"/>
      </w:pPr>
      <w:r>
        <w:rPr>
          <w:rFonts w:ascii="Times New Roman" w:cs="Times New Roman" w:eastAsia="Times New Roman" w:hAnsi="Times New Roman"/>
          <w:b/>
          <w:bCs/>
          <w:sz w:val="24"/>
          <w:szCs w:val="24"/>
        </w:rPr>
        <w:t xml:space="preserve">Embodiment C: Enterprise Multi-Tenant Deployment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multi-tenant version deployed to enterprise customers with tenant-segregated audit trails, role-based access control, and integration adapters for enterprise asset management systems (PCMS, Meridium, Synergi).</w:t>
      </w:r>
    </w:p>
    <w:p>
      <w:pPr>
        <w:pStyle w:val="Heading2"/>
        <w:spacing w:after="140" w:before="240"/>
        <w:jc w:val="left"/>
      </w:pPr>
      <w:r>
        <w:rPr>
          <w:rFonts w:ascii="Times New Roman" w:cs="Times New Roman" w:eastAsia="Times New Roman" w:hAnsi="Times New Roman"/>
          <w:b/>
          <w:bCs/>
          <w:sz w:val="24"/>
          <w:szCs w:val="24"/>
        </w:rPr>
        <w:t xml:space="preserve">Embodiment D: Standalone Subsystem Licensing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Individual subsystems — in particular the authority lock, the evidence provenance engine, the FMD engine, and the contradiction engine — may be deployed as standalone licensable modules accessed via API. Each subsystem retains its core innovation and may be integrated into third-party inspection platforms.</w:t>
      </w:r>
    </w:p>
    <w:p>
      <w:pPr>
        <w:pStyle w:val="Heading2"/>
        <w:spacing w:after="140" w:before="240"/>
        <w:jc w:val="left"/>
      </w:pPr>
      <w:r>
        <w:rPr>
          <w:rFonts w:ascii="Times New Roman" w:cs="Times New Roman" w:eastAsia="Times New Roman" w:hAnsi="Times New Roman"/>
          <w:b/>
          <w:bCs/>
          <w:sz w:val="24"/>
          <w:szCs w:val="24"/>
        </w:rPr>
        <w:t xml:space="preserve">Embodiment E: Domain-Specialized Variants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may be specialized to particular asset domains — for example, an offshore-only embodiment, an underwater-only embodiment, an atmospheric storage tank embodiment, or a welding inspection embodiment (in which the FMD engine ranks weld discontinuities rather than corrosion mechanisms, and the authority lock binds AWS rather than API codes). Each domain-specialized variant retains the core architectural pattern.</w:t>
      </w:r>
    </w:p>
    <w:p>
      <w:pPr>
        <w:pStyle w:val="Heading2"/>
        <w:spacing w:after="140" w:before="240"/>
        <w:jc w:val="left"/>
      </w:pPr>
      <w:r>
        <w:rPr>
          <w:rFonts w:ascii="Times New Roman" w:cs="Times New Roman" w:eastAsia="Times New Roman" w:hAnsi="Times New Roman"/>
          <w:b/>
          <w:bCs/>
          <w:sz w:val="24"/>
          <w:szCs w:val="24"/>
        </w:rPr>
        <w:t xml:space="preserve">Embodiment F: Companion Welding Inspection 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companion embodiment, herein referred to as the welding-inspection variant, applies the same architectural pattern to welding-process and weld-discontinuity evaluation. The cyclic deterministic decision core is retained, with State 3 generating discontinuity candidates rather than damage mechanism candidates. The authority lock binds AWS D1.1, AWS D1.5, AWS D1.6, ASME Section IX, and analogous welding codes. The FMD engine ranks discontinuity classifications by acceptance-criteria implication. The reality lock domain set is restricted to weld geometries (groove, fillet, tube-to-tubesheet, etc.). All other subsystems are retained.</w:t>
      </w:r>
    </w:p>
    <w:p>
      <w:pPr>
        <w:pStyle w:val="Heading2"/>
        <w:spacing w:after="140" w:before="240"/>
        <w:jc w:val="left"/>
      </w:pPr>
      <w:r>
        <w:rPr>
          <w:rFonts w:ascii="Times New Roman" w:cs="Times New Roman" w:eastAsia="Times New Roman" w:hAnsi="Times New Roman"/>
          <w:b/>
          <w:bCs/>
          <w:sz w:val="24"/>
          <w:szCs w:val="24"/>
        </w:rPr>
        <w:t xml:space="preserve">Embodiment G: Campaign Mode (Fleet-Level)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extension in which the System processes a fleet of related assets simultaneously, identifying systemic patterns across the fleet that would not be apparent in single-asset processing. The campaign-mode embodiment introduces a fleet-level layer above the per-asset cyclic deterministic decision core, in which fleet-level patterns can trigger re-evaluation of individual asset dispositions.</w:t>
      </w:r>
    </w:p>
    <w:p>
      <w:pPr>
        <w:pStyle w:val="Heading2"/>
        <w:spacing w:after="140" w:before="240"/>
        <w:jc w:val="left"/>
      </w:pPr>
      <w:r>
        <w:rPr>
          <w:rFonts w:ascii="Times New Roman" w:cs="Times New Roman" w:eastAsia="Times New Roman" w:hAnsi="Times New Roman"/>
          <w:b/>
          <w:bCs/>
          <w:sz w:val="24"/>
          <w:szCs w:val="24"/>
        </w:rPr>
        <w:t xml:space="preserve">Embodiment H: Photographic and CAD Input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extension permitting photographic upload, in which a vision-capable LLM extracts visible features (corrosion patterns, weld geometry, gauge readings) into the normalized representation, after which all downstream processing proceeds as in the principal embodiment. CAD model upload is similarly supported, with geometry parsed into the architectural reality engine.</w:t>
      </w:r>
    </w:p>
    <w:p>
      <w:pPr>
        <w:pStyle w:val="Heading2"/>
        <w:spacing w:after="140" w:before="240"/>
        <w:jc w:val="left"/>
      </w:pPr>
      <w:r>
        <w:rPr>
          <w:rFonts w:ascii="Times New Roman" w:cs="Times New Roman" w:eastAsia="Times New Roman" w:hAnsi="Times New Roman"/>
          <w:b/>
          <w:bCs/>
          <w:sz w:val="24"/>
          <w:szCs w:val="24"/>
        </w:rPr>
        <w:t xml:space="preserve">Embodiment I: Welding Education and CWI Preparation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educational platform implementing the Educational Variant (Sections 22-27) directed to preparation of learners for the AWS Certified Welding Inspector (CWI) examination and analogous welding-inspection qualifications. The platform comprises the full deterministic decision core; the Student Response Classifier with a library of at least 23 instructional templates per curriculum learning objective; the Misconception Dominance Engine; the Curriculum Authority Lock bound to AWS QC1, AWS D1.1, AWS D1.5, AWS D1.6, AWS B5.1, ASME Section IX, and applicable NCCER and SENSE curriculum modules; and the full Pedagogical Hard-Lock Subsystem with welding-domain-specific safety triggers.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of this Embodiment I, the platform additionally implements: (a) a discontinuity recognition layer that processes uploaded weld photographs through a vision-capable LLM, with extracted features (porosity, undercut, slag inclusion, lack of fusion, crater cracks, etc.) routed through the same word-boundary semantic validation and dominance-scoring pipeline as inspection-variant inputs; (b) a code-section navigator that surfaces the binding AWS clause text for each instructional response; (c) a CWI examination simulator that operates the Pedagogical Hard-Lock Subsystem with examination-mode triggers (no hint provision, certification-body documentary standards for response evidence); and (d) integration with the inspection-variant of the System for learners transitioning from supervised practice to professional inspection. This embodiment is reduced to practice in the inventor's working software platform deployed at the URL forgedweldscan.com.</w:t>
      </w:r>
    </w:p>
    <w:p>
      <w:pPr>
        <w:pStyle w:val="Heading2"/>
        <w:spacing w:after="140" w:before="240"/>
        <w:jc w:val="left"/>
      </w:pPr>
      <w:r>
        <w:rPr>
          <w:rFonts w:ascii="Times New Roman" w:cs="Times New Roman" w:eastAsia="Times New Roman" w:hAnsi="Times New Roman"/>
          <w:b/>
          <w:bCs/>
          <w:sz w:val="24"/>
          <w:szCs w:val="24"/>
        </w:rPr>
        <w:t xml:space="preserve">Embodiment J: Commercial Diving Training and Qualification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educational platform implementing the Educational Variant directed to preparation of commercial diver candidates and supervisor candidates for ADCI-recognized certifications and analogous credentials. The Curriculum Authority Lock is bound to ADCI Consensus Standards (current edition), OSHA 29 CFR 1910 Subpart T, U.S. Navy Diving Manual provisions adopted by ADCI, applicable U.S. Coast Guard regulations, and equivalent standards for non-U.S. jurisdictions including IMCA International Code of Practice for Offshore Diving.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Pedagogical Hard-Lock Subsystem includes diving-domain-specific triggers, including without limitation: (i) decompression schedule deviations beyond stated limits; (ii) gas mixture errors with consequences for hypoxia, hyperoxia, or inert gas narcosis; (iii) bottom-time computations exceeding no-decompression limits without surface-supplied or staged-decompression provisions; (iv) supervisor-to-diver ratios violating ADCI minima; (v) emergency procedures (lost diver, fouled umbilical, ascending bell entrapment) where learner response would delay or compromise rescue; and (vi) equipment configurations not authorized for the planned dive profile. Each pedagogical hard lock surfaces the binding ADCI clause and routes the case to instructor escalation. The Educational Variant's Misconception Dominance Engine is configured with diving-specific misconception space derived from documented training failure modes in commercial diving education.</w:t>
      </w:r>
    </w:p>
    <w:p>
      <w:pPr>
        <w:pStyle w:val="Heading2"/>
        <w:spacing w:after="140" w:before="240"/>
        <w:jc w:val="left"/>
      </w:pPr>
      <w:r>
        <w:rPr>
          <w:rFonts w:ascii="Times New Roman" w:cs="Times New Roman" w:eastAsia="Times New Roman" w:hAnsi="Times New Roman"/>
          <w:b/>
          <w:bCs/>
          <w:sz w:val="24"/>
          <w:szCs w:val="24"/>
        </w:rPr>
        <w:t xml:space="preserve">Embodiment K: NDT Technician Training and Qualification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educational platform implementing the Educational Variant directed to preparation of NDT technician candidates for ASNT Level I, Level II, and Level III qualifications under SNT-TC-1A or CP-189, and analogous qualification programs. The Curriculum Authority Lock is bound to ASNT recommended practices, employer written practices implementing those recommended practices, and applicable industry-specific qualification standards (API ICP for NDT in petrochemical, AWS endorsements for welding-related NDT, NAVSEA Tech Pubs for naval applications).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Misconception Dominance Engine is configured with NDT-method-specific misconception spaces covering, without limitation: ultrasonic testing (calibration block selection, transducer frequency selection, gate setting, signal interpretation); radiographic testing (technique selection, density and sensitivity verification, indication interpretation); magnetic particle testing (technique applicability, magnetization adequacy, indication classification); liquid penetrant testing (penetration time, dwell time, indication evaluation); eddy current testing (probe selection, lift-off compensation, signal interpretation); visual testing (lighting, surface preparation, acceptance criteria application); and emerging methods (phased array UT, time-of-flight diffraction, automated UT, computed radiography). Each method's misconception space is bound to the corresponding ASNT recommended practice clauses and the employer's written practice.</w:t>
      </w:r>
    </w:p>
    <w:p>
      <w:pPr>
        <w:pStyle w:val="Heading2"/>
        <w:spacing w:after="140" w:before="240"/>
        <w:jc w:val="left"/>
      </w:pPr>
      <w:r>
        <w:rPr>
          <w:rFonts w:ascii="Times New Roman" w:cs="Times New Roman" w:eastAsia="Times New Roman" w:hAnsi="Times New Roman"/>
          <w:b/>
          <w:bCs/>
          <w:sz w:val="24"/>
          <w:szCs w:val="24"/>
        </w:rPr>
        <w:t xml:space="preserve">Embodiment L: Generalized Expert-Domain Tutoring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platform implementation of the generalized authoritative-knowledge framework of Section 21, configured to support multiple expert domains through a domain selector that loads the appropriate authority lock content, decision-core state space, and hard-lock trigger set for the active domain. In one embodiment, a single platform instance supports inspection (Embodiment A), welding education (Embodiment I), commercial diving training (Embodiment J), and NDT technician training (Embodiment K) simultaneously, with each user session bound to a specific domain configuration and with the System enforcing strict separation between domains via the reality lock and authority lock subsystems.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generalized embodiment additionally supports configuration for further safety-critical or qualification-relevant domains within the same architectural framework, including without limitation: aviation maintenance training under FAA Part 147; nuclear inspector qualification under 10 CFR Part 50 Appendix B and ANSI/ASME N45.2.6; medical-device inspection training; and pipeline integrity-management training under 49 CFR Parts 192 and 195 and API 1160 / API 1163. The architecture is not limited to the foregoing domains; any domain in which authoritative knowledge sources govern correct outcomes and in which incorrect outcomes carry safety, regulatory, or qualification consequences is within the scope of the generalized embodiment.</w:t>
      </w:r>
    </w:p>
    <w:p>
      <w:r>
        <w:br w:type="page"/>
      </w:r>
    </w:p>
    <w:p>
      <w:pPr>
        <w:pStyle w:val="Heading1"/>
        <w:spacing w:after="200" w:before="360"/>
        <w:jc w:val="left"/>
      </w:pPr>
      <w:r>
        <w:rPr>
          <w:rFonts w:ascii="Times New Roman" w:cs="Times New Roman" w:eastAsia="Times New Roman" w:hAnsi="Times New Roman"/>
          <w:b/>
          <w:bCs/>
          <w:sz w:val="26"/>
          <w:szCs w:val="26"/>
        </w:rPr>
        <w:t xml:space="preserve">EXAMPLE OF OPERATION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non-limiting example illustrates operation of the System on a representative inspection scenario.</w:t>
      </w:r>
    </w:p>
    <w:p>
      <w:pPr>
        <w:pStyle w:val="Heading3"/>
        <w:spacing w:after="120" w:before="180"/>
        <w:jc w:val="left"/>
      </w:pPr>
      <w:r>
        <w:rPr>
          <w:rFonts w:ascii="Times New Roman" w:cs="Times New Roman" w:eastAsia="Times New Roman" w:hAnsi="Times New Roman"/>
          <w:b/>
          <w:bCs/>
          <w:i/>
          <w:iCs/>
          <w:sz w:val="22"/>
          <w:szCs w:val="22"/>
        </w:rPr>
        <w:t xml:space="preserve">Scenario: Sour Amine Service, 8-Inch Carbon Steel Process 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inspector dictates the following voice note: "Eight inch carbon steel line on the lean amine return, just downstream of the regenerator overhead exchanger. Got UT readings showing wall loss to 0.187 from nominal 0.322. Some hardness elevation in the heat affected zone of the recent repair weld at flange F-204. Temperature reads 240 F operating. Looking for hydrogen blistering on the bottom but I'm not seeing any. Pitting visible on the 6 o'clock around the elbow."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processes this scenario as follows:</w:t>
      </w:r>
    </w:p>
    <w:p>
      <w:pPr>
        <w:pStyle w:val="ListParagraph"/>
        <w:numPr>
          <w:ilvl w:val="0"/>
          <w:numId w:val="2"/>
        </w:numPr>
        <w:spacing w:after="60" w:before="60" w:line="300"/>
      </w:pPr>
      <w:r>
        <w:rPr>
          <w:rFonts w:ascii="Times New Roman" w:cs="Times New Roman" w:eastAsia="Times New Roman" w:hAnsi="Times New Roman"/>
          <w:sz w:val="22"/>
          <w:szCs w:val="22"/>
        </w:rPr>
        <w:t xml:space="preserve">Voice grammar bridge normalizes the input. Asset is resolved to an 8-inch process piping segment in lean amine service. Material is resolved to carbon steel (specification class A106-B by default in absence of explicit grade).</w:t>
      </w:r>
    </w:p>
    <w:p>
      <w:pPr>
        <w:pStyle w:val="ListParagraph"/>
        <w:numPr>
          <w:ilvl w:val="0"/>
          <w:numId w:val="2"/>
        </w:numPr>
        <w:spacing w:after="60" w:before="60" w:line="300"/>
      </w:pPr>
      <w:r>
        <w:rPr>
          <w:rFonts w:ascii="Times New Roman" w:cs="Times New Roman" w:eastAsia="Times New Roman" w:hAnsi="Times New Roman"/>
          <w:sz w:val="22"/>
          <w:szCs w:val="22"/>
        </w:rPr>
        <w:t xml:space="preserve">Reality lock assigns the asset to domain: process piping. Domain assignment is unambiguous; gating succeeds.</w:t>
      </w:r>
    </w:p>
    <w:p>
      <w:pPr>
        <w:pStyle w:val="ListParagraph"/>
        <w:numPr>
          <w:ilvl w:val="0"/>
          <w:numId w:val="2"/>
        </w:numPr>
        <w:spacing w:after="60" w:before="60" w:line="300"/>
      </w:pPr>
      <w:r>
        <w:rPr>
          <w:rFonts w:ascii="Times New Roman" w:cs="Times New Roman" w:eastAsia="Times New Roman" w:hAnsi="Times New Roman"/>
          <w:sz w:val="22"/>
          <w:szCs w:val="22"/>
        </w:rPr>
        <w:t xml:space="preserve">Environmental classification: amine service, 240°F operating, presence of regenerator overhead implies wet service with H2S potential. Environment class: lean amine, wet, with potential for stress corrosion cracking and pitting.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Material resolution: A106-B carbon steel; allowable temperature satisfies. Hardness elevation in HAZ is flagged for cross-check against NACE MR0175 hardness limit (22 HRC) for wet H2S service. (As-measured hardness value is required input; if absent, an INFERRED-HIGH provenance flag is raised.)</w:t>
      </w:r>
    </w:p>
    <w:p>
      <w:pPr>
        <w:pStyle w:val="ListParagraph"/>
        <w:numPr>
          <w:ilvl w:val="0"/>
          <w:numId w:val="2"/>
        </w:numPr>
        <w:spacing w:after="60" w:before="60" w:line="300"/>
      </w:pPr>
      <w:r>
        <w:rPr>
          <w:rFonts w:ascii="Times New Roman" w:cs="Times New Roman" w:eastAsia="Times New Roman" w:hAnsi="Times New Roman"/>
          <w:sz w:val="22"/>
          <w:szCs w:val="22"/>
        </w:rPr>
        <w:t xml:space="preserve">Architectural context: piping run with elbow, recent flange repair weld, heat-affected zone present at F-204.</w:t>
      </w:r>
    </w:p>
    <w:p>
      <w:pPr>
        <w:pStyle w:val="ListParagraph"/>
        <w:numPr>
          <w:ilvl w:val="0"/>
          <w:numId w:val="2"/>
        </w:numPr>
        <w:spacing w:after="60" w:before="60" w:line="300"/>
      </w:pPr>
      <w:r>
        <w:rPr>
          <w:rFonts w:ascii="Times New Roman" w:cs="Times New Roman" w:eastAsia="Times New Roman" w:hAnsi="Times New Roman"/>
          <w:sz w:val="22"/>
          <w:szCs w:val="22"/>
        </w:rPr>
        <w:t xml:space="preserve">Evidence classification: UT readings = OBSERVED; nominal thickness = OBSERVED-FROM-RECORDS; hardness elevation = OBSERVED-QUALITATIVE (numerical value INFERRED until measurement provided); operating temperature = OBSERVED; absence of blistering = OBSERVED-NEGATIVE; pitting at 6 o'clock = OBSERVED.</w:t>
      </w:r>
    </w:p>
    <w:p>
      <w:pPr>
        <w:pStyle w:val="ListParagraph"/>
        <w:numPr>
          <w:ilvl w:val="0"/>
          <w:numId w:val="2"/>
        </w:numPr>
        <w:spacing w:after="60" w:before="60" w:line="300"/>
      </w:pPr>
      <w:r>
        <w:rPr>
          <w:rFonts w:ascii="Times New Roman" w:cs="Times New Roman" w:eastAsia="Times New Roman" w:hAnsi="Times New Roman"/>
          <w:sz w:val="22"/>
          <w:szCs w:val="22"/>
        </w:rPr>
        <w:t xml:space="preserve">Mechanism candidate generation: amine stress corrosion cracking (alkaline SCC); under-deposit pitting; general thinning; wet H2S cracking subset (HIC, SOHIC, SSC); HAZ-localized SSC at the repair weld.</w:t>
      </w:r>
    </w:p>
    <w:p>
      <w:pPr>
        <w:pStyle w:val="ListParagraph"/>
        <w:numPr>
          <w:ilvl w:val="0"/>
          <w:numId w:val="2"/>
        </w:numPr>
        <w:spacing w:after="60" w:before="60" w:line="300"/>
      </w:pPr>
      <w:r>
        <w:rPr>
          <w:rFonts w:ascii="Times New Roman" w:cs="Times New Roman" w:eastAsia="Times New Roman" w:hAnsi="Times New Roman"/>
          <w:sz w:val="22"/>
          <w:szCs w:val="22"/>
        </w:rPr>
        <w:t xml:space="preserve">FMD scoring: Given lean amine + 240°F + HAZ + repair weld, alkaline SCC at the HAZ scores highest. Under-deposit pitting at 6 o'clock scores second. The margin is computed; if above threshold, alkaline SCC is declared dominant. Critically, the FMD engine notes that the OBSERVED absence of blistering does not exclude SOHIC or alkaline SCC (which do not produce blisters); the engine resists the temptation to use a negative observation against the wrong mechanism.</w:t>
      </w:r>
    </w:p>
    <w:p>
      <w:pPr>
        <w:pStyle w:val="ListParagraph"/>
        <w:numPr>
          <w:ilvl w:val="0"/>
          <w:numId w:val="2"/>
        </w:numPr>
        <w:spacing w:after="60" w:before="60" w:line="300"/>
      </w:pPr>
      <w:r>
        <w:rPr>
          <w:rFonts w:ascii="Times New Roman" w:cs="Times New Roman" w:eastAsia="Times New Roman" w:hAnsi="Times New Roman"/>
          <w:sz w:val="22"/>
          <w:szCs w:val="22"/>
        </w:rPr>
        <w:t xml:space="preserve">Timeline projection: alkaline SCC progression at 240°F in lean amine is computed; under-deposit pitting timeline is computed; the COMPOUND handler determines whether alkaline SCC governs cleanly or whether pitting must be jointly tracked.</w:t>
      </w:r>
    </w:p>
    <w:p>
      <w:pPr>
        <w:pStyle w:val="ListParagraph"/>
        <w:numPr>
          <w:ilvl w:val="0"/>
          <w:numId w:val="2"/>
        </w:numPr>
        <w:spacing w:after="60" w:before="60" w:line="300"/>
      </w:pPr>
      <w:r>
        <w:rPr>
          <w:rFonts w:ascii="Times New Roman" w:cs="Times New Roman" w:eastAsia="Times New Roman" w:hAnsi="Times New Roman"/>
          <w:sz w:val="22"/>
          <w:szCs w:val="22"/>
        </w:rPr>
        <w:t xml:space="preserve">Authority lock: API 570 governs piping inspection; NACE MR0175 governs the hardness-in-H2S limit; API 945 governs amine service; API 581 may govern the risk-based scheduling.</w:t>
      </w:r>
    </w:p>
    <w:p>
      <w:pPr>
        <w:pStyle w:val="ListParagraph"/>
        <w:numPr>
          <w:ilvl w:val="0"/>
          <w:numId w:val="2"/>
        </w:numPr>
        <w:spacing w:after="60" w:before="60" w:line="300"/>
      </w:pPr>
      <w:r>
        <w:rPr>
          <w:rFonts w:ascii="Times New Roman" w:cs="Times New Roman" w:eastAsia="Times New Roman" w:hAnsi="Times New Roman"/>
          <w:sz w:val="22"/>
          <w:szCs w:val="22"/>
        </w:rPr>
        <w:t xml:space="preserve">Contradiction check: The recommended re-inspection method must be capable of detecting alkaline SCC. Ultrasonic thickness measurement alone is insufficient; wet fluorescent magnetic particle (WFMT) or shear-wave UT (SWUT) is required at the HAZ. The voice grammar bridge's method-mechanism check raises a contradiction if the recommended re-inspection method is reported as "UTT only."</w:t>
      </w:r>
    </w:p>
    <w:p>
      <w:pPr>
        <w:pStyle w:val="ListParagraph"/>
        <w:numPr>
          <w:ilvl w:val="0"/>
          <w:numId w:val="2"/>
        </w:numPr>
        <w:spacing w:after="60" w:before="60" w:line="300"/>
      </w:pPr>
      <w:r>
        <w:rPr>
          <w:rFonts w:ascii="Times New Roman" w:cs="Times New Roman" w:eastAsia="Times New Roman" w:hAnsi="Times New Roman"/>
          <w:sz w:val="22"/>
          <w:szCs w:val="22"/>
        </w:rPr>
        <w:t xml:space="preserve">Hard lock check: hardness exceeds 22 HRC trigger — cannot be evaluated without measurement; provenance flag raised. Disposition pathway proceeds with explicit dependency on hardness measurement.</w:t>
      </w:r>
    </w:p>
    <w:p>
      <w:pPr>
        <w:pStyle w:val="ListParagraph"/>
        <w:numPr>
          <w:ilvl w:val="0"/>
          <w:numId w:val="2"/>
        </w:numPr>
        <w:spacing w:after="60" w:before="60" w:line="300"/>
      </w:pPr>
      <w:r>
        <w:rPr>
          <w:rFonts w:ascii="Times New Roman" w:cs="Times New Roman" w:eastAsia="Times New Roman" w:hAnsi="Times New Roman"/>
          <w:sz w:val="22"/>
          <w:szCs w:val="22"/>
        </w:rPr>
        <w:t xml:space="preserve">Disposition pathway issues: REPAIR-OR-REPLACE at HAZ subject to hardness measurement; perform WFMT and SWUT on the HAZ at F-204 within 30 days; perform full UT scan of the elbow at 6 o'clock; if hardness exceeds 22 HRC, REJECT FROM SERVICE per NACE MR0175. Field Action Library entries for each task are surfaced. Provenance label: INFERRED (because hardness numerical value is not OBSERVED).</w:t>
      </w:r>
    </w:p>
    <w:p>
      <w:pPr>
        <w:pStyle w:val="ListParagraph"/>
        <w:numPr>
          <w:ilvl w:val="0"/>
          <w:numId w:val="2"/>
        </w:numPr>
        <w:spacing w:after="60" w:before="60" w:line="300"/>
      </w:pPr>
      <w:r>
        <w:rPr>
          <w:rFonts w:ascii="Times New Roman" w:cs="Times New Roman" w:eastAsia="Times New Roman" w:hAnsi="Times New Roman"/>
          <w:sz w:val="22"/>
          <w:szCs w:val="22"/>
        </w:rPr>
        <w:t xml:space="preserve">Constrained generative synthesis: a natural-language summary is generated, constrained to reflect the deterministic pipeline state.</w:t>
      </w:r>
    </w:p>
    <w:p>
      <w:pPr>
        <w:pStyle w:val="ListParagraph"/>
        <w:numPr>
          <w:ilvl w:val="0"/>
          <w:numId w:val="2"/>
        </w:numPr>
        <w:spacing w:after="60" w:before="60" w:line="300"/>
      </w:pPr>
      <w:r>
        <w:rPr>
          <w:rFonts w:ascii="Times New Roman" w:cs="Times New Roman" w:eastAsia="Times New Roman" w:hAnsi="Times New Roman"/>
          <w:sz w:val="22"/>
          <w:szCs w:val="22"/>
        </w:rPr>
        <w:t xml:space="preserve">Challenger LLM evaluates synthesis: confirms no hallucinated facts, no softening of the NACE hardness requirement, binding clause references present.</w:t>
      </w:r>
    </w:p>
    <w:p>
      <w:pPr>
        <w:pStyle w:val="ListParagraph"/>
        <w:numPr>
          <w:ilvl w:val="0"/>
          <w:numId w:val="2"/>
        </w:numPr>
        <w:spacing w:after="60" w:before="60" w:line="300"/>
      </w:pPr>
      <w:r>
        <w:rPr>
          <w:rFonts w:ascii="Times New Roman" w:cs="Times New Roman" w:eastAsia="Times New Roman" w:hAnsi="Times New Roman"/>
          <w:sz w:val="22"/>
          <w:szCs w:val="22"/>
        </w:rPr>
        <w:t xml:space="preserve">Arbiter outputs final disposition with full audit trail.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identical input replayed through the System produces identical output — the disposition is reproducible. A reviewing engineer can verify each step against the audit trail. If the inspector subsequently provides the missing hardness measurement, the System re-runs and the provenance label is upgraded; if the measurement exceeds 22 HRC, the hard lock fires and the disposition becomes REJECT, regardless of any other consideration.</w:t>
      </w:r>
    </w:p>
    <w:p>
      <w:pPr>
        <w:pStyle w:val="Heading3"/>
        <w:spacing w:after="120" w:before="180"/>
        <w:jc w:val="left"/>
      </w:pPr>
      <w:r>
        <w:rPr>
          <w:rFonts w:ascii="Times New Roman" w:cs="Times New Roman" w:eastAsia="Times New Roman" w:hAnsi="Times New Roman"/>
          <w:b/>
          <w:bCs/>
          <w:i/>
          <w:iCs/>
          <w:sz w:val="22"/>
          <w:szCs w:val="22"/>
        </w:rPr>
        <w:t xml:space="preserve">Second Scenario (Educational Variant): CWI Candidate Misidentifying a Weld Discontinuity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CWI candidate is presented with a photograph of a fillet weld and asked to evaluate it against AWS D1.1 acceptance criteria. The candidate types the following response: "This weld shows undercut along the toe of about 3/64 inch deep across approximately 4 inches of length. There is also some convexity. I would accept this weld because the undercut is less than 1/16 inch and the convexity does not exceed code limits for visual acceptance under D1.1 statically loaded structures."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of the System processes this scenario as follows:</w:t>
      </w:r>
    </w:p>
    <w:p>
      <w:pPr>
        <w:pStyle w:val="ListParagraph"/>
        <w:numPr>
          <w:ilvl w:val="0"/>
          <w:numId w:val="2"/>
        </w:numPr>
        <w:spacing w:after="60" w:before="60" w:line="300"/>
      </w:pPr>
      <w:r>
        <w:rPr>
          <w:rFonts w:ascii="Times New Roman" w:cs="Times New Roman" w:eastAsia="Times New Roman" w:hAnsi="Times New Roman"/>
          <w:sz w:val="22"/>
          <w:szCs w:val="22"/>
        </w:rPr>
        <w:t xml:space="preserve">Response Tokenization (Step 1) extracts the candidate's evaluative claims using word-boundary validation: identified discontinuities = {undercut at 3/64 inch, convex profile}; proposed disposition = ACCEPT; cited code basis = D1.1 statically loaded provisions.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Learner Identity Resolution (Step 2) resolves the candidate to their accumulated training history: completed introductory modules, currently in mid-curriculum on AWS D1.1 Section 8 (Statically Loaded Nontubular) and Section 9 (Cyclically Loaded Nontubular), prior performance shows occasional confusion between statically and cyclically loaded acceptance criteria.</w:t>
      </w:r>
    </w:p>
    <w:p>
      <w:pPr>
        <w:pStyle w:val="ListParagraph"/>
        <w:numPr>
          <w:ilvl w:val="0"/>
          <w:numId w:val="2"/>
        </w:numPr>
        <w:spacing w:after="60" w:before="60" w:line="300"/>
      </w:pPr>
      <w:r>
        <w:rPr>
          <w:rFonts w:ascii="Times New Roman" w:cs="Times New Roman" w:eastAsia="Times New Roman" w:hAnsi="Times New Roman"/>
          <w:sz w:val="22"/>
          <w:szCs w:val="22"/>
        </w:rPr>
        <w:t xml:space="preserve">Curricular Context Resolution (Step 3) resolves the active learning objective as: correct application of AWS D1.1 visual acceptance criteria including identification of the controlling load category. The instructional setting is unsupervised practice.</w:t>
      </w:r>
    </w:p>
    <w:p>
      <w:pPr>
        <w:pStyle w:val="ListParagraph"/>
        <w:numPr>
          <w:ilvl w:val="0"/>
          <w:numId w:val="2"/>
        </w:numPr>
        <w:spacing w:after="60" w:before="60" w:line="300"/>
      </w:pPr>
      <w:r>
        <w:rPr>
          <w:rFonts w:ascii="Times New Roman" w:cs="Times New Roman" w:eastAsia="Times New Roman" w:hAnsi="Times New Roman"/>
          <w:sz w:val="22"/>
          <w:szCs w:val="22"/>
        </w:rPr>
        <w:t xml:space="preserve">Prerequisite Resolution (Step 4) confirms that the candidate has demonstrated mastery of: discontinuity identification (undercut, convexity); measurement units; and the existence of separate static and cyclic acceptance criteria. The candidate has NOT yet demonstrated reliable selection between static and cyclic criteria based on application context.</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Context Resolution (Step 5) confirms unsupervised practice mode; no examination-mode hard locks, but normal pedagogical hard locks active.</w:t>
      </w:r>
    </w:p>
    <w:p>
      <w:pPr>
        <w:pStyle w:val="ListParagraph"/>
        <w:numPr>
          <w:ilvl w:val="0"/>
          <w:numId w:val="2"/>
        </w:numPr>
        <w:spacing w:after="60" w:before="60" w:line="300"/>
      </w:pPr>
      <w:r>
        <w:rPr>
          <w:rFonts w:ascii="Times New Roman" w:cs="Times New Roman" w:eastAsia="Times New Roman" w:hAnsi="Times New Roman"/>
          <w:sz w:val="22"/>
          <w:szCs w:val="22"/>
        </w:rPr>
        <w:t xml:space="preserve">Response Evidence Classification (Step 6): OBSERVED — candidate correctly identifies the undercut and the convexity, correctly recalls the 1/16 inch undercut acceptance threshold for static loading, correctly recalls that convexity has acceptance limits. INFERRED — candidate's reasoning suggests assumption that the photographed weld is in a statically loaded structure. ASSUMED — candidate has not addressed the load category determination at all in the response.</w:t>
      </w:r>
    </w:p>
    <w:p>
      <w:pPr>
        <w:pStyle w:val="ListParagraph"/>
        <w:numPr>
          <w:ilvl w:val="0"/>
          <w:numId w:val="2"/>
        </w:numPr>
        <w:spacing w:after="60" w:before="60" w:line="300"/>
      </w:pPr>
      <w:r>
        <w:rPr>
          <w:rFonts w:ascii="Times New Roman" w:cs="Times New Roman" w:eastAsia="Times New Roman" w:hAnsi="Times New Roman"/>
          <w:sz w:val="22"/>
          <w:szCs w:val="22"/>
        </w:rPr>
        <w:t xml:space="preserve">Misconception Candidate Generation (Step 7) enumerates: (a) failure to determine load category before applying acceptance criteria; (b) belief that static criteria apply by default; (c) confusion between Section 8 and Section 9 thresholds; (d) confusion regarding undercut depth on tension- versus compression-loaded members; (e) failure to consider primary versus secondary member status.</w:t>
      </w:r>
    </w:p>
    <w:p>
      <w:pPr>
        <w:pStyle w:val="ListParagraph"/>
        <w:numPr>
          <w:ilvl w:val="0"/>
          <w:numId w:val="2"/>
        </w:numPr>
        <w:spacing w:after="60" w:before="60" w:line="300"/>
      </w:pPr>
      <w:r>
        <w:rPr>
          <w:rFonts w:ascii="Times New Roman" w:cs="Times New Roman" w:eastAsia="Times New Roman" w:hAnsi="Times New Roman"/>
          <w:sz w:val="22"/>
          <w:szCs w:val="22"/>
        </w:rPr>
        <w:t xml:space="preserve">Misconception Dominance Scoring (Step 8): the dominant misconception is (a) — failure to determine load category. This misconception has the highest instructional efficiency (correcting it eliminates downstream errors (b) through (e) on subsequent attempts), and carries the highest safety implication, because misapplication of static criteria to a cyclically loaded weld can result in fatigue-driven failure of the structure. Margin over rank-2 misconception (b) is computed and exceeds the configured threshold; misconception (a) is declared dominant.</w:t>
      </w:r>
    </w:p>
    <w:p>
      <w:pPr>
        <w:pStyle w:val="ListParagraph"/>
        <w:numPr>
          <w:ilvl w:val="0"/>
          <w:numId w:val="2"/>
        </w:numPr>
        <w:spacing w:after="60" w:before="60" w:line="300"/>
      </w:pPr>
      <w:r>
        <w:rPr>
          <w:rFonts w:ascii="Times New Roman" w:cs="Times New Roman" w:eastAsia="Times New Roman" w:hAnsi="Times New Roman"/>
          <w:sz w:val="22"/>
          <w:szCs w:val="22"/>
        </w:rPr>
        <w:t xml:space="preserve">Learning Trajectory Projection (Step 9) projects: corrective response targeting load-category determination is expected to resolve the dominant misconception within 2-3 subsequent practice attempts, with carryover to cyclic-load-related downstream objectives.</w:t>
      </w:r>
    </w:p>
    <w:p>
      <w:pPr>
        <w:pStyle w:val="ListParagraph"/>
        <w:numPr>
          <w:ilvl w:val="0"/>
          <w:numId w:val="2"/>
        </w:numPr>
        <w:spacing w:after="60" w:before="60" w:line="300"/>
      </w:pPr>
      <w:r>
        <w:rPr>
          <w:rFonts w:ascii="Times New Roman" w:cs="Times New Roman" w:eastAsia="Times New Roman" w:hAnsi="Times New Roman"/>
          <w:sz w:val="22"/>
          <w:szCs w:val="22"/>
        </w:rPr>
        <w:t xml:space="preserve">Curriculum Authority Binding (Step 10) binds the response to AWS D1.1 Clause 8.2 versus 9.2 (load category determination) and to AWS QC1 Body of Knowledge Section addressing load classification. Binding clause text is surfaced in the response.</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Contradiction Check (Step 11): no contradictions detected. The candidate's stated reasoning is internally consistent; the gap is not in the reasoning but in a missing antecedent step (load category determination).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Hard-Lock Evaluation: the candidate's proposed disposition (ACCEPT) is consistent with static criteria but the System cannot verify that static criteria apply. Pedagogical Hard Lock 5 is evaluated: would the System, by accepting the candidate's reasoning, endorse a potentially unsafe field practice? Yes. Hard Lock 5 fires. The instructional response is forced to a safe state: corrective response identifying the missing load-category determination step, with explicit reference to the safety implication of misclassification, with binding AWS D1.1 clause text, and with a probing follow-up question ("What information would you need to determine whether this weld is statically or cyclically loaded? List two sources where you would find that information in a typical inspection setting.").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Instructional Response Gate (Step 12) issues the corrective response. The response is bound to the curriculum objective, traceable to the dominant misconception, and the Pedagogical Hard Lock event is logged. Synthesis layer generates the natural-language form of the corrective response under constraint of the deterministic pipeline state. Challenger LLM verifies that the response (a) does not endorse the candidate's incomplete reasoning, (b) does not soften the safety implication, (c) includes the binding clause reference, and (d) does not provide the load-category answer directly (consistent with pedagogical principle of guided discovery for this learning objective). Arbiter confirms compliance and releases the response.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same candidate, retrying the scenario after providing load-category reasoning that addresses the dominant misconception, would produce a different response trace through the System: the dominant misconception (a) is no longer present, the candidate's evidence advances from ASSUMED to OBSERVED for the load-category step, and the System advances toward objective mastery. The audit trail across attempts produces a documented learning trajectory that can be surfaced to instructors and that satisfies certification body documentary standards for evidence of competency development.</w:t>
      </w:r>
    </w:p>
    <w:p>
      <w:pPr>
        <w:pStyle w:val="Heading1"/>
        <w:spacing w:after="200" w:before="360"/>
        <w:jc w:val="left"/>
      </w:pPr>
      <w:r>
        <w:rPr>
          <w:rFonts w:ascii="Times New Roman" w:cs="Times New Roman" w:eastAsia="Times New Roman" w:hAnsi="Times New Roman"/>
          <w:b/>
          <w:bCs/>
          <w:sz w:val="26"/>
          <w:szCs w:val="26"/>
        </w:rPr>
        <w:t xml:space="preserve">SAMPLE CLAIMS</w:t>
      </w:r>
    </w:p>
    <w:p>
      <w:pPr>
        <w:spacing w:after="120" w:before="0" w:line="320"/>
        <w:ind w:firstLine="360"/>
        <w:jc w:val="both"/>
      </w:pPr>
      <w:r>
        <w:rPr>
          <w:rFonts w:ascii="Times New Roman" w:cs="Times New Roman" w:eastAsia="Times New Roman" w:hAnsi="Times New Roman"/>
          <w:sz w:val="22"/>
          <w:szCs w:val="22"/>
        </w:rPr>
        <w:t xml:space="preserve">The following claims are submitted in non-limiting form to assist the patent attorney in drafting the formal claim set for the non-provisional application. The claims are organized into three layers: Layer 1 (Claims 1–14) directed to the NDT/inspection embodiment; Layer 2 (Claims 15–22) directed to any engineering-code-governed system; Layer 3 (Claims 23–26) directed to the general authoritative-knowledge architecture. This layered structure provides narrow-but-strong protection at Layer 1 while maintaining broad coverage at Layer 3.</w:t>
      </w:r>
    </w:p>
    <w:p>
      <w:r>
        <w:br w:type="page"/>
      </w:r>
    </w:p>
    <w:p>
      <w:pPr>
        <w:pStyle w:val="Heading2"/>
        <w:spacing w:after="140" w:before="240"/>
        <w:jc w:val="left"/>
      </w:pPr>
      <w:r>
        <w:rPr>
          <w:rFonts w:ascii="Times New Roman" w:cs="Times New Roman" w:eastAsia="Times New Roman" w:hAnsi="Times New Roman"/>
          <w:b/>
          <w:bCs/>
          <w:sz w:val="24"/>
          <w:szCs w:val="24"/>
        </w:rPr>
        <w:t xml:space="preserve">LAYER 1 — NDT / INSPECTION SYSTEM (Narrow, Strong, Most Approvable)</w:t>
      </w:r>
    </w:p>
    <w:p>
      <w:pPr>
        <w:spacing w:after="100" w:before="160" w:line="320"/>
        <w:jc w:val="both"/>
      </w:pPr>
      <w:r>
        <w:rPr>
          <w:rFonts w:ascii="Times New Roman" w:cs="Times New Roman" w:eastAsia="Times New Roman" w:hAnsi="Times New Roman"/>
          <w:b/>
          <w:sz w:val="22"/>
          <w:szCs w:val="22"/>
        </w:rPr>
        <w:t xml:space="preserve">Fortress Independent Claim (Moat Claim)</w:t>
      </w:r>
    </w:p>
    <w:p>
      <w:pPr>
        <w:spacing w:after="120" w:before="0" w:line="320"/>
        <w:ind w:firstLine="360"/>
        <w:jc w:val="both"/>
      </w:pPr>
      <w:r>
        <w:rPr>
          <w:rFonts w:ascii="Times New Roman" w:cs="Times New Roman" w:eastAsia="Times New Roman" w:hAnsi="Times New Roman"/>
          <w:sz w:val="22"/>
          <w:szCs w:val="22"/>
        </w:rPr>
        <w:t xml:space="preserve">1. A computer-implemented system for generating auditable engineering disposition decisions for safety-critical industrial assets inspected by nondestructive testing, the system comprising: one or more processors; non-transitory computer-readable memory storing instructions that, when executed by the one or more processors, cause the system to perform: (a) an input normalization module that converts unstructured natural-language inspection input into a structured state representation; (b) a deterministic decision pipeline that processes the structured state through a sequence of non-random pure-function transformations, wherein identical inputs produce bitwise-identical outputs; (c) an evidence provenance engine that classifies each input datum and each derived datum with a provenance label drawn from at least the set {OBSERVED, INFERRED, ASSUMED} and propagates provenance through a directed dependency graph such that any derived datum’s provenance is constrained to no higher than the lowest provenance among its inputs, thereby mathematically constraining output confidence by input certainty; (d) an authority lock subsystem that maps each candidate disposition to one or more clauses of an applicable engineering code, verifies compliance with each binding clause, and blocks issuance of any disposition that violates a binding clause, such that the system refuses to produce an output contradicting the authoritative rule set; (e) a contradiction detection engine that identifies inconsistencies across input data, inferred states, mechanism rankings, and code requirements, and blocks disposition output when an unresolved blocking contradiction is present; (f) an output gating system that prevents disposition output when any of the following conditions exist: an unresolved blocking contradiction, insufficient data confidence as determined by the evidence provenance engine, or a code violation as determined by the authority lock subsystem; (g) a hard-lock override subsystem that evaluates a finite enumerated set of trigger conditions, each implemented as a pure boolean function of the pipeline state, and that forces the output to a predefined safe state when any trigger evaluates to true, regardless of the disposition computed by all other subsystems; and (h) a constrained generative model interface that receives the deterministic pipeline output and generates a natural-language explanation of the disposition, wherein the generative model is prohibited from altering the disposition class, adding mechanisms not identified by the pipeline, or overriding any authority lock or hard lock determination.</w:t>
      </w:r>
    </w:p>
    <w:p>
      <w:pPr>
        <w:spacing w:after="100" w:before="160" w:line="320"/>
        <w:jc w:val="both"/>
      </w:pPr>
      <w:r>
        <w:rPr>
          <w:rFonts w:ascii="Times New Roman" w:cs="Times New Roman" w:eastAsia="Times New Roman" w:hAnsi="Times New Roman"/>
          <w:b/>
          <w:sz w:val="22"/>
          <w:szCs w:val="22"/>
        </w:rPr>
        <w:t xml:space="preserve">Claim Set 1 — Physics / Mechanism Layer</w:t>
      </w:r>
    </w:p>
    <w:p>
      <w:pPr>
        <w:spacing w:after="120" w:before="0" w:line="320"/>
        <w:ind w:firstLine="360"/>
        <w:jc w:val="both"/>
      </w:pPr>
      <w:r>
        <w:rPr>
          <w:rFonts w:ascii="Times New Roman" w:cs="Times New Roman" w:eastAsia="Times New Roman" w:hAnsi="Times New Roman"/>
          <w:sz w:val="22"/>
          <w:szCs w:val="22"/>
        </w:rPr>
        <w:t xml:space="preserve">2. The system of claim 1, further comprising a Bayesian differential diagnosis engine that ranks candidate damage mechanisms by computing log-likelihood scores from structured conditional probability tables, applying Bayes’ theorem with domain-specific prior base rates, and normalizing posterior probabilities across all surviving candidates, such that the mechanism ranking is fully deterministic and reproducible for any given input state.</w:t>
      </w:r>
    </w:p>
    <w:p>
      <w:pPr>
        <w:spacing w:after="120" w:before="0" w:line="320"/>
        <w:ind w:firstLine="360"/>
        <w:jc w:val="both"/>
      </w:pPr>
      <w:r>
        <w:rPr>
          <w:rFonts w:ascii="Times New Roman" w:cs="Times New Roman" w:eastAsia="Times New Roman" w:hAnsi="Times New Roman"/>
          <w:sz w:val="22"/>
          <w:szCs w:val="22"/>
        </w:rPr>
        <w:t xml:space="preserve">3. The system of claim 2, wherein the Bayesian differential diagnosis engine comprises a five-phase pipeline of: prerequisite pruning that eliminates mechanisms incompatible with the resolved material, environment, or asset class; prior selection assigning domain-specific base rates; log-likelihood scoring summing per-evidence contributions; posterior normalization via Bayes’ theorem; and discriminating evidence identification that recommends next inspection actions ranked by information-theoretic spread across competing hypotheses.</w:t>
      </w:r>
    </w:p>
    <w:p>
      <w:pPr>
        <w:spacing w:after="120" w:before="0" w:line="320"/>
        <w:ind w:firstLine="360"/>
        <w:jc w:val="both"/>
      </w:pPr>
      <w:r>
        <w:rPr>
          <w:rFonts w:ascii="Times New Roman" w:cs="Times New Roman" w:eastAsia="Times New Roman" w:hAnsi="Times New Roman"/>
          <w:sz w:val="22"/>
          <w:szCs w:val="22"/>
        </w:rPr>
        <w:t xml:space="preserve">4. The system of claim 2, further comprising a timeline-based failure projection engine that estimates remaining service life based on the dominant mechanism’s degradation rate, measured wall loss, and applicable code retirement thresholds.</w:t>
      </w:r>
    </w:p>
    <w:p>
      <w:pPr>
        <w:spacing w:after="100" w:before="160" w:line="320"/>
        <w:jc w:val="both"/>
      </w:pPr>
      <w:r>
        <w:rPr>
          <w:rFonts w:ascii="Times New Roman" w:cs="Times New Roman" w:eastAsia="Times New Roman" w:hAnsi="Times New Roman"/>
          <w:b/>
          <w:sz w:val="22"/>
          <w:szCs w:val="22"/>
        </w:rPr>
        <w:t xml:space="preserve">Claim Set 2 — Inspection Validation Layer</w:t>
      </w:r>
    </w:p>
    <w:p>
      <w:pPr>
        <w:spacing w:after="120" w:before="0" w:line="320"/>
        <w:ind w:firstLine="360"/>
        <w:jc w:val="both"/>
      </w:pPr>
      <w:r>
        <w:rPr>
          <w:rFonts w:ascii="Times New Roman" w:cs="Times New Roman" w:eastAsia="Times New Roman" w:hAnsi="Times New Roman"/>
          <w:sz w:val="22"/>
          <w:szCs w:val="22"/>
        </w:rPr>
        <w:t xml:space="preserve">5. The system of claim 1, further comprising an inspection effectiveness engine that evaluates the quality and reliability of inspection data by computing a composite quality score from at least ten field quality modifiers, mapping the NDT method and flaw type to a probability-of-detection band, computing a false negative risk, and blocking final disposition when the computed inspection effectiveness falls below a domain-specific threshold.</w:t>
      </w:r>
    </w:p>
    <w:p>
      <w:pPr>
        <w:spacing w:after="120" w:before="0" w:line="320"/>
        <w:ind w:firstLine="360"/>
        <w:jc w:val="both"/>
      </w:pPr>
      <w:r>
        <w:rPr>
          <w:rFonts w:ascii="Times New Roman" w:cs="Times New Roman" w:eastAsia="Times New Roman" w:hAnsi="Times New Roman"/>
          <w:sz w:val="22"/>
          <w:szCs w:val="22"/>
        </w:rPr>
        <w:t xml:space="preserve">6. The system of claim 5, wherein the inspection effectiveness engine validates NDT method-mechanism compatibility and refuses to issue a disposition when the applied inspection method has a probability of detection below a configured minimum for the identified dominant mechanism.</w:t>
      </w:r>
    </w:p>
    <w:p>
      <w:pPr>
        <w:spacing w:after="100" w:before="160" w:line="320"/>
        <w:jc w:val="both"/>
      </w:pPr>
      <w:r>
        <w:rPr>
          <w:rFonts w:ascii="Times New Roman" w:cs="Times New Roman" w:eastAsia="Times New Roman" w:hAnsi="Times New Roman"/>
          <w:b/>
          <w:sz w:val="22"/>
          <w:szCs w:val="22"/>
        </w:rPr>
        <w:t xml:space="preserve">Claim Set 3 — Iterative Decision Loop</w:t>
      </w:r>
    </w:p>
    <w:p>
      <w:pPr>
        <w:spacing w:after="120" w:before="0" w:line="320"/>
        <w:ind w:firstLine="360"/>
        <w:jc w:val="both"/>
      </w:pPr>
      <w:r>
        <w:rPr>
          <w:rFonts w:ascii="Times New Roman" w:cs="Times New Roman" w:eastAsia="Times New Roman" w:hAnsi="Times New Roman"/>
          <w:sz w:val="22"/>
          <w:szCs w:val="22"/>
        </w:rPr>
        <w:t xml:space="preserve">7. The system of claim 1, wherein the deterministic decision pipeline is organized as a cyclic deterministic decision core comprising at least six processing states, wherein the output of the final state is gated by a disposition validation function that, upon detecting a blocking contradiction or an unresolved compound-mechanism scenario, re-enters the pipeline at an earlier state for re-processing with the additional findings, and wherein the cycle continues until all contradictions are resolved or a maximum iteration count is reached.</w:t>
      </w:r>
    </w:p>
    <w:p>
      <w:pPr>
        <w:spacing w:after="100" w:before="160" w:line="320"/>
        <w:jc w:val="both"/>
      </w:pPr>
      <w:r>
        <w:rPr>
          <w:rFonts w:ascii="Times New Roman" w:cs="Times New Roman" w:eastAsia="Times New Roman" w:hAnsi="Times New Roman"/>
          <w:b/>
          <w:sz w:val="22"/>
          <w:szCs w:val="22"/>
        </w:rPr>
        <w:t xml:space="preserve">Claim Set 4 — Multi-Model Validation</w:t>
      </w:r>
    </w:p>
    <w:p>
      <w:pPr>
        <w:spacing w:after="120" w:before="0" w:line="320"/>
        <w:ind w:firstLine="360"/>
        <w:jc w:val="both"/>
      </w:pPr>
      <w:r>
        <w:rPr>
          <w:rFonts w:ascii="Times New Roman" w:cs="Times New Roman" w:eastAsia="Times New Roman" w:hAnsi="Times New Roman"/>
          <w:sz w:val="22"/>
          <w:szCs w:val="22"/>
        </w:rPr>
        <w:t xml:space="preserve">8. The system of claim 1, wherein the constrained generative model interface comprises: a first generative language model that produces a natural-language synthesis of the disposition; a second adversarial generative language model that independently evaluates the synthesis against the pipeline state; and a deterministic arbiter that is not a language model and that resolves any discrepancy between the first and second models by reference to the pipeline state, always selecting the interpretation that matches the deterministic pipeline output.</w:t>
      </w:r>
    </w:p>
    <w:p>
      <w:pPr>
        <w:spacing w:after="100" w:before="160" w:line="320"/>
        <w:jc w:val="both"/>
      </w:pPr>
      <w:r>
        <w:rPr>
          <w:rFonts w:ascii="Times New Roman" w:cs="Times New Roman" w:eastAsia="Times New Roman" w:hAnsi="Times New Roman"/>
          <w:b/>
          <w:sz w:val="22"/>
          <w:szCs w:val="22"/>
        </w:rPr>
        <w:t xml:space="preserve">Claim Set 5 — Inspector Override Protection</w:t>
      </w:r>
    </w:p>
    <w:p>
      <w:pPr>
        <w:spacing w:after="120" w:before="0" w:line="320"/>
        <w:ind w:firstLine="360"/>
        <w:jc w:val="both"/>
      </w:pPr>
      <w:r>
        <w:rPr>
          <w:rFonts w:ascii="Times New Roman" w:cs="Times New Roman" w:eastAsia="Times New Roman" w:hAnsi="Times New Roman"/>
          <w:sz w:val="22"/>
          <w:szCs w:val="22"/>
        </w:rPr>
        <w:t xml:space="preserve">9. The system of claim 2, further comprising an inspector-nominated mechanism guarantee that ensures: (a) any mechanism nominated by the inspector survives prerequisite pruning regardless of material compatibility; (b) the nominated mechanism receives a configurable prior-probability boost; and (c) the nominated mechanism appears in the final ranked output regardless of its posterior probability, while its ranking relative to other candidates remains determined by the Bayesian computation.</w:t>
      </w:r>
    </w:p>
    <w:p>
      <w:pPr>
        <w:spacing w:after="100" w:before="160" w:line="320"/>
        <w:jc w:val="both"/>
      </w:pPr>
      <w:r>
        <w:rPr>
          <w:rFonts w:ascii="Times New Roman" w:cs="Times New Roman" w:eastAsia="Times New Roman" w:hAnsi="Times New Roman"/>
          <w:b/>
          <w:sz w:val="22"/>
          <w:szCs w:val="22"/>
        </w:rPr>
        <w:t xml:space="preserve">Claim Set 6 — System Refusal, Audit Reproducibility, and Contextual Inference</w:t>
      </w:r>
    </w:p>
    <w:p>
      <w:pPr>
        <w:spacing w:after="120" w:before="0" w:line="320"/>
        <w:ind w:firstLine="360"/>
        <w:jc w:val="both"/>
      </w:pPr>
      <w:r>
        <w:rPr>
          <w:rFonts w:ascii="Times New Roman" w:cs="Times New Roman" w:eastAsia="Times New Roman" w:hAnsi="Times New Roman"/>
          <w:sz w:val="22"/>
          <w:szCs w:val="22"/>
        </w:rPr>
        <w:t xml:space="preserve">10. The system of claim 1, wherein the system explicitly refuses to produce a disposition output under defined conditions, including: (a) when inspection quality is insufficient as determined by the inspection effectiveness engine; (b) when a blocking contradiction remains unresolved after the maximum re-processing cycle count; (c) when no candidate mechanism achieves a minimum posterior probability threshold; and (d) when the applicable engineering code requires a higher-level assessment (Level 2 or Level 3 fitness-for-service) that exceeds the system’s computational scope; and wherein the refusal is accompanied by a structured report identifying the specific deficiency and the remedial actions required before re-submission.</w:t>
      </w:r>
    </w:p>
    <w:p>
      <w:pPr>
        <w:spacing w:after="120" w:before="0" w:line="320"/>
        <w:ind w:firstLine="360"/>
        <w:jc w:val="both"/>
      </w:pPr>
      <w:r>
        <w:rPr>
          <w:rFonts w:ascii="Times New Roman" w:cs="Times New Roman" w:eastAsia="Times New Roman" w:hAnsi="Times New Roman"/>
          <w:sz w:val="22"/>
          <w:szCs w:val="22"/>
        </w:rPr>
        <w:t xml:space="preserve">11. The system of claim 1, wherein each disposition output is accompanied by a machine-readable audit trail that is reproducible, such that re-executing the deterministic pipeline with the identical input produces a bitwise-identical audit trail, the audit trail comprising: every input datum with its provenance label and source location; every entity extraction match with the regex pattern and boundary validation result; every mechanism candidate with its prior, log-likelihood contributions, and posterior; every code clause evaluated with its satisfaction or violation status; every contradiction detected with its severity and resolution; every hard-lock trigger evaluated with its boolean result; and the generative model’s synthesis together with the adversarial model’s verification and the arbiter’s resolution.</w:t>
      </w:r>
    </w:p>
    <w:p>
      <w:pPr>
        <w:spacing w:after="120" w:before="0" w:line="320"/>
        <w:ind w:firstLine="360"/>
        <w:jc w:val="both"/>
      </w:pPr>
      <w:r>
        <w:rPr>
          <w:rFonts w:ascii="Times New Roman" w:cs="Times New Roman" w:eastAsia="Times New Roman" w:hAnsi="Times New Roman"/>
          <w:sz w:val="22"/>
          <w:szCs w:val="22"/>
        </w:rPr>
        <w:t xml:space="preserve">12. The system of claim 1, further comprising a contextual fact inference engine that executes prior to the deterministic pipeline, evaluating the input against a library of at least one hundred domain-specific inference patterns, each pattern specifying a trigger condition and an inferred fact tagged with provenance label INFERRED-BY-PATTERN, thereby enriching sparse inspector inputs with domain knowledge without requiring explicit inspector statement.</w:t>
      </w:r>
    </w:p>
    <w:p>
      <w:pPr>
        <w:spacing w:after="120" w:before="0" w:line="320"/>
        <w:ind w:firstLine="360"/>
        <w:jc w:val="both"/>
      </w:pPr>
      <w:r>
        <w:rPr>
          <w:rFonts w:ascii="Times New Roman" w:cs="Times New Roman" w:eastAsia="Times New Roman" w:hAnsi="Times New Roman"/>
          <w:sz w:val="22"/>
          <w:szCs w:val="22"/>
        </w:rPr>
        <w:t xml:space="preserve">13. The system of claim 1, further comprising domain-specialized engine suites for at least subsea structures, marine vessels, floating production installations, refinery process equipment, and power generation equipment, each suite comprising domain-specific damage mechanism knowledge bases, domain-specific authority lock code bindings, and domain-specific hard-lock trigger conditions.</w:t>
      </w:r>
    </w:p>
    <w:p>
      <w:pPr>
        <w:spacing w:after="120" w:before="0" w:line="320"/>
        <w:ind w:firstLine="360"/>
        <w:jc w:val="both"/>
      </w:pPr>
      <w:r>
        <w:rPr>
          <w:rFonts w:ascii="Times New Roman" w:cs="Times New Roman" w:eastAsia="Times New Roman" w:hAnsi="Times New Roman"/>
          <w:sz w:val="22"/>
          <w:szCs w:val="22"/>
        </w:rPr>
        <w:t xml:space="preserve">14. A computer-implemented method corresponding to the system of claim 1, comprising the steps of: receiving a free-form natural-language inspection input; normalizing the input into a structured state; executing a deterministic pipeline of non-random transformations; classifying and propagating evidence provenance; ranking candidate damage mechanisms; binding candidate dispositions to engineering code clauses via an authority lock; detecting contradictions; evaluating hard-lock trigger conditions; and generating a constrained natural-language synthesis of the disposition; wherein identical inputs produce identical outputs and identical audit trails.</w:t>
      </w:r>
    </w:p>
    <w:p>
      <w:r>
        <w:br w:type="page"/>
      </w:r>
    </w:p>
    <w:p>
      <w:pPr>
        <w:pStyle w:val="Heading2"/>
        <w:spacing w:after="140" w:before="240"/>
        <w:jc w:val="left"/>
      </w:pPr>
      <w:r>
        <w:rPr>
          <w:rFonts w:ascii="Times New Roman" w:cs="Times New Roman" w:eastAsia="Times New Roman" w:hAnsi="Times New Roman"/>
          <w:b/>
          <w:bCs/>
          <w:sz w:val="24"/>
          <w:szCs w:val="24"/>
        </w:rPr>
        <w:t xml:space="preserve">LAYER 2 — ANY ENGINEERING-CODE-GOVERNED SYSTEM (Moderate Breadth)</w:t>
      </w:r>
    </w:p>
    <w:p>
      <w:pPr>
        <w:spacing w:after="120" w:before="0" w:line="320"/>
        <w:ind w:firstLine="360"/>
        <w:jc w:val="both"/>
      </w:pPr>
      <w:r>
        <w:rPr>
          <w:rFonts w:ascii="Times New Roman" w:cs="Times New Roman" w:eastAsia="Times New Roman" w:hAnsi="Times New Roman"/>
          <w:sz w:val="22"/>
          <w:szCs w:val="22"/>
        </w:rPr>
        <w:t xml:space="preserve">15. A computer-implemented system for generating auditable decisions in domains governed by engineering codes and standards, the system comprising: one or more processors; non-transitory computer-readable memory storing instructions that, when executed, cause the system to: (a) receive unstructured input describing an engineering assessment scenario; (b) process the input through a deterministic pipeline of non-random transformations producing identical outputs for identical inputs; (c) classify each datum with provenance labels and propagate provenance such that derived-data confidence is constrained by the lowest-confidence input; (d) bind each candidate output to applicable engineering code clauses and block any output that violates a binding clause; (e) detect contradictions among input data, derived states, and code requirements, and block output when unresolved blocking contradictions exist; (f) evaluate a finite set of hard-lock trigger conditions and force outputs to predefined safe states when triggers fire; and (g) generate a natural-language explanation via a generative model operating in synthesis-only mode, prohibited from altering the deterministic output.</w:t>
      </w:r>
    </w:p>
    <w:p>
      <w:pPr>
        <w:spacing w:after="120" w:before="0" w:line="320"/>
        <w:ind w:firstLine="360"/>
        <w:jc w:val="both"/>
      </w:pPr>
      <w:r>
        <w:rPr>
          <w:rFonts w:ascii="Times New Roman" w:cs="Times New Roman" w:eastAsia="Times New Roman" w:hAnsi="Times New Roman"/>
          <w:sz w:val="22"/>
          <w:szCs w:val="22"/>
        </w:rPr>
        <w:t xml:space="preserve">16. The system of claim 15, further comprising an inspection or assessment effectiveness engine that evaluates the quality and reliability of the input data and blocks final output when the computed data quality falls below a domain-specific threshold.</w:t>
      </w:r>
    </w:p>
    <w:p>
      <w:pPr>
        <w:spacing w:after="120" w:before="0" w:line="320"/>
        <w:ind w:firstLine="360"/>
        <w:jc w:val="both"/>
      </w:pPr>
      <w:r>
        <w:rPr>
          <w:rFonts w:ascii="Times New Roman" w:cs="Times New Roman" w:eastAsia="Times New Roman" w:hAnsi="Times New Roman"/>
          <w:sz w:val="22"/>
          <w:szCs w:val="22"/>
        </w:rPr>
        <w:t xml:space="preserve">17. The system of claim 15, wherein the system explicitly refuses to produce output under defined conditions and instead emits a structured deficiency report identifying the specific remedial actions required.</w:t>
      </w:r>
    </w:p>
    <w:p>
      <w:pPr>
        <w:spacing w:after="120" w:before="0" w:line="320"/>
        <w:ind w:firstLine="360"/>
        <w:jc w:val="both"/>
      </w:pPr>
      <w:r>
        <w:rPr>
          <w:rFonts w:ascii="Times New Roman" w:cs="Times New Roman" w:eastAsia="Times New Roman" w:hAnsi="Times New Roman"/>
          <w:sz w:val="22"/>
          <w:szCs w:val="22"/>
        </w:rPr>
        <w:t xml:space="preserve">18. The system of claim 15, further comprising an iterative decision loop that re-processes the pipeline when contradictions or compound scenarios are detected, cycling until resolution or until a maximum iteration count is reached.</w:t>
      </w:r>
    </w:p>
    <w:p>
      <w:pPr>
        <w:spacing w:after="120" w:before="0" w:line="320"/>
        <w:ind w:firstLine="360"/>
        <w:jc w:val="both"/>
      </w:pPr>
      <w:r>
        <w:rPr>
          <w:rFonts w:ascii="Times New Roman" w:cs="Times New Roman" w:eastAsia="Times New Roman" w:hAnsi="Times New Roman"/>
          <w:sz w:val="22"/>
          <w:szCs w:val="22"/>
        </w:rPr>
        <w:t xml:space="preserve">19. The system of claim 15, further comprising a multi-model adversarial validation layer in which a second generative model independently evaluates the synthesis output and a deterministic arbiter resolves discrepancies by reference to the pipeline state.</w:t>
      </w:r>
    </w:p>
    <w:p>
      <w:pPr>
        <w:spacing w:after="120" w:before="0" w:line="320"/>
        <w:ind w:firstLine="360"/>
        <w:jc w:val="both"/>
      </w:pPr>
      <w:r>
        <w:rPr>
          <w:rFonts w:ascii="Times New Roman" w:cs="Times New Roman" w:eastAsia="Times New Roman" w:hAnsi="Times New Roman"/>
          <w:sz w:val="22"/>
          <w:szCs w:val="22"/>
        </w:rPr>
        <w:t xml:space="preserve">20. The system of claim 15, wherein each output is accompanied by a reproducible machine-readable audit trail such that re-execution of the pipeline with identical input produces a bitwise-identical audit trail traceable from the output back to each input datum, intermediate computation, code clause evaluation, and safety override.</w:t>
      </w:r>
    </w:p>
    <w:p>
      <w:pPr>
        <w:spacing w:after="120" w:before="0" w:line="320"/>
        <w:ind w:firstLine="360"/>
        <w:jc w:val="both"/>
      </w:pPr>
      <w:r>
        <w:rPr>
          <w:rFonts w:ascii="Times New Roman" w:cs="Times New Roman" w:eastAsia="Times New Roman" w:hAnsi="Times New Roman"/>
          <w:sz w:val="22"/>
          <w:szCs w:val="22"/>
        </w:rPr>
        <w:t xml:space="preserve">21. The system of claim 15, further comprising a regression test authority that maintains a versioned corpus of test cases with known-correct outputs, automatically re-executes the pipeline against the corpus upon any system update, and blocks deployment of updates that cause accuracy regression below a configured threshold.</w:t>
      </w:r>
    </w:p>
    <w:p>
      <w:pPr>
        <w:spacing w:after="120" w:before="0" w:line="320"/>
        <w:ind w:firstLine="360"/>
        <w:jc w:val="both"/>
      </w:pPr>
      <w:r>
        <w:rPr>
          <w:rFonts w:ascii="Times New Roman" w:cs="Times New Roman" w:eastAsia="Times New Roman" w:hAnsi="Times New Roman"/>
          <w:sz w:val="22"/>
          <w:szCs w:val="22"/>
        </w:rPr>
        <w:t xml:space="preserve">22. A non-transitory computer-readable medium storing instructions that, when executed by one or more processors, cause the processors to perform the method of claim 15.</w:t>
      </w:r>
    </w:p>
    <w:p>
      <w:r>
        <w:br w:type="page"/>
      </w:r>
    </w:p>
    <w:p>
      <w:pPr>
        <w:pStyle w:val="Heading2"/>
        <w:spacing w:after="140" w:before="240"/>
        <w:jc w:val="left"/>
      </w:pPr>
      <w:r>
        <w:rPr>
          <w:rFonts w:ascii="Times New Roman" w:cs="Times New Roman" w:eastAsia="Times New Roman" w:hAnsi="Times New Roman"/>
          <w:b/>
          <w:bCs/>
          <w:sz w:val="24"/>
          <w:szCs w:val="24"/>
        </w:rPr>
        <w:t xml:space="preserve">LAYER 3 — GENERAL AUTHORITATIVE-KNOWLEDGE ARCHITECTURE (Broadest)</w:t>
      </w:r>
    </w:p>
    <w:p>
      <w:pPr>
        <w:spacing w:after="120" w:before="0" w:line="320"/>
        <w:ind w:firstLine="360"/>
        <w:jc w:val="both"/>
      </w:pPr>
      <w:r>
        <w:rPr>
          <w:rFonts w:ascii="Times New Roman" w:cs="Times New Roman" w:eastAsia="Times New Roman" w:hAnsi="Times New Roman"/>
          <w:sz w:val="22"/>
          <w:szCs w:val="22"/>
        </w:rPr>
        <w:t xml:space="preserve">23. A computer-implemented system for generating auditable outputs in domains governed by authoritative knowledge sources, the system comprising: one or more processors; non-transitory computer-readable memory storing instructions that, when executed, cause the system to operate over a configurable domain selected from at least: industrial asset integrity inspection, expert-domain training and certification preparation, and analogous safety-critical or qualification-relevant domains; the system comprising in each configuration: (a) a deterministic processing pipeline of non-random transformations producing identical outputs for identical inputs; (b) an authority lock subsystem bound to a corpus of authoritative knowledge sources for the active domain that blocks outputs contradicting binding rules; (c) an evidence provenance engine constraining derived-data confidence by input certainty; (d) a hypothesis ranking engine for the active domain; (e) a contradiction engine; (f) a hard-lock override system with domain-specific triggers; and (g) a constrained generative model in synthesis-only mode with adversarial validation; wherein the same architecture, with domain-specific binding of the authority lock, the hypothesis space, and the trigger set, supports outputs in each configured domain.</w:t>
      </w:r>
    </w:p>
    <w:p>
      <w:pPr>
        <w:spacing w:after="120" w:before="0" w:line="320"/>
        <w:ind w:firstLine="360"/>
        <w:jc w:val="both"/>
      </w:pPr>
      <w:r>
        <w:rPr>
          <w:rFonts w:ascii="Times New Roman" w:cs="Times New Roman" w:eastAsia="Times New Roman" w:hAnsi="Times New Roman"/>
          <w:sz w:val="22"/>
          <w:szCs w:val="22"/>
        </w:rPr>
        <w:t xml:space="preserve">24. The system of claim 23, configured for an educational domain, wherein: the hypothesis ranking engine ranks candidate learner misconceptions rather than damage mechanisms; the authority lock binds outputs to curriculum standards and certification body requirements rather than engineering codes; and the hard-lock triggers include unsafe-practice endorsement prevention, prerequisite gating, and repeat-misconception escalation.</w:t>
      </w:r>
    </w:p>
    <w:p>
      <w:pPr>
        <w:spacing w:after="120" w:before="0" w:line="320"/>
        <w:ind w:firstLine="360"/>
        <w:jc w:val="both"/>
      </w:pPr>
      <w:r>
        <w:rPr>
          <w:rFonts w:ascii="Times New Roman" w:cs="Times New Roman" w:eastAsia="Times New Roman" w:hAnsi="Times New Roman"/>
          <w:sz w:val="22"/>
          <w:szCs w:val="22"/>
        </w:rPr>
        <w:t xml:space="preserve">25. The system of claim 23, wherein the system blocks output unless every applicable validation gate has been satisfied, including: authority lock compliance, contradiction resolution, hard-lock evaluation, evidence provenance sufficiency, and inspection or assessment effectiveness threshold.</w:t>
      </w:r>
    </w:p>
    <w:p>
      <w:pPr>
        <w:spacing w:after="120" w:before="0" w:line="320"/>
        <w:ind w:firstLine="360"/>
        <w:jc w:val="both"/>
      </w:pPr>
      <w:r>
        <w:rPr>
          <w:rFonts w:ascii="Times New Roman" w:cs="Times New Roman" w:eastAsia="Times New Roman" w:hAnsi="Times New Roman"/>
          <w:sz w:val="22"/>
          <w:szCs w:val="22"/>
        </w:rPr>
        <w:t xml:space="preserve">26. A non-transitory computer-readable medium storing instructions that, when executed by one or more processors, cause the processors to implement the system of claim 23 for a domain selected at runtime from a set of at least two distinct authoritative-knowledge domains.</w:t>
      </w:r>
    </w:p>
    <w:p>
      <w:pPr>
        <w:pStyle w:val="Heading1"/>
        <w:spacing w:after="200" w:before="360"/>
        <w:jc w:val="left"/>
      </w:pPr>
      <w:r>
        <w:rPr>
          <w:rFonts w:ascii="Times New Roman" w:cs="Times New Roman" w:eastAsia="Times New Roman" w:hAnsi="Times New Roman"/>
          <w:b/>
          <w:bCs/>
          <w:sz w:val="26"/>
          <w:szCs w:val="26"/>
        </w:rPr>
        <w:t xml:space="preserve">ABSTRACT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physics-first deterministic decision and diagnostic intelligence system for safety-critical and qualification-relevant decisions in domains governed by authoritative knowledge sources. The architecture processes free-form natural-language input through a twelve-step deterministic pipeline organized within a six-state cyclic decision core. Entity extraction is gated by enforced regex word-boundary validation, eliminating substring-collision misclassification. Each datum is assigned a provenance label (OBSERVED, INFERRED, ASSUMED) propagated through a directed dependency graph that constrains derived-data confidence. Candidate hypotheses — damage mechanisms in inspection embodiments, learner misconceptions in educational embodiments — are ranked by a dominance engine; compound-mechanism scenarios are resolved by a failure timeline engine. Each output is bound to applicable authoritative clauses (engineering codes in inspection embodiments; curriculum standards and certification body requirements in educational embodiments) via an authority lock that refuses to issue outputs contradicting binding clauses or endorsing unsafe field practice. A contradiction engine and finite hard-lock trigger set provide additional safety overrides, including domain-specific triggers for inspection (e.g., NACE hardness limits, code-allowable section loss) and educational variants (e.g., unsafe practice endorsement, prerequisite gating, repeat misconception escalation). A generative language model is invoked only in a synthesis role with prompt content fully determined by the deterministic pipeline state; a second adversarial language model and a deterministic arbiter further constrain output. Every output is accompanied by a complete reproducible machine-readable audit trail. The system is applicable to inspection of pressure vessels, piping, atmospheric storage tanks, offshore structures, underwater infrastructure, and welded fabrications under codes including API 510, API 570, API 579, NACE MR0175, ASME BPVC, and AWS D1.x; and to expert-domain training and qualification preparation in welding inspection (AWS QC1), commercial diving (ADCI Consensus Standards), and NDT technician qualification (ASNT SNT-TC-1A and CP-189). The architecture as a whole is configurable to additional safety-critical or qualification-relevant domains governed by authoritative knowledge sources.</w:t>
      </w:r>
    </w:p>
    <w:p>
      <w:r>
        <w:br w:type="page"/>
      </w:r>
    </w:p>
    <w:p>
      <w:pPr>
        <w:pStyle w:val="Heading1"/>
        <w:spacing w:after="200" w:before="360"/>
        <w:jc w:val="left"/>
      </w:pPr>
      <w:r>
        <w:rPr>
          <w:rFonts w:ascii="Times New Roman" w:cs="Times New Roman" w:eastAsia="Times New Roman" w:hAnsi="Times New Roman"/>
          <w:b/>
          <w:bCs/>
          <w:sz w:val="26"/>
          <w:szCs w:val="26"/>
        </w:rPr>
        <w:t xml:space="preserve">DECLARATIONS AND NOTES TO ATTORNEY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 This provisional disclosure is intended to establish the earliest possible priority date under 35 U.S.C. § 119(e) for the invention described herein. The inventor anticipates filing a non-provisional application within twelve (12) months of the filing date of this provisional, claiming priority to this filing.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 The inventor anticipates a public disclosure event at the ASNT Annual Conference scheduled for October 2026 in Columbus, Ohio. Filing of this provisional prior to that event is required to preserve U.S. one-year-grace and foreign-jurisdiction novelty rights.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3. The system described herein is implemented and operational as of the filing date in working software platforms deployed at the URL 4dndt.netlify.app (the inspection-intelligence embodiment), with source repository at github.com/rgjohnston911-svg/forged-ndt-intelligence; and at the URL forgedweldscan.com (the welding-education embodiment of the Educational Variant). The inventor will provide the patent attorney with version-controlled snapshots of the source code from both platforms as evidence of conception and reduction to practice for both the inspection and educational embodiments.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4. The inventor requests that the attorney consider, in the non-provisional drafting, claim categories beyond those illustrated in the Sample Claims section, including without limitation: (a) standalone subsystem claims for each of the principal subsystems, both inspection-variant and educational-variant; (b) computer-readable medium claims paralleling each system and method claim; (c) data-structure claims directed to the audit trail format; (d) claims directed to the welding-inspection embodiment as a separate independent claim chain; (e) claims directed to the commercial-diving training embodiment as a separate independent claim chain; (f) claims directed to the NDT technician training embodiment as a separate independent claim chain; and (g) claims directed to the generalized authoritative-knowledge framework that read on any domain configuration.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5. The inventor identifies the following as the principal points of novelty over prior art, ranked by perceived defensibility: (i) the constrained-LLM synthesis architecture in which the LLM is restricted to natural-language synthesis of a deterministically-decided output, applied uniformly across both inspection and educational embodiments; (ii) the unification of inspection-domain and training-domain reasoning under a single architectural pattern with domain-specific authority-lock binding; (iii) the evidence provenance engine with enforced provenance non-increase across derivation, applied to both inspection evidence and learner-response evidence; (iv) the word-boundary semantic validation as a safety-critical gate, applied across inspection input, learner input, and any other free-form natural-language input to the System; (v) the cyclic six-state deterministic decision processing architecture with re-entry on contradiction; (vi) the authority lock subsystem with code-ingestion and curriculum-ingestion modules; (vii) the hard-lock systems with enumerated triggers and forced safe-state output, including specifically the Pedagogical Hard-Lock Subsystem's prevention of unsafe-practice endorsement; (viii) the dominance engines with conservative tie-breaking, applied to mechanism ranking and misconception ranking; and (ix) the multi-LLM adversarial validation with deterministic arbitration.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6. The inventor further requests that, to the extent practicable, the non-provisional application include figures generated from the inventor's working systems, including: a system architecture diagram, a cyclic deterministic decision core state diagram, a twelve-step pipeline flow diagram, a provenance-graph illustration, an authority-lock binding diagram, a word-boundary collision-and-fix illustration, a hard-lock trigger map, an end-to-end sequence diagram of an example inspection scenario, an end-to-end sequence diagram of an example educational scenario, a Student Response Classifier template-selection flow, a Misconception Dominance Engine block diagram, and a generalized-framework domain-selector diagram. Working code excerpts may be incorporated into the detailed description as appropriate to enablement under 35 U.S.C. § 112.</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7. The inventor identifies the following as closest known prior art, to be addressed by the attorney in the non-provisional: for the inspection embodiments — (a) commercial asset-management platforms (PCMS, Meridium APM, Synergi Plant); (b) published research on multi-agent LLM debate (e.g., Du et al., 2023) and Constitutional AI; (c) chain-of-thought prompting research; (d) API 580/581 risk-based inspection methodology and any patents thereon; (e) inline inspection vendor algorithms; and (f) prior patents on rule-based engineering decision support systems. For the educational embodiments — (g) adaptive tutoring platforms (Carnegie Learning, ALEKS, Knewton, Duolingo); (h) intelligent tutoring system research; (i) emerging LLM-based tutoring platforms post-2023; (j) computer-based training products from welding-inspection vendors and certification bodies; (k) NCCER and SENSE digital curriculum delivery platforms; and (l) prior patents on knowledge-tracing and student modeling. The inventor believes the integration architecture as a whole, and specifically the unified inspection-and-training framework with shared deterministic core, authority lock, and constrained-LLM synthesis, is novel even where individual components have prior-art analogues in either domain alone.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8. The inventor specifically draws the attorney's attention to the strategic importance of broad claim drafting that captures the architectural pattern across multiple application domains. The inventor's commercial intent is to deploy the architecture in inspection-intelligence (already deployed), welding education (already deployed and to be rebuilt under this filing), commercial diving training (planned), NDT technician training (planned), and other expert-domain qualification settings as opportunities arise. The attorney is requested to draft claims of varying scope, including narrow claims to specific embodiments for fall-back positions, but with at least one independent claim chain that captures the generalized framework so that competitor implementations in any domain governed by authoritative knowledge sources fall within scope.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9. UNITY OF INVENTION AND CONTINUATION FILING STRATEGY. The inventor notes that the subsystem engines described in this disclosure (Bayesian DDE, Contextual Fact Inference Engine, Inspection Effectiveness Engine, digital twin, active inspection optimizer, cross-case pattern recognition, MIC engine, and domain-specialized engine suites) are all aspects of a single inventive concept: a controlled decision architecture for safety-critical domains. Each subsystem is an interdependent component of the unified pipeline and does not function independently to produce a safe, auditable disposition. The inventor nevertheless requests that the attorney evaluate the advisability of filing continuation or divisional applications directed to: (a) the Bayesian DDE as a standalone probabilistic diagnostic system for industrial assets; (b) the inspection effectiveness gating architecture as a standalone quality assurance system; (c) the digital twin and active inspection optimization architecture; and (d) the cross-case fleet intelligence architecture. These continuation filings would claim priority to this provisional and extend the patent family’s protective scope while mitigating the risk of a restriction requirement in the parent application. The parent non-provisional should focus its claims on the core controlled decision architecture (the “fortress claim” in the Sample Claims Layer 1) with dependent claims covering the principal subsystems as integrated components of that architecture.</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120" w:before="0" w:line="320"/>
        <w:jc w:val="center"/>
      </w:pPr>
      <w:r>
        <w:rPr>
          <w:rFonts w:ascii="Times New Roman" w:cs="Times New Roman" w:eastAsia="Times New Roman" w:hAnsi="Times New Roman"/>
          <w:b/>
          <w:bCs/>
          <w:i w:val="false"/>
          <w:iCs w:val="false"/>
          <w:sz w:val="24"/>
          <w:szCs w:val="24"/>
        </w:rPr>
        <w:t xml:space="preserve">STATEMENT OF INVENTORSHIP</w:t>
      </w:r>
    </w:p>
    <w:p>
      <w:r>
        <w:rPr>
          <w:rFonts w:ascii="Times New Roman" w:cs="Times New Roman" w:eastAsia="Times New Roman" w:hAnsi="Times New Roman"/>
          <w:sz w:val="22"/>
          <w:szCs w:val="22"/>
        </w:rPr>
        <w:t xml:space="preserve"/>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undersigned hereby declares that the foregoing is a true and accurate description of the invention conceived and reduced to practice by the inventor named on the cover page hereof. The undersigned authorizes the attorney of record to make such formal corrections, additions, and amendments as may be necessary to perfect the application for filing with the United States Patent and Trademark Office.</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120" w:before="0" w:line="320"/>
        <w:jc w:val="left"/>
      </w:pPr>
      <w:r>
        <w:rPr>
          <w:rFonts w:ascii="Times New Roman" w:cs="Times New Roman" w:eastAsia="Times New Roman" w:hAnsi="Times New Roman"/>
          <w:b w:val="false"/>
          <w:bCs w:val="false"/>
          <w:i w:val="false"/>
          <w:iCs w:val="false"/>
          <w:sz w:val="22"/>
          <w:szCs w:val="22"/>
        </w:rPr>
        <w:t xml:space="preserve">_______________________________     _______________</w:t>
      </w:r>
    </w:p>
    <w:p>
      <w:pPr>
        <w:spacing w:after="120" w:before="0" w:line="320"/>
        <w:jc w:val="left"/>
      </w:pPr>
      <w:r>
        <w:rPr>
          <w:rFonts w:ascii="Times New Roman" w:cs="Times New Roman" w:eastAsia="Times New Roman" w:hAnsi="Times New Roman"/>
          <w:b w:val="false"/>
          <w:bCs w:val="false"/>
          <w:i w:val="false"/>
          <w:iCs w:val="false"/>
          <w:sz w:val="22"/>
          <w:szCs w:val="22"/>
        </w:rPr>
        <w:t xml:space="preserve">Richard G. Johnston, Inventor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FORGED 4D NDT Platform — Provisional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Patent Application - FORGED 4D NDT Platform</dc:title>
  <dc:creator>FORGED Educational Systems</dc:creator>
  <dc:description>Provisional disclosure for physics-first deterministic inspection intelligence system</dc:description>
  <cp:lastModifiedBy>Un-named</cp:lastModifiedBy>
  <cp:revision>1</cp:revision>
  <dcterms:created xsi:type="dcterms:W3CDTF">2026-04-30T00:17:41.041Z</dcterms:created>
  <dcterms:modified xsi:type="dcterms:W3CDTF">2026-04-30T00:17:41.041Z</dcterms:modified>
</cp:coreProperties>
</file>

<file path=docProps/custom.xml><?xml version="1.0" encoding="utf-8"?>
<Properties xmlns="http://schemas.openxmlformats.org/officeDocument/2006/custom-properties" xmlns:vt="http://schemas.openxmlformats.org/officeDocument/2006/docPropsVTypes"/>
</file>