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FORGED NDT Intelligence OS</w:t>
      </w:r>
    </w:p>
    <w:p>
      <w:pPr>
        <w:spacing w:after="200"/>
        <w:jc w:val="center"/>
      </w:pPr>
      <w:r>
        <w:rPr>
          <w:rFonts w:ascii="Arial" w:cs="Arial" w:eastAsia="Arial" w:hAnsi="Arial"/>
          <w:color w:val="3E5C76"/>
          <w:sz w:val="28"/>
          <w:szCs w:val="28"/>
        </w:rPr>
        <w:t xml:space="preserve">Complete Platform Architecture &amp; Engine Reference</w:t>
      </w:r>
    </w:p>
    <w:p>
      <w:pPr>
        <w:spacing w:after="200"/>
        <w:jc w:val="center"/>
      </w:pPr>
      <w:r>
        <w:rPr>
          <w:rFonts w:ascii="Arial" w:cs="Arial" w:eastAsia="Arial" w:hAnsi="Arial"/>
          <w:color w:val="6B7280"/>
          <w:sz w:val="22"/>
          <w:szCs w:val="22"/>
        </w:rPr>
        <w:t xml:space="preserve">Version 3.0.0  |  127 Engines  |  129 Database Tables  |  April 2026</w:t>
      </w:r>
    </w:p>
    <w:p>
      <w:pPr>
        <w:spacing w:after="400"/>
        <w:jc w:val="center"/>
      </w:pPr>
      <w:r>
        <w:rPr>
          <w:rFonts w:ascii="Arial" w:cs="Arial" w:eastAsia="Arial" w:hAnsi="Arial"/>
          <w:b/>
          <w:bCs/>
          <w:color w:val="EF4444"/>
          <w:sz w:val="20"/>
          <w:szCs w:val="20"/>
        </w:rPr>
        <w:t xml:space="preserve">CONFIDENTIAL</w:t>
      </w:r>
    </w:p>
    <w:r>
      <w:br w:type="page"/>
    </w:r>
    <w:p>
      <w:pPr>
        <w:pStyle w:val="Heading1"/>
        <w:spacing w:after="20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r>
      <w:br w:type="page"/>
    </w:r>
    <w:p>
      <w:pPr>
        <w:pStyle w:val="Heading1"/>
        <w:spacing w:after="200" w:before="360"/>
      </w:pPr>
      <w:r>
        <w:rPr>
          <w:rFonts w:ascii="Arial" w:cs="Arial" w:eastAsia="Arial" w:hAnsi="Arial"/>
          <w:b/>
          <w:bCs/>
          <w:color w:val="1A1A2E"/>
          <w:sz w:val="32"/>
          <w:szCs w:val="32"/>
        </w:rPr>
        <w:t xml:space="preserve">Executive Summary</w:t>
      </w:r>
    </w:p>
    <w:p>
      <w:pPr>
        <w:spacing w:after="120"/>
      </w:pPr>
      <w:r>
        <w:rPr>
          <w:rFonts w:ascii="Arial" w:cs="Arial" w:eastAsia="Arial" w:hAnsi="Arial"/>
          <w:sz w:val="21"/>
          <w:szCs w:val="21"/>
        </w:rPr>
        <w:t xml:space="preserve">FORGED NDT Intelligence OS is an autonomous inspection intelligence platform that transforms nondestructive testing from a manual, opinion-dependent process into a physics-grounded, AI-augmented, fully auditable decision system. The platform deploys 127 purpose-built engines across 16 functional domains, backed by 129 database tables, running as serverless functions on Netlify with Supabase (PostgreSQL) as the persistence layer.</w:t>
      </w:r>
    </w:p>
    <w:p>
      <w:pPr>
        <w:spacing w:after="120"/>
      </w:pPr>
      <w:r>
        <w:rPr>
          <w:rFonts w:ascii="Arial" w:cs="Arial" w:eastAsia="Arial" w:hAnsi="Arial"/>
          <w:sz w:val="21"/>
          <w:szCs w:val="21"/>
        </w:rPr>
        <w:t xml:space="preserve">Every decision the platform produces is separated into three compartments via the Output Envelope discipline: deterministic outputs (physics calculations and code lookups that are reproducible and courtroom-admissible), interpreted outputs (AI-generated narrative and recommendations), and provenance records (full audit trail). This separation means a regulator or attorney can strip all AI content and still have a complete, defensible engineering assessment.</w:t>
      </w:r>
    </w:p>
    <w:p>
      <w:pPr>
        <w:spacing w:after="120"/>
      </w:pPr>
      <w:r>
        <w:rPr>
          <w:rFonts w:ascii="Arial" w:cs="Arial" w:eastAsia="Arial" w:hAnsi="Arial"/>
          <w:sz w:val="21"/>
          <w:szCs w:val="21"/>
        </w:rPr>
        <w:t xml:space="preserve">The platform's reasoning core uses tri-model adversarial architecture (Superbrain): three independent AI models analyze every case from competing perspectives (Conservative Engineer, Risk Optimizer, Physics Fundamentalist), then a resolution model synthesizes the final recommendation. This adversarial approach catches errors that any single model would miss and produces decisions with explicit confidence intervals.</w:t>
      </w:r>
    </w:p>
    <w:p>
      <w:pPr>
        <w:spacing w:after="120"/>
      </w:pPr>
      <w:r>
        <w:rPr>
          <w:rFonts w:ascii="Arial" w:cs="Arial" w:eastAsia="Arial" w:hAnsi="Arial"/>
          <w:sz w:val="21"/>
          <w:szCs w:val="21"/>
        </w:rPr>
        <w:t xml:space="preserve">The system covers the full inspection lifecycle: asset registration and hierarchy management, field measurement entry with physics-bounded validation, corrosion rate computation, remaining life prediction, risk scoring, code compliance verification, repair pathway selection, regulatory report generation, and fleet-wide analytics. It supports 10+ industry verticals including oil and gas, refinery, subsea, marine vessel, nuclear, aerospace, power generation, civil infrastructure, and more.</w:t>
      </w:r>
    </w:p>
    <w:r>
      <w:br w:type="page"/>
    </w:r>
    <w:p>
      <w:pPr>
        <w:pStyle w:val="Heading1"/>
        <w:spacing w:after="200" w:before="360"/>
      </w:pPr>
      <w:r>
        <w:rPr>
          <w:rFonts w:ascii="Arial" w:cs="Arial" w:eastAsia="Arial" w:hAnsi="Arial"/>
          <w:b/>
          <w:bCs/>
          <w:color w:val="1A1A2E"/>
          <w:sz w:val="32"/>
          <w:szCs w:val="32"/>
        </w:rPr>
        <w:t xml:space="preserve">Architecture Overview</w:t>
      </w:r>
    </w:p>
    <w:p>
      <w:pPr>
        <w:pStyle w:val="Heading2"/>
        <w:spacing w:after="160" w:before="280"/>
      </w:pPr>
      <w:r>
        <w:rPr>
          <w:rFonts w:ascii="Arial" w:cs="Arial" w:eastAsia="Arial" w:hAnsi="Arial"/>
          <w:b/>
          <w:bCs/>
          <w:color w:val="2D3561"/>
          <w:sz w:val="26"/>
          <w:szCs w:val="26"/>
        </w:rPr>
        <w:t xml:space="preserve">7-Layer Architecture</w:t>
      </w:r>
    </w:p>
    <w:p>
      <w:pPr>
        <w:spacing w:after="120"/>
      </w:pPr>
      <w:r>
        <w:rPr>
          <w:rFonts w:ascii="Arial" w:cs="Arial" w:eastAsia="Arial" w:hAnsi="Arial"/>
          <w:sz w:val="21"/>
          <w:szCs w:val="21"/>
        </w:rPr>
        <w:t xml:space="preserve">The platform is organized into 7 conceptual layers, each building on the one below:</w:t>
      </w:r>
    </w:p>
    <w:p>
      <w:pPr>
        <w:spacing w:after="100"/>
      </w:pPr>
      <w:r>
        <w:rPr>
          <w:rFonts w:ascii="Arial" w:cs="Arial" w:eastAsia="Arial" w:hAnsi="Arial"/>
          <w:b/>
          <w:bCs/>
          <w:sz w:val="21"/>
          <w:szCs w:val="21"/>
        </w:rPr>
        <w:t xml:space="preserve">Layer 1 - World Model: </w:t>
      </w:r>
      <w:r>
        <w:rPr>
          <w:rFonts w:ascii="Arial" w:cs="Arial" w:eastAsia="Arial" w:hAnsi="Arial"/>
          <w:sz w:val="21"/>
          <w:szCs w:val="21"/>
        </w:rPr>
        <w:t xml:space="preserve">The Inspection World Model simulates asset degradation under different scenarios, providing the foundational state representation that all other layers build upon.</w:t>
      </w:r>
    </w:p>
    <w:p>
      <w:pPr>
        <w:spacing w:after="100"/>
      </w:pPr>
      <w:r>
        <w:rPr>
          <w:rFonts w:ascii="Arial" w:cs="Arial" w:eastAsia="Arial" w:hAnsi="Arial"/>
          <w:b/>
          <w:bCs/>
          <w:sz w:val="21"/>
          <w:szCs w:val="21"/>
        </w:rPr>
        <w:t xml:space="preserve">Layer 2 - Physics Learning: </w:t>
      </w:r>
      <w:r>
        <w:rPr>
          <w:rFonts w:ascii="Arial" w:cs="Arial" w:eastAsia="Arial" w:hAnsi="Arial"/>
          <w:sz w:val="21"/>
          <w:szCs w:val="21"/>
        </w:rPr>
        <w:t xml:space="preserve">Self-improving physics models that track prediction accuracy over time and propose parameter updates when predictions diverge from measurements.</w:t>
      </w:r>
    </w:p>
    <w:p>
      <w:pPr>
        <w:spacing w:after="100"/>
      </w:pPr>
      <w:r>
        <w:rPr>
          <w:rFonts w:ascii="Arial" w:cs="Arial" w:eastAsia="Arial" w:hAnsi="Arial"/>
          <w:b/>
          <w:bCs/>
          <w:sz w:val="21"/>
          <w:szCs w:val="21"/>
        </w:rPr>
        <w:t xml:space="preserve">Layer 3 - Self-Calibrating Twin: </w:t>
      </w:r>
      <w:r>
        <w:rPr>
          <w:rFonts w:ascii="Arial" w:cs="Arial" w:eastAsia="Arial" w:hAnsi="Arial"/>
          <w:sz w:val="21"/>
          <w:szCs w:val="21"/>
        </w:rPr>
        <w:t xml:space="preserve">Digital twins that auto-calibrate when new measurements arrive, tracking drift between predicted and actual condition.</w:t>
      </w:r>
    </w:p>
    <w:p>
      <w:pPr>
        <w:spacing w:after="100"/>
      </w:pPr>
      <w:r>
        <w:rPr>
          <w:rFonts w:ascii="Arial" w:cs="Arial" w:eastAsia="Arial" w:hAnsi="Arial"/>
          <w:b/>
          <w:bCs/>
          <w:sz w:val="21"/>
          <w:szCs w:val="21"/>
        </w:rPr>
        <w:t xml:space="preserve">Layer 4 - Conceptual Reasoning: </w:t>
      </w:r>
      <w:r>
        <w:rPr>
          <w:rFonts w:ascii="Arial" w:cs="Arial" w:eastAsia="Arial" w:hAnsi="Arial"/>
          <w:sz w:val="21"/>
          <w:szCs w:val="21"/>
        </w:rPr>
        <w:t xml:space="preserve">Higher-order reasoning that builds hypothesis trees, identifies causal chains, detects cross-domain analogies, and flags novel failure modes.</w:t>
      </w:r>
    </w:p>
    <w:p>
      <w:pPr>
        <w:spacing w:after="100"/>
      </w:pPr>
      <w:r>
        <w:rPr>
          <w:rFonts w:ascii="Arial" w:cs="Arial" w:eastAsia="Arial" w:hAnsi="Arial"/>
          <w:b/>
          <w:bCs/>
          <w:sz w:val="21"/>
          <w:szCs w:val="21"/>
        </w:rPr>
        <w:t xml:space="preserve">Layer 5 - Proof Engine: </w:t>
      </w:r>
      <w:r>
        <w:rPr>
          <w:rFonts w:ascii="Arial" w:cs="Arial" w:eastAsia="Arial" w:hAnsi="Arial"/>
          <w:sz w:val="21"/>
          <w:szCs w:val="21"/>
        </w:rPr>
        <w:t xml:space="preserve">Every computation is formula-backed with full provenance. No black boxes. Every number traces to a specific formula, input values, and intermediate steps.</w:t>
      </w:r>
    </w:p>
    <w:p>
      <w:pPr>
        <w:spacing w:after="100"/>
      </w:pPr>
      <w:r>
        <w:rPr>
          <w:rFonts w:ascii="Arial" w:cs="Arial" w:eastAsia="Arial" w:hAnsi="Arial"/>
          <w:b/>
          <w:bCs/>
          <w:sz w:val="21"/>
          <w:szCs w:val="21"/>
        </w:rPr>
        <w:t xml:space="preserve">Layer 6 - Validation Engine: </w:t>
      </w:r>
      <w:r>
        <w:rPr>
          <w:rFonts w:ascii="Arial" w:cs="Arial" w:eastAsia="Arial" w:hAnsi="Arial"/>
          <w:sz w:val="21"/>
          <w:szCs w:val="21"/>
        </w:rPr>
        <w:t xml:space="preserve">Multi-path convergence checking, contradiction detection, regression testing, and assumption contract validation ensure output quality.</w:t>
      </w:r>
    </w:p>
    <w:p>
      <w:pPr>
        <w:spacing w:after="100"/>
      </w:pPr>
      <w:r>
        <w:rPr>
          <w:rFonts w:ascii="Arial" w:cs="Arial" w:eastAsia="Arial" w:hAnsi="Arial"/>
          <w:b/>
          <w:bCs/>
          <w:sz w:val="21"/>
          <w:szCs w:val="21"/>
        </w:rPr>
        <w:t xml:space="preserve">Layer 7 - Closed-Loop Learning: </w:t>
      </w:r>
      <w:r>
        <w:rPr>
          <w:rFonts w:ascii="Arial" w:cs="Arial" w:eastAsia="Arial" w:hAnsi="Arial"/>
          <w:sz w:val="21"/>
          <w:szCs w:val="21"/>
        </w:rPr>
        <w:t xml:space="preserve">Outcome tracking feeds real-world results back into the system, continuously improving prediction accuracy and identifying where the platform is weakest.</w:t>
      </w:r>
    </w:p>
    <w:p>
      <w:pPr>
        <w:pStyle w:val="Heading2"/>
        <w:spacing w:after="160" w:before="280"/>
      </w:pPr>
      <w:r>
        <w:rPr>
          <w:rFonts w:ascii="Arial" w:cs="Arial" w:eastAsia="Arial" w:hAnsi="Arial"/>
          <w:b/>
          <w:bCs/>
          <w:color w:val="2D3561"/>
          <w:sz w:val="26"/>
          <w:szCs w:val="26"/>
        </w:rPr>
        <w:t xml:space="preserve">Technology Stack</w:t>
      </w:r>
    </w:p>
    <w:p>
      <w:pPr>
        <w:spacing w:after="100"/>
      </w:pPr>
      <w:r>
        <w:rPr>
          <w:rFonts w:ascii="Arial" w:cs="Arial" w:eastAsia="Arial" w:hAnsi="Arial"/>
          <w:b/>
          <w:bCs/>
          <w:sz w:val="21"/>
          <w:szCs w:val="21"/>
        </w:rPr>
        <w:t xml:space="preserve">Runtime: </w:t>
      </w:r>
      <w:r>
        <w:rPr>
          <w:rFonts w:ascii="Arial" w:cs="Arial" w:eastAsia="Arial" w:hAnsi="Arial"/>
          <w:sz w:val="21"/>
          <w:szCs w:val="21"/>
        </w:rPr>
        <w:t xml:space="preserve">Netlify Functions (serverless Node.js/TypeScript)</w:t>
      </w:r>
    </w:p>
    <w:p>
      <w:pPr>
        <w:spacing w:after="100"/>
      </w:pPr>
      <w:r>
        <w:rPr>
          <w:rFonts w:ascii="Arial" w:cs="Arial" w:eastAsia="Arial" w:hAnsi="Arial"/>
          <w:b/>
          <w:bCs/>
          <w:sz w:val="21"/>
          <w:szCs w:val="21"/>
        </w:rPr>
        <w:t xml:space="preserve">Database: </w:t>
      </w:r>
      <w:r>
        <w:rPr>
          <w:rFonts w:ascii="Arial" w:cs="Arial" w:eastAsia="Arial" w:hAnsi="Arial"/>
          <w:sz w:val="21"/>
          <w:szCs w:val="21"/>
        </w:rPr>
        <w:t xml:space="preserve">Supabase (PostgreSQL) with Row Level Security, 129 tables</w:t>
      </w:r>
    </w:p>
    <w:p>
      <w:pPr>
        <w:spacing w:after="100"/>
      </w:pPr>
      <w:r>
        <w:rPr>
          <w:rFonts w:ascii="Arial" w:cs="Arial" w:eastAsia="Arial" w:hAnsi="Arial"/>
          <w:b/>
          <w:bCs/>
          <w:sz w:val="21"/>
          <w:szCs w:val="21"/>
        </w:rPr>
        <w:t xml:space="preserve">AI Models: </w:t>
      </w:r>
      <w:r>
        <w:rPr>
          <w:rFonts w:ascii="Arial" w:cs="Arial" w:eastAsia="Arial" w:hAnsi="Arial"/>
          <w:sz w:val="21"/>
          <w:szCs w:val="21"/>
        </w:rPr>
        <w:t xml:space="preserve">Anthropic Claude and OpenAI GPT via API (tri-model adversarial architecture)</w:t>
      </w:r>
    </w:p>
    <w:p>
      <w:pPr>
        <w:spacing w:after="100"/>
      </w:pPr>
      <w:r>
        <w:rPr>
          <w:rFonts w:ascii="Arial" w:cs="Arial" w:eastAsia="Arial" w:hAnsi="Arial"/>
          <w:b/>
          <w:bCs/>
          <w:sz w:val="21"/>
          <w:szCs w:val="21"/>
        </w:rPr>
        <w:t xml:space="preserve">Frontend: </w:t>
      </w:r>
      <w:r>
        <w:rPr>
          <w:rFonts w:ascii="Arial" w:cs="Arial" w:eastAsia="Arial" w:hAnsi="Arial"/>
          <w:sz w:val="21"/>
          <w:szCs w:val="21"/>
        </w:rPr>
        <w:t xml:space="preserve">Static HTML/JS served from Netlify CDN</w:t>
      </w:r>
    </w:p>
    <w:p>
      <w:pPr>
        <w:spacing w:after="100"/>
      </w:pPr>
      <w:r>
        <w:rPr>
          <w:rFonts w:ascii="Arial" w:cs="Arial" w:eastAsia="Arial" w:hAnsi="Arial"/>
          <w:b/>
          <w:bCs/>
          <w:sz w:val="21"/>
          <w:szCs w:val="21"/>
        </w:rPr>
        <w:t xml:space="preserve">Security: </w:t>
      </w:r>
      <w:r>
        <w:rPr>
          <w:rFonts w:ascii="Arial" w:cs="Arial" w:eastAsia="Arial" w:hAnsi="Arial"/>
          <w:sz w:val="21"/>
          <w:szCs w:val="21"/>
        </w:rPr>
        <w:t xml:space="preserve">Service role authentication, RLS policies on all tables, cryptographic audit chains</w:t>
      </w:r>
    </w:p>
    <w:p>
      <w:pPr>
        <w:spacing w:after="100"/>
      </w:pPr>
      <w:r>
        <w:rPr>
          <w:rFonts w:ascii="Arial" w:cs="Arial" w:eastAsia="Arial" w:hAnsi="Arial"/>
          <w:b/>
          <w:bCs/>
          <w:sz w:val="21"/>
          <w:szCs w:val="21"/>
        </w:rPr>
        <w:t xml:space="preserve">Deployment: </w:t>
      </w:r>
      <w:r>
        <w:rPr>
          <w:rFonts w:ascii="Arial" w:cs="Arial" w:eastAsia="Arial" w:hAnsi="Arial"/>
          <w:sz w:val="21"/>
          <w:szCs w:val="21"/>
        </w:rPr>
        <w:t xml:space="preserve">Git push to GitHub triggers automatic Netlify builds</w:t>
      </w:r>
    </w:p>
    <w:p>
      <w:pPr>
        <w:pStyle w:val="Heading2"/>
        <w:spacing w:after="160" w:before="280"/>
      </w:pPr>
      <w:r>
        <w:rPr>
          <w:rFonts w:ascii="Arial" w:cs="Arial" w:eastAsia="Arial" w:hAnsi="Arial"/>
          <w:b/>
          <w:bCs/>
          <w:color w:val="2D3561"/>
          <w:sz w:val="26"/>
          <w:szCs w:val="26"/>
        </w:rPr>
        <w:t xml:space="preserve">House Style</w:t>
      </w:r>
    </w:p>
    <w:p>
      <w:pPr>
        <w:spacing w:after="120"/>
      </w:pPr>
      <w:r>
        <w:rPr>
          <w:rFonts w:ascii="Arial" w:cs="Arial" w:eastAsia="Arial" w:hAnsi="Arial"/>
          <w:sz w:val="21"/>
          <w:szCs w:val="21"/>
        </w:rPr>
        <w:t xml:space="preserve">All engine code follows a strict house style for consistency and auditability: @ts-nocheck directive, var-only declarations (no let/const), string concatenation (no template literals), POST-only API endpoints, non-fatal database operations (try/catch around all Supabase calls), and standardized export syntax. This deliberate simplicity ensures every engine is readable by inspectors and engineers, not just developers.</w:t>
      </w:r>
    </w:p>
    <w:p>
      <w:pPr>
        <w:pStyle w:val="Heading2"/>
        <w:spacing w:after="160" w:before="280"/>
      </w:pPr>
      <w:r>
        <w:rPr>
          <w:rFonts w:ascii="Arial" w:cs="Arial" w:eastAsia="Arial" w:hAnsi="Arial"/>
          <w:b/>
          <w:bCs/>
          <w:color w:val="2D3561"/>
          <w:sz w:val="26"/>
          <w:szCs w:val="26"/>
        </w:rPr>
        <w:t xml:space="preserve">Output Envelope Discipline</w:t>
      </w:r>
    </w:p>
    <w:p>
      <w:pPr>
        <w:spacing w:after="120"/>
      </w:pPr>
      <w:r>
        <w:rPr>
          <w:rFonts w:ascii="Arial" w:cs="Arial" w:eastAsia="Arial" w:hAnsi="Arial"/>
          <w:sz w:val="21"/>
          <w:szCs w:val="21"/>
        </w:rPr>
        <w:t xml:space="preserve">Every engine output is wrapped in a three-compartment envelope:</w:t>
      </w:r>
    </w:p>
    <w:p>
      <w:pPr>
        <w:spacing w:after="100"/>
      </w:pPr>
      <w:r>
        <w:rPr>
          <w:rFonts w:ascii="Arial" w:cs="Arial" w:eastAsia="Arial" w:hAnsi="Arial"/>
          <w:b/>
          <w:bCs/>
          <w:sz w:val="21"/>
          <w:szCs w:val="21"/>
        </w:rPr>
        <w:t xml:space="preserve">deterministic{}: </w:t>
      </w:r>
      <w:r>
        <w:rPr>
          <w:rFonts w:ascii="Arial" w:cs="Arial" w:eastAsia="Arial" w:hAnsi="Arial"/>
          <w:sz w:val="21"/>
          <w:szCs w:val="21"/>
        </w:rPr>
        <w:t xml:space="preserve">Physics calculations, code lookups, measured values. Reproducible. Courtroom-admissible. No AI content.</w:t>
      </w:r>
    </w:p>
    <w:p>
      <w:pPr>
        <w:spacing w:after="100"/>
      </w:pPr>
      <w:r>
        <w:rPr>
          <w:rFonts w:ascii="Arial" w:cs="Arial" w:eastAsia="Arial" w:hAnsi="Arial"/>
          <w:b/>
          <w:bCs/>
          <w:sz w:val="21"/>
          <w:szCs w:val="21"/>
        </w:rPr>
        <w:t xml:space="preserve">interpreted{}: </w:t>
      </w:r>
      <w:r>
        <w:rPr>
          <w:rFonts w:ascii="Arial" w:cs="Arial" w:eastAsia="Arial" w:hAnsi="Arial"/>
          <w:sz w:val="21"/>
          <w:szCs w:val="21"/>
        </w:rPr>
        <w:t xml:space="preserve">AI-generated narrative, recommendations, risk characterizations. Clearly labeled as AI output.</w:t>
      </w:r>
    </w:p>
    <w:p>
      <w:pPr>
        <w:spacing w:after="100"/>
      </w:pPr>
      <w:r>
        <w:rPr>
          <w:rFonts w:ascii="Arial" w:cs="Arial" w:eastAsia="Arial" w:hAnsi="Arial"/>
          <w:b/>
          <w:bCs/>
          <w:sz w:val="21"/>
          <w:szCs w:val="21"/>
        </w:rPr>
        <w:t xml:space="preserve">provenance{}: </w:t>
      </w:r>
      <w:r>
        <w:rPr>
          <w:rFonts w:ascii="Arial" w:cs="Arial" w:eastAsia="Arial" w:hAnsi="Arial"/>
          <w:sz w:val="21"/>
          <w:szCs w:val="21"/>
        </w:rPr>
        <w:t xml:space="preserve">Audit trail. Which engines ran, what inputs they used, what version of code rules applied, timestamps, hash chains.</w:t>
      </w:r>
    </w:p>
    <w:p>
      <w:pPr>
        <w:spacing w:after="120"/>
      </w:pPr>
      <w:r>
        <w:rPr>
          <w:rFonts w:ascii="Arial" w:cs="Arial" w:eastAsia="Arial" w:hAnsi="Arial"/>
          <w:sz w:val="21"/>
          <w:szCs w:val="21"/>
        </w:rPr>
        <w:t xml:space="preserve">The strip-to-regulatory function removes all interpreted content, leaving only the deterministic and provenance compartments for regulatory submission.</w:t>
      </w:r>
    </w:p>
    <w:r>
      <w:br w:type="page"/>
    </w:r>
    <w:p>
      <w:pPr>
        <w:pStyle w:val="Heading1"/>
        <w:spacing w:after="200" w:before="360"/>
      </w:pPr>
      <w:r>
        <w:rPr>
          <w:rFonts w:ascii="Arial" w:cs="Arial" w:eastAsia="Arial" w:hAnsi="Arial"/>
          <w:b/>
          <w:bCs/>
          <w:color w:val="1A1A2E"/>
          <w:sz w:val="32"/>
          <w:szCs w:val="32"/>
        </w:rPr>
        <w:t xml:space="preserve">Engine Reference</w:t>
      </w:r>
    </w:p>
    <w:p>
      <w:pPr>
        <w:spacing w:after="120"/>
      </w:pPr>
      <w:r>
        <w:rPr>
          <w:rFonts w:ascii="Arial" w:cs="Arial" w:eastAsia="Arial" w:hAnsi="Arial"/>
          <w:sz w:val="21"/>
          <w:szCs w:val="21"/>
        </w:rPr>
        <w:t xml:space="preserve">The following sections detail all 127 engines organized by functional domain. Each engine is a self-contained serverless function accessible via POST request at its API endpoint.</w:t>
      </w:r>
    </w:p>
    <w:r>
      <w:br w:type="page"/>
    </w:r>
    <w:p>
      <w:pPr>
        <w:pStyle w:val="Heading2"/>
        <w:spacing w:after="160" w:before="280"/>
      </w:pPr>
      <w:r>
        <w:rPr>
          <w:rFonts w:ascii="Arial" w:cs="Arial" w:eastAsia="Arial" w:hAnsi="Arial"/>
          <w:b/>
          <w:bCs/>
          <w:color w:val="2D3561"/>
          <w:sz w:val="26"/>
          <w:szCs w:val="26"/>
        </w:rPr>
        <w:t xml:space="preserve">1. Core Decision &amp; Analysis Engines (9 engines)</w:t>
      </w:r>
    </w:p>
    <w:p>
      <w:pPr>
        <w:spacing w:after="120"/>
      </w:pPr>
      <w:r>
        <w:rPr>
          <w:rFonts w:ascii="Arial" w:cs="Arial" w:eastAsia="Arial" w:hAnsi="Arial"/>
          <w:sz w:val="21"/>
          <w:szCs w:val="21"/>
        </w:rPr>
        <w:t xml:space="preserve">The foundational engines that drive inspection case processing, decision logic, and engineering analysis. These are the backbone of the platform, handling everything from case creation to final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decision-spine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Master orchestrator. Routes every inspection case through the full analysis pipeline: data intake, physics checks, code compliance, risk scoring, and final disposition. The central nervous system of the platform.</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decision-core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DEPLOY167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 decision logic engine. Evaluates inspection findings against code requirements and produces pass/fail/monitor recommendations with supporting rationale.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engineering-core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DEPLOY167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Engineering calculations engine. Performs minimum required thickness, remaining strength, maximum allowable working pressure, and fitness-for-service computations per ASME/API standards.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truth-engine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DEPLOY167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Physics truth validation. Cross-checks engineering calculations against physical reality constraints, ensuring no result violates thermodynamic or mechanical laws.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planner-agent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DEPLOY167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 planning agent. Determines what additional inspections or measurements are needed based on current findings and gaps in the evidence package.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run-analysis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AI-assisted analysis runner. Orchestrates the complete analysis of an inspection case using multi-model reasoning with human-readable narrative output.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observation-layer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AI observation engine. Generates contextual observations about inspection data, identifying patterns, anomalies, and areas of concern that merit further investigation.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outcome-simulation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What-if scenario engine. Simulates alternative outcomes (what if wall thickness is 10% thinner? what if operating temperature increases?) to stress-test decisions.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run-authority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DEPLOY216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Run authorization and governance. Controls which analyses can execute, enforces sequencing rules, and prevents unauthorized or premature decision issuance.</w:t>
            </w:r>
          </w:p>
        </w:tc>
      </w:tr>
    </w:tbl>
    <w:r>
      <w:br w:type="page"/>
    </w:r>
    <w:p>
      <w:pPr>
        <w:pStyle w:val="Heading2"/>
        <w:spacing w:after="160" w:before="280"/>
      </w:pPr>
      <w:r>
        <w:rPr>
          <w:rFonts w:ascii="Arial" w:cs="Arial" w:eastAsia="Arial" w:hAnsi="Arial"/>
          <w:b/>
          <w:bCs/>
          <w:color w:val="2D3561"/>
          <w:sz w:val="26"/>
          <w:szCs w:val="26"/>
        </w:rPr>
        <w:t xml:space="preserve">2. Tri-Model Adversarial Reasoning (Superbrain) (3 engines)</w:t>
      </w:r>
    </w:p>
    <w:p>
      <w:pPr>
        <w:spacing w:after="120"/>
      </w:pPr>
      <w:r>
        <w:rPr>
          <w:rFonts w:ascii="Arial" w:cs="Arial" w:eastAsia="Arial" w:hAnsi="Arial"/>
          <w:sz w:val="21"/>
          <w:szCs w:val="21"/>
        </w:rPr>
        <w:t xml:space="preserve">The AI reasoning core of the platform. Three independent AI models analyze every case from different perspectives, then a resolution model synthesizes a final answer. This adversarial approach catches errors that any single model would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tri-model-reasoning</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Tri-model adversarial reasoning orchestrator. Sends each case to three independent AI models (Conservative Engineer, Risk Optimizer, Physics Fundamentalist), collects their analyses, then runs a resolution model to produce a synthesized decision with confidence intervals.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superbrain-report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Report generation from Superbrain output. Converts tri-model reasoning results into structured, human-readable inspection reports with full provenance tracking.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decision-dominance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 Dominance Mode. Enhanced prompt architecture that forces each AI model to produce proof-grade reasoning with explicit code citations, physics derivations, and uncertainty quantification.</w:t>
            </w:r>
          </w:p>
        </w:tc>
      </w:tr>
    </w:tbl>
    <w:r>
      <w:br w:type="page"/>
    </w:r>
    <w:p>
      <w:pPr>
        <w:pStyle w:val="Heading2"/>
        <w:spacing w:after="160" w:before="280"/>
      </w:pPr>
      <w:r>
        <w:rPr>
          <w:rFonts w:ascii="Arial" w:cs="Arial" w:eastAsia="Arial" w:hAnsi="Arial"/>
          <w:b/>
          <w:bCs/>
          <w:color w:val="2D3561"/>
          <w:sz w:val="26"/>
          <w:szCs w:val="26"/>
        </w:rPr>
        <w:t xml:space="preserve">3. Code Compliance &amp; Regulatory Authority (5 engines)</w:t>
      </w:r>
    </w:p>
    <w:p>
      <w:pPr>
        <w:spacing w:after="120"/>
      </w:pPr>
      <w:r>
        <w:rPr>
          <w:rFonts w:ascii="Arial" w:cs="Arial" w:eastAsia="Arial" w:hAnsi="Arial"/>
          <w:sz w:val="21"/>
          <w:szCs w:val="21"/>
        </w:rPr>
        <w:t xml:space="preserve">Engines that encode the full body of industrial inspection codes (ASME, API, NBIC, DNV, etc.) and ensure every decision references the correct, current edition of the applicable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universal-code-authority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Master code lookup engine. Contains the complete registry of ASME B31.3, API 579, API 510, API 570, NBIC, DNV-RP-F101, PCC-2, and dozens more standards. Returns exact clause references, acceptance criteria, and applicability rules.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live-code-authority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Real-time code compliance checker. Validates that every decision in the pipeline references the correct code edition and clause. Flags outdated references and suggests current replacements.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compliance-matrix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Cross-code compliance mapping. When multiple codes apply to a single component (e.g., API 570 for piping inspection + API 579 for fitness-for-service), this engine maps the overlaps and resolves conflicts.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refinery-code-authority-router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Refinery-specific code routing. Routes refinery inspection cases to the correct combination of API 510 (vessels), API 570 (piping), API 653 (tanks), and API 579 (FFS) based on equipment type and damage mechanism.</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regulatory-report-generator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DEPLOY330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Automated regulatory report generation. Produces API 579 Level 1 assessments, B31G remaining strength calculations, API 580 RBI reports, DNV-RP-F101 assessments, and executive summaries in standard format.</w:t>
            </w:r>
          </w:p>
        </w:tc>
      </w:tr>
    </w:tbl>
    <w:r>
      <w:br w:type="page"/>
    </w:r>
    <w:p>
      <w:pPr>
        <w:pStyle w:val="Heading2"/>
        <w:spacing w:after="160" w:before="280"/>
      </w:pPr>
      <w:r>
        <w:rPr>
          <w:rFonts w:ascii="Arial" w:cs="Arial" w:eastAsia="Arial" w:hAnsi="Arial"/>
          <w:b/>
          <w:bCs/>
          <w:color w:val="2D3561"/>
          <w:sz w:val="26"/>
          <w:szCs w:val="26"/>
        </w:rPr>
        <w:t xml:space="preserve">4. Physics &amp; Engineering Computation (11 engines)</w:t>
      </w:r>
    </w:p>
    <w:p>
      <w:pPr>
        <w:spacing w:after="120"/>
      </w:pPr>
      <w:r>
        <w:rPr>
          <w:rFonts w:ascii="Arial" w:cs="Arial" w:eastAsia="Arial" w:hAnsi="Arial"/>
          <w:sz w:val="21"/>
          <w:szCs w:val="21"/>
        </w:rPr>
        <w:t xml:space="preserve">The mathematical backbone. These engines perform the actual physics calculations: corrosion rates, remaining life, stress analysis, fatigue assessment, fracture mechanics, and uncertainty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predictive-remaining-life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Remaining life prediction engine. Calculates years to minimum required thickness using linear, power-law, and Bayesian corrosion rate models with confidence intervals.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corrosion-loop-engine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Corrosion circuit management. Tracks corrosion rates across all CMLs in a circuit, identifies accelerating degradation, computes circuit-level remaining life, and flags CMLs that are outliers.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fatigue-vibration-proof</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Fatigue and vibration assessment. Performs S-N curve analysis, Miner's Rule cumulative damage, vibration screening per API 618/ASME OM-3, and remaining fatigue life estimation.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physics-sufficiency-engine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Physics coverage checker. Evaluates whether the physics basis for a decision is complete: are all relevant degradation mechanisms covered? Is the measurement data sufficient? Are boundary conditions properly defined?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physics-constrained-inference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Physics-constrained AI inference. Ensures that any AI-generated prediction respects physical laws: conservation of mass/energy, monotonic wall loss, temperature-dependent corrosion kinetics.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physics-learning-engine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Self-improving physics models. Tracks prediction accuracy over time, proposes model parameter updates when predictions diverge from measurements, and maintains versioned model history.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uncertainty-propagation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Monte Carlo uncertainty propagation. Propagates measurement uncertainty through all calculation chains (wall thickness measurement error to remaining life confidence intervals).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uncertainty-boundary-engine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Uncertainty boundary enforcement. Ensures every decision carries an explicit uncertainty range. Blocks decisions where uncertainty exceeds acceptable thresholds for the decision type.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formula-intelligence-core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Formula registry and execution. Contains 200+ engineering formulas (Barlow, Lamé, B31G, RSTRENG, etc.) with unit conversion, variable binding, and intermediate step tracking.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formula-chain-executor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Multi-formula chain execution. Chains formulas together (e.g., measure thickness, compute corrosion rate, compute remaining life, check against code minimum) with full provenance.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formula-decision-authority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Formula-backed decision cards. Produces decision cards where every number is traceable to a specific formula, input values, and intermediate calculations. No black boxes.</w:t>
            </w:r>
          </w:p>
        </w:tc>
      </w:tr>
    </w:tbl>
    <w:r>
      <w:br w:type="page"/>
    </w:r>
    <w:p>
      <w:pPr>
        <w:pStyle w:val="Heading2"/>
        <w:spacing w:after="160" w:before="280"/>
      </w:pPr>
      <w:r>
        <w:rPr>
          <w:rFonts w:ascii="Arial" w:cs="Arial" w:eastAsia="Arial" w:hAnsi="Arial"/>
          <w:b/>
          <w:bCs/>
          <w:color w:val="2D3561"/>
          <w:sz w:val="26"/>
          <w:szCs w:val="26"/>
        </w:rPr>
        <w:t xml:space="preserve">5. Advanced Physics &amp; Mathematics (APMM) (10 engines)</w:t>
      </w:r>
    </w:p>
    <w:p>
      <w:pPr>
        <w:spacing w:after="120"/>
      </w:pPr>
      <w:r>
        <w:rPr>
          <w:rFonts w:ascii="Arial" w:cs="Arial" w:eastAsia="Arial" w:hAnsi="Arial"/>
          <w:sz w:val="21"/>
          <w:szCs w:val="21"/>
        </w:rPr>
        <w:t xml:space="preserve">The advanced mathematics module. Multi-physics simulation, probabilistic analysis, structural mechanics, transport phenomena, spatial graph analysis, and AI-physics arbitration.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multi-physics-4d-projection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4D multi-physics projection. Combines thermal, mechanical, chemical, and flow fields to project degradation state forward in time with spatial resolution.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advanced-probability-engine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 probabilistic analysis. Bayesian networks, Monte Carlo simulation, reliability analysis (Weibull, lognormal), and risk quantification with evidence updating.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advanced-structural-engine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 structural mechanics. Finite element-equivalent stress analysis, buckling assessment, creep-fatigue interaction, and fracture mechanics (FAD, J-integral approximations).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advanced-transport-engine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Transport phenomena engine. Heat transfer (conduction, convection, radiation), mass transport (diffusion, corrosion product transport), and fluid flow effects on degradation.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advanced-spatial-graph-engine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Spatial graph analysis. Models the plant as a graph: nodes are components, edges are connections. Propagates degradation influence, identifies critical path components, and computes system reliability.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advanced-decision-engine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DEPLOY309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Multi-criteria decision engine. Analytic hierarchy process, utility theory, and Pareto optimization for complex decisions with competing objectives (safety vs. cost vs. production).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advanced-physics-arbiter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Physics-AI arbitration. When AI predictions conflict with physics calculations, this engine determines which is more trustworthy based on model uncertainty, data quality, and historical accuracy.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apmm-orchestrator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APMM module orchestrator. Routes problems to the right combination of advanced engines and assembles composite results.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power-generation-authority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Power generation domain authority. Specialized physics for boiler tubes, steam headers, turbine components, HRSG systems with creep, thermal fatigue, and high-temperature hydrogen attack.</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apmm-power-gen-engines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Power generation sub-engines. Six specialized calculators for creep life, thermal gradient stress, oxide scale growth, hydrogen attack progression, steam chemistry effects, and thermal cycling fatigue.</w:t>
            </w:r>
          </w:p>
        </w:tc>
      </w:tr>
    </w:tbl>
    <w:r>
      <w:br w:type="page"/>
    </w:r>
    <w:p>
      <w:pPr>
        <w:pStyle w:val="Heading2"/>
        <w:spacing w:after="160" w:before="280"/>
      </w:pPr>
      <w:r>
        <w:rPr>
          <w:rFonts w:ascii="Arial" w:cs="Arial" w:eastAsia="Arial" w:hAnsi="Arial"/>
          <w:b/>
          <w:bCs/>
          <w:color w:val="2D3561"/>
          <w:sz w:val="26"/>
          <w:szCs w:val="26"/>
        </w:rPr>
        <w:t xml:space="preserve">6. AI Reasoning &amp; Intelligence (11 engines)</w:t>
      </w:r>
    </w:p>
    <w:p>
      <w:pPr>
        <w:spacing w:after="120"/>
      </w:pPr>
      <w:r>
        <w:rPr>
          <w:rFonts w:ascii="Arial" w:cs="Arial" w:eastAsia="Arial" w:hAnsi="Arial"/>
          <w:sz w:val="21"/>
          <w:szCs w:val="21"/>
        </w:rPr>
        <w:t xml:space="preserve">Higher-order AI capabilities: conceptual reasoning, neurosymbolic logic, causal discovery, multi-agent debate, anomaly fingerprinting, and temporal pattern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conceptual-reasoning-brain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Conceptual reasoning engine. Builds hypothesis trees, identifies causal chains, detects cross-domain analogies, flags novel failure modes, and tracks belief updates as new evidence arrives.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closed-loop-self-learning-brain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Closed-loop learning engine. Tracks prediction outcomes, updates model confidence, identifies where inspector overrides indicate model weakness, and proposes targeted improvements.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neurosymbolic-reasoning</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Neurosymbolic reasoning. Combines neural pattern recognition with symbolic logic rules. The neural component identifies patterns in sensor data; the symbolic component verifies they satisfy code requirements.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conformal-prediction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Conformal prediction engine. Provides statistically valid prediction intervals (not just point estimates) for remaining life, corrosion rate, and risk scores with guaranteed coverage probability.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causal-discovery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Causal discovery engine. Identifies cause-effect relationships in inspection data (does vibration cause accelerated corrosion? does temperature cycling drive cracking?) using constraint-based and score-based algorithms.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multi-agent-debate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Multi-agent debate engine. Multiple expert agents (corrosion specialist, materials scientist, code expert, risk analyst) debate the assessment of complex cases. Conflicts are resolved through structured argumentation.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anomaly-fingerprint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Anomaly fingerprinting. Builds degradation signatures (fingerprints) from known failure modes and matches new observations against the library. Detects both known patterns and novel anomalies.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temporal-fusion-engine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Multi-stream temporal fusion. Fuses time-series data from multiple sources (UT thickness, corrosion probes, CP potential, vibration, temperature, pressure) using attention-weighted aggregation to detect degradation regime changes.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active-inspection-optimizer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Active learning for inspection optimization. Determines which measurements will most reduce uncertainty about the asset's condition, optimizing inspection effort allocation across a portfolio.</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concept-intelligence-core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Concept intelligence. Extracts and indexes technical concepts from inspection reports, enabling semantic search and cross-case knowledge retrieval.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concept-intelligence-v21</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Concept intelligence v2.1. Enhanced concept extraction with relationship mapping, enabling questions like: which concepts co-occur with accelerated corrosion in high-temperature service?</w:t>
            </w:r>
          </w:p>
        </w:tc>
      </w:tr>
    </w:tbl>
    <w:r>
      <w:br w:type="page"/>
    </w:r>
    <w:p>
      <w:pPr>
        <w:pStyle w:val="Heading2"/>
        <w:spacing w:after="160" w:before="280"/>
      </w:pPr>
      <w:r>
        <w:rPr>
          <w:rFonts w:ascii="Arial" w:cs="Arial" w:eastAsia="Arial" w:hAnsi="Arial"/>
          <w:b/>
          <w:bCs/>
          <w:color w:val="2D3561"/>
          <w:sz w:val="26"/>
          <w:szCs w:val="26"/>
        </w:rPr>
        <w:t xml:space="preserve">7. Digital Twin &amp; World Model (3 engines)</w:t>
      </w:r>
    </w:p>
    <w:p>
      <w:pPr>
        <w:spacing w:after="120"/>
      </w:pPr>
      <w:r>
        <w:rPr>
          <w:rFonts w:ascii="Arial" w:cs="Arial" w:eastAsia="Arial" w:hAnsi="Arial"/>
          <w:sz w:val="21"/>
          <w:szCs w:val="21"/>
        </w:rPr>
        <w:t xml:space="preserve">The digital twin layer. Maintains a living model of every asset that updates with each inspection, predicts future states, and self-calibrates when predictions diverge from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inspection-world-model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 world model. Simulates how assets degrade under different scenarios (what if operating temperature increases 20°F? what if inspection is deferred 2 years?). Produces probabilistic state forecasts.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self-calibrating-twin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Self-calibrating digital twin. Maintains a digital twin of each asset that auto-calibrates when new measurements arrive. Tracks drift between predicted and actual condition, triggering recalibration when thresholds are exceeded.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multi-asset-cascade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Multi-asset cascade analysis. Models how failure of one component affects connected components (if this pipe fails, what downstream equipment is at risk?). Produces cascade risk maps.</w:t>
            </w:r>
          </w:p>
        </w:tc>
      </w:tr>
    </w:tbl>
    <w:r>
      <w:br w:type="page"/>
    </w:r>
    <w:p>
      <w:pPr>
        <w:pStyle w:val="Heading2"/>
        <w:spacing w:after="160" w:before="280"/>
      </w:pPr>
      <w:r>
        <w:rPr>
          <w:rFonts w:ascii="Arial" w:cs="Arial" w:eastAsia="Arial" w:hAnsi="Arial"/>
          <w:b/>
          <w:bCs/>
          <w:color w:val="2D3561"/>
          <w:sz w:val="26"/>
          <w:szCs w:val="26"/>
        </w:rPr>
        <w:t xml:space="preserve">8. Audit, Provenance &amp; Traceability (10 engines)</w:t>
      </w:r>
    </w:p>
    <w:p>
      <w:pPr>
        <w:spacing w:after="120"/>
      </w:pPr>
      <w:r>
        <w:rPr>
          <w:rFonts w:ascii="Arial" w:cs="Arial" w:eastAsia="Arial" w:hAnsi="Arial"/>
          <w:sz w:val="21"/>
          <w:szCs w:val="21"/>
        </w:rPr>
        <w:t xml:space="preserve">Every decision the platform makes is fully traceable. These engines maintain the audit trail, verify evidence integrity, enforce output envelope discipline, and record decision proofs.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enterprise-audit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Enterprise audit engine. Records every action (case creation, analysis run, decision issuance, amendment) with timestamp, actor, and cryptographic hash for tamper detection.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verify-audit-chain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Audit chain verification. Validates the integrity of the full audit trail by recomputing hash chains and detecting any gaps or tampering.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export-audit-bundle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DEPLOY216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Audit bundle export. Packages a complete, self-contained audit bundle for a case: all evidence, calculations, decisions, and provenance in a single exportable package.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evidence-integrity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Evidence integrity engine. Verifies that evidence files (photos, reports, measurement records) have not been altered since upload using SHA-256 hashing.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evidence-contract-engine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Evidence contract enforcement. Defines what evidence is required for each decision type and blocks decisions that lack required evidence. No shortcutting.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decision-traceability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 traceability. For any decision, traces back through every engine that contributed, every input used, and every code clause referenced.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decision-proof-recorder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 proof recorder. Records the complete proof package for every decision: inputs, calculations, code references, AI reasoning, and final recommendation.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decision-liability-engine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 liability assessment. Evaluates the liability exposure of each decision: who approved it, what evidence supports it, what assumptions were made, and what the consequences of being wrong are.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output-envelope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DEPLOY331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Output envelope discipline. Separates every engine output into three compartments: deterministic (physics/code computations), interpreted (AI narrative/recommendations), and provenance (audit trail). Strip-to-regulatory removes all AI content for OSHA/courtroom submission.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explainability-engine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DEPLOY328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Decision explainability. Walks all 7 architecture layers for any decision, builds evidence attribution, generates counterfactual analysis (what would change the outcome?), and produces human-readable narrative explanations.</w:t>
            </w:r>
          </w:p>
        </w:tc>
      </w:tr>
    </w:tbl>
    <w:r>
      <w:br w:type="page"/>
    </w:r>
    <w:p>
      <w:pPr>
        <w:pStyle w:val="Heading2"/>
        <w:spacing w:after="160" w:before="280"/>
      </w:pPr>
      <w:r>
        <w:rPr>
          <w:rFonts w:ascii="Arial" w:cs="Arial" w:eastAsia="Arial" w:hAnsi="Arial"/>
          <w:b/>
          <w:bCs/>
          <w:color w:val="2D3561"/>
          <w:sz w:val="26"/>
          <w:szCs w:val="26"/>
        </w:rPr>
        <w:t xml:space="preserve">9. Validation, Convergence &amp; Quality Assurance (9 engines)</w:t>
      </w:r>
    </w:p>
    <w:p>
      <w:pPr>
        <w:spacing w:after="120"/>
      </w:pPr>
      <w:r>
        <w:rPr>
          <w:rFonts w:ascii="Arial" w:cs="Arial" w:eastAsia="Arial" w:hAnsi="Arial"/>
          <w:sz w:val="21"/>
          <w:szCs w:val="21"/>
        </w:rPr>
        <w:t xml:space="preserve">Engines that validate the platform's own outputs. Convergence checking ensures multiple analysis paths agree. Regression testing ensures new deployments don't break existing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validation-engine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Input validation engine. Validates all incoming data against physics bounds, format rules, and completeness requirements before it enters the analysis pipeline.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validation-suite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Comprehensive validation suite. Runs multiple validation checks in sequence: data quality, physics consistency, code compliance, and cross-engine agreement.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validation-benchmark</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Validation benchmarking. Tests platform calculations against known reference cases (published API 579 examples, ASME PCC-2 worked problems) to verify computational accuracy.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convergence-proof</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Convergence proof engine. Mathematically proves that multiple analysis paths converge to the same conclusion. If they diverge, identifies the source of disagreement.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convergence-reporter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Convergence reporting. Generates detailed reports showing where engines agree, where they disagree, and the significance of any disagreements.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contradiction-engine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Contradiction detection. Scans the complete output package for internal contradictions (e.g., one engine says remaining life is 5 years while another says 15 years) and forces resolution.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regression-test-authority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DEPLOY313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Regression test authority. Maintains a library of test vectors (known inputs and expected outputs) and runs them against every deployment to ensure no regressions.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interaction-mesh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Engine interaction mesh. Maps how engines interact and identifies unexpected coupling or circular dependencies between engine outputs.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engine-assumption-contracts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Engine assumption contracts. Each engine declares its assumptions (e.g., linear corrosion rate, uniform temperature). This engine validates that upstream data satisfies those assumptions.</w:t>
            </w:r>
          </w:p>
        </w:tc>
      </w:tr>
    </w:tbl>
    <w:r>
      <w:br w:type="page"/>
    </w:r>
    <w:p>
      <w:pPr>
        <w:pStyle w:val="Heading2"/>
        <w:spacing w:after="160" w:before="280"/>
      </w:pPr>
      <w:r>
        <w:rPr>
          <w:rFonts w:ascii="Arial" w:cs="Arial" w:eastAsia="Arial" w:hAnsi="Arial"/>
          <w:b/>
          <w:bCs/>
          <w:color w:val="2D3561"/>
          <w:sz w:val="26"/>
          <w:szCs w:val="26"/>
        </w:rPr>
        <w:t xml:space="preserve">10. Materials, Coatings &amp; Mechanisms (8 engines)</w:t>
      </w:r>
    </w:p>
    <w:p>
      <w:pPr>
        <w:spacing w:after="120"/>
      </w:pPr>
      <w:r>
        <w:rPr>
          <w:rFonts w:ascii="Arial" w:cs="Arial" w:eastAsia="Arial" w:hAnsi="Arial"/>
          <w:sz w:val="21"/>
          <w:szCs w:val="21"/>
        </w:rPr>
        <w:t xml:space="preserve">Domain knowledge engines covering material properties, degradation mechanisms, coating systems, and weld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material-authority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DEPLOY219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Material properties authority. Comprehensive database of material specifications (SA-106B, SA-516-70, SA-312-304, etc.) with mechanical properties, allowable stresses, corrosion resistance data, and temperature limits.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weld-acceptance-authority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Weld acceptance authority. Complete weld inspection decision engine covering ASME IX, AWS D1.1, API 1104, AWS D3.6M (underwater welding), with acceptance criteria for every defect type.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coatings-intelligence-authority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Coating system intelligence. Evaluates coating condition, predicts remaining coating life, identifies coating failure modes, and recommends recoating strategies per SSPC/NACE standards.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mechanism-causality-engine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DEPLOY275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Degradation mechanism causality. Identifies active degradation mechanisms based on material, environment, temperature, and stress state. Maps cause-effect chains from root cause to observable damage.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refinery-mechanism-authority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Refinery-specific mechanisms. Complete knowledge base of refinery degradation mechanisms: high-temperature hydrogen attack, sulfidation, naphthenic acid corrosion, chloride SCC, polythionic acid SCC, and more.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process-condition-authority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Process condition assessment. Evaluates how process conditions (temperature, pressure, flow rate, fluid composition, pH) affect degradation rates and mechanisms.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composite-repair-authority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DEPLOY218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Composite repair assessment. Evaluates composite repair systems (ISO 24817, ASME PCC-2 Article 4.1) for temporary and permanent repairs on piping and vessels.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repair-pathway-engine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Repair pathway selection. Given a defect assessment, determines the optimal repair path: run-as-is, monitor, repair in kind, composite wrap, hot tap, or replace.</w:t>
            </w:r>
          </w:p>
        </w:tc>
      </w:tr>
    </w:tbl>
    <w:r>
      <w:br w:type="page"/>
    </w:r>
    <w:p>
      <w:pPr>
        <w:pStyle w:val="Heading2"/>
        <w:spacing w:after="160" w:before="280"/>
      </w:pPr>
      <w:r>
        <w:rPr>
          <w:rFonts w:ascii="Arial" w:cs="Arial" w:eastAsia="Arial" w:hAnsi="Arial"/>
          <w:b/>
          <w:bCs/>
          <w:color w:val="2D3561"/>
          <w:sz w:val="26"/>
          <w:szCs w:val="26"/>
        </w:rPr>
        <w:t xml:space="preserve">11. Subsea &amp; Marine Domain (8 engines)</w:t>
      </w:r>
    </w:p>
    <w:p>
      <w:pPr>
        <w:spacing w:after="120"/>
      </w:pPr>
      <w:r>
        <w:rPr>
          <w:rFonts w:ascii="Arial" w:cs="Arial" w:eastAsia="Arial" w:hAnsi="Arial"/>
          <w:sz w:val="21"/>
          <w:szCs w:val="21"/>
        </w:rPr>
        <w:t xml:space="preserve">Specialized engines for subsea structures, cathodic protection, marine growth, underwater NDT, and marine vessels.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subsea-domain-registry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 domain registry. Zone classification (splash, tidal, submerged, buried), severity mapping, and subsea-specific degradation context for all subsea asset assessments.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cp-intelligence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Cathodic protection intelligence. Evaluates CP system effectiveness, predicts anode depletion, identifies under-protected areas, and recommends CP system modifications.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marine-growth-engine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Marine growth and fouling assessment. Calculates added weight, increased drag, inspection obstruction, and accelerated corrosion from marine growth on subsea structures.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external-interaction-engine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External interaction assessment. Evaluates vessel impact, dropped object, fishing gear interaction, and anchor dragging risks for subsea structures.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subsea-structures-orchestrator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 structures orchestrator. Combines all subsea domain engines into a unified assessment with visibility and current conditions as confidence modifiers.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underwater-ndt-authority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Underwater NDT authority. Specialized confidence adjustments for underwater inspection techniques: wet UT, dry habitat UT, underwater MPI, underwater visual, ROV-deployed sensors.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underwater-welding-authority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Underwater welding authority. AWS D3.6M underwater welding assessment covering Class A (dry hyperbaric), Class B (habitat), and Class O (wet) welding with depth-dependent acceptance criteria.</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subsea-inspection-conditions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 inspection conditions. Adjusts assessment confidence based on visibility, current speed, depth, temperature, and sea state during underwater inspection.</w:t>
            </w:r>
          </w:p>
        </w:tc>
      </w:tr>
    </w:tbl>
    <w:r>
      <w:br w:type="page"/>
    </w:r>
    <w:p>
      <w:pPr>
        <w:pStyle w:val="Heading2"/>
        <w:spacing w:after="160" w:before="280"/>
      </w:pPr>
      <w:r>
        <w:rPr>
          <w:rFonts w:ascii="Arial" w:cs="Arial" w:eastAsia="Arial" w:hAnsi="Arial"/>
          <w:b/>
          <w:bCs/>
          <w:color w:val="2D3561"/>
          <w:sz w:val="26"/>
          <w:szCs w:val="26"/>
        </w:rPr>
        <w:t xml:space="preserve">12. Marine Vessel Domain (4 engines)</w:t>
      </w:r>
    </w:p>
    <w:p>
      <w:pPr>
        <w:spacing w:after="120"/>
      </w:pPr>
      <w:r>
        <w:rPr>
          <w:rFonts w:ascii="Arial" w:cs="Arial" w:eastAsia="Arial" w:hAnsi="Arial"/>
          <w:sz w:val="21"/>
          <w:szCs w:val="21"/>
        </w:rPr>
        <w:t xml:space="preserve">Vessel classification, structural systems, stability analysis, and motion/hydrodynamics for ships and floating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vessel-class-registry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Vessel class registry. Classification society rules (DNV, Lloyd's, ABS, BV), structural system definitions (hull, deck, bulkheads, tanks), and vessel-type-specific inspection requirements.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stability-engine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Stability and ballast assessment. Evaluates vessel stability (GM, GZ curves), ballast tank condition, structural degradation effects on stability, and compliance with IMO intact stability criteria.</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vessel-motion-engine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Vessel motion and hydrodynamics. Computes wave-induced loads, fatigue from cyclic loading, slam loads, and the effect of structural degradation on vessel response.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marine-vessel-orchestrator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Marine vessel orchestrator. Combines vessel class rules, stability, motion, and structural assessment into a unified vessel condition report.</w:t>
            </w:r>
          </w:p>
        </w:tc>
      </w:tr>
    </w:tbl>
    <w:r>
      <w:br w:type="page"/>
    </w:r>
    <w:p>
      <w:pPr>
        <w:pStyle w:val="Heading2"/>
        <w:spacing w:after="160" w:before="280"/>
      </w:pPr>
      <w:r>
        <w:rPr>
          <w:rFonts w:ascii="Arial" w:cs="Arial" w:eastAsia="Arial" w:hAnsi="Arial"/>
          <w:b/>
          <w:bCs/>
          <w:color w:val="2D3561"/>
          <w:sz w:val="26"/>
          <w:szCs w:val="26"/>
        </w:rPr>
        <w:t xml:space="preserve">13. Industry Vertical Domains (10 engines)</w:t>
      </w:r>
    </w:p>
    <w:p>
      <w:pPr>
        <w:spacing w:after="120"/>
      </w:pPr>
      <w:r>
        <w:rPr>
          <w:rFonts w:ascii="Arial" w:cs="Arial" w:eastAsia="Arial" w:hAnsi="Arial"/>
          <w:sz w:val="21"/>
          <w:szCs w:val="21"/>
        </w:rPr>
        <w:t xml:space="preserve">Domain-specific knowledge engines for different industries, each encoding the regulations, materials, failure modes, and inspection practices unique to that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chemical-process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Chemical process industry. Process hazard analysis integration, RAGAGEP compliance, corrosion-under-insulation screening, and chemical-specific degradation mechanisms.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nuclear-vertical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Nuclear industry. ASME Section XI, 10 CFR 50.55a, NRC regulatory guide compliance, irradiation embrittlement, IGSCC in BWR environments, and boric acid corrosion.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aerospace-vertical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Aerospace industry. Damage tolerance analysis, fatigue crack growth per FAR 25.571, ASNT NAS 410 qualification, composite structure inspection, and airworthiness directive tracking.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power-generation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Power generation. Boiler tube failure analysis, steam header creep assessment, turbine blade inspection, HRSG inspection per API 573, and remaining life assessment for high-temperature components.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maritime-offshore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Maritime and offshore. Classification society rules, MODU inspection requirements, offshore platform structural assessment, and marine corrosion management.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civil-infrastructure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Civil infrastructure. Bridge inspection per NBIS, tunnel inspection, pipeline integrity per 49 CFR 192/195, and structural health monitoring of critical infrastructure.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space-systems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Space systems. Launch vehicle inspection, thermal protection system evaluation, composite overwrap pressure vessel assessment, and micro-meteoroid damage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robotics-automation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Robotics and automated inspection. Integration with robotic inspection platforms, automated defect detection, and drone-based inspection data processing.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human-intelligence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Human factors in inspection. Inspector fatigue modeling, cognitive bias detection, and inspection reliability assessment per POD/POS curves.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medical-bio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Medical and biotech. Medical device inspection per FDA 21 CFR 820, biocompatibility testing, sterilization validation, and implant integrity assessment.</w:t>
            </w:r>
          </w:p>
        </w:tc>
      </w:tr>
    </w:tbl>
    <w:r>
      <w:br w:type="page"/>
    </w:r>
    <w:p>
      <w:pPr>
        <w:pStyle w:val="Heading2"/>
        <w:spacing w:after="160" w:before="280"/>
      </w:pPr>
      <w:r>
        <w:rPr>
          <w:rFonts w:ascii="Arial" w:cs="Arial" w:eastAsia="Arial" w:hAnsi="Arial"/>
          <w:b/>
          <w:bCs/>
          <w:color w:val="2D3561"/>
          <w:sz w:val="26"/>
          <w:szCs w:val="26"/>
        </w:rPr>
        <w:t xml:space="preserve">14. Asset Management &amp; Field Operations (9 engines)</w:t>
      </w:r>
    </w:p>
    <w:p>
      <w:pPr>
        <w:spacing w:after="120"/>
      </w:pPr>
      <w:r>
        <w:rPr>
          <w:rFonts w:ascii="Arial" w:cs="Arial" w:eastAsia="Arial" w:hAnsi="Arial"/>
          <w:sz w:val="21"/>
          <w:szCs w:val="21"/>
        </w:rPr>
        <w:t xml:space="preserve">Engines for managing assets, processing field measurements, batch operations, and event-driven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asset-registry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DEPLOY334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Central asset master. Plant-Unit-System-Component-CML hierarchy with embedded pipe schedules (17 NPS/schedule combos), material library (10 specs with SMYS/SUTS/allowable/max temp), and asset context resolution.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field-observation-protocol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DEPLOY332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Field measurement protocol. Physics-bounded measurement validation (rejects impossible readings), instant corrosion rate and remaining life computation, structured readback for inspector confirmation, amendment tracking, and evidence packaging.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batch-processing-gateway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DEPLOY333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Batch processing gateway. Accepts arrays of 500+ readings, routes each through the appropriate processing pipeline (thickness, defect, coating, CP, crack), aggregates fleet statistics, ranks by risk, and produces priority action lists.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event-bus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DEPLOY335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Central event bus. 15 event types, 4 severity levels (info/warning/alert/critical), 5 default subscription rules routing to email/Slack/dashboard/log. All engines publish significant events here.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data-ingestion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Data ingestion engine. Handles bulk data import from external systems: CSV thickness readings, PCMS exports, historian data, and third-party inspection reports.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inspection-planning-proof</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 planning with proof. Generates inspection plans with explicit justification for every inspection interval, technique selection, and coverage requirement.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cross-case-patterns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Cross-case pattern recognition. Identifies patterns across the case database: are all carbon steel pipes in Unit 3 experiencing accelerated corrosion? Are weld defects clustering in a specific fabrication batch?</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process-data-integration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Process data integration. Correlates inspection findings with process data (temperature excursions, pressure transients, flow upsets) to identify process-driven degradation.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similar-cases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Similar case retrieval. Given a current case, finds historically similar cases by material, mechanism, environment, and component type to inform the current assessment.</w:t>
            </w:r>
          </w:p>
        </w:tc>
      </w:tr>
    </w:tbl>
    <w:r>
      <w:br w:type="page"/>
    </w:r>
    <w:p>
      <w:pPr>
        <w:pStyle w:val="Heading2"/>
        <w:spacing w:after="160" w:before="280"/>
      </w:pPr>
      <w:r>
        <w:rPr>
          <w:rFonts w:ascii="Arial" w:cs="Arial" w:eastAsia="Arial" w:hAnsi="Arial"/>
          <w:b/>
          <w:bCs/>
          <w:color w:val="2D3561"/>
          <w:sz w:val="26"/>
          <w:szCs w:val="26"/>
        </w:rPr>
        <w:t xml:space="preserve">15. Governance, Security &amp; Access Control (8 engines)</w:t>
      </w:r>
    </w:p>
    <w:p>
      <w:pPr>
        <w:spacing w:after="120"/>
      </w:pPr>
      <w:r>
        <w:rPr>
          <w:rFonts w:ascii="Arial" w:cs="Arial" w:eastAsia="Arial" w:hAnsi="Arial"/>
          <w:sz w:val="21"/>
          <w:szCs w:val="21"/>
        </w:rPr>
        <w:t xml:space="preserve">Engines managing authorization, escalation, role-based access, rules versioning, and decision authority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governance-matrix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DEPLOY074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Governance matrix. Defines who can approve what: inspector authority limits, engineer review thresholds, and management approval requirements based on risk level and financial impact.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rbac</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Role-based access control. Defines and enforces user roles (inspector, engineer, manager, auditor) with granular permissions for each platform capability.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authority-lock-system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Authority lock system. Once a decision is issued, it is locked. Amendments require explicit unlock with justification, creating a permanent record of who changed what and why.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reality-lock-domain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DEPLOY264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Reality lock domain gating. Prevents the platform from operating outside its validated domain. If an inspection scenario falls outside the system's training data or validated physics models, it flags the case for human review.</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escalation-workflow</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Escalation workflow engine. Automatically escalates cases that exceed authority limits, involve novel failure modes, or produce conflicting assessments to the appropriate review level.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inspector-adjudication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Inspector adjudication engine. When the platform and an inspector disagree, this engine structures the resolution process, records both positions, and documents the final adjudicated outcome.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rules-version-control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DEPLOY249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Rules version control. Every code rule, threshold, and acceptance criterion is versioned. Historical decisions reference the exact version of rules that were in force at the time.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notifications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Notification engine. Manages notification preferences, delivery channels, escalation timing, and acknowledgment tracking for all platform alerts.</w:t>
            </w:r>
          </w:p>
        </w:tc>
      </w:tr>
    </w:tbl>
    <w:r>
      <w:br w:type="page"/>
    </w:r>
    <w:p>
      <w:pPr>
        <w:pStyle w:val="Heading2"/>
        <w:spacing w:after="160" w:before="280"/>
      </w:pPr>
      <w:r>
        <w:rPr>
          <w:rFonts w:ascii="Arial" w:cs="Arial" w:eastAsia="Arial" w:hAnsi="Arial"/>
          <w:b/>
          <w:bCs/>
          <w:color w:val="2D3561"/>
          <w:sz w:val="26"/>
          <w:szCs w:val="26"/>
        </w:rPr>
        <w:t xml:space="preserve">16. Reporting, Search &amp; Analytics (9 engines)</w:t>
      </w:r>
    </w:p>
    <w:p>
      <w:pPr>
        <w:spacing w:after="120"/>
      </w:pPr>
      <w:r>
        <w:rPr>
          <w:rFonts w:ascii="Arial" w:cs="Arial" w:eastAsia="Arial" w:hAnsi="Arial"/>
          <w:sz w:val="21"/>
          <w:szCs w:val="21"/>
        </w:rPr>
        <w:t xml:space="preserve">Engines for generating reports, searching cases, analyzing trends, scoring risk, and tracking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inspection-report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 report generator. Produces formatted inspection reports with findings, recommendations, code references, photos, and measurement tables.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case-search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Case search engine. Full-text and structured search across the entire case database with filters for asset, mechanism, severity, date range, and inspector.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trend-analytics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Trend analytics engine. Computes fleet-wide degradation trends, identifies accelerating assets, and produces time-series visualizations of corrosion rate, wall thickness, and risk score.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risk-scoring</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DEPLOY232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Risk scoring engine. Computes risk scores (probability of failure x consequence) for every asset using inspection data, degradation models, and consequence modeling.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outcome-tracking</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Outcome tracking engine. Tracks what actually happened after each decision: was the prediction accurate? Did the recommended action prevent failure? Feeds data back to learning engines.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cost-reasoning-engine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Cost reasoning engine. Estimates the cost of each decision option (repair now vs. monitor vs. replace) including direct costs, production impact, and risk-adjusted expected loss.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executive-decision-engine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DEPLOY294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Executive decision engine. Aggregates platform outputs into executive-level dashboards: fleet risk profile, inspection budget optimization, regulatory compliance status, and critical action items.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root-cause-prevention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DEPLOY281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Root cause prevention authority. Tracks root causes of degradation across the fleet, identifies systemic issues, and recommends preventive actions to eliminate recurrence.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enterprise-operations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DEPLOY251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Enterprise operations engine. Multi-site aggregation, fleet management, cross-facility benchmarking, and enterprise-level KPI tracking.</w:t>
            </w:r>
          </w:p>
        </w:tc>
      </w:tr>
    </w:tbl>
    <w:r>
      <w:br w:type="page"/>
    </w:r>
    <w:p>
      <w:pPr>
        <w:pStyle w:val="Heading2"/>
        <w:spacing w:after="160" w:before="280"/>
      </w:pPr>
      <w:r>
        <w:rPr>
          <w:rFonts w:ascii="Arial" w:cs="Arial" w:eastAsia="Arial" w:hAnsi="Arial"/>
          <w:b/>
          <w:bCs/>
          <w:color w:val="2D3561"/>
          <w:sz w:val="26"/>
          <w:szCs w:val="26"/>
        </w:rPr>
        <w:t xml:space="preserve">17. Infrastructure &amp; Platform Services (7 engines)</w:t>
      </w:r>
    </w:p>
    <w:p>
      <w:pPr>
        <w:spacing w:after="120"/>
      </w:pPr>
      <w:r>
        <w:rPr>
          <w:rFonts w:ascii="Arial" w:cs="Arial" w:eastAsia="Arial" w:hAnsi="Arial"/>
          <w:sz w:val="21"/>
          <w:szCs w:val="21"/>
        </w:rPr>
        <w:t xml:space="preserve">Supporting services: health monitoring, voice integration, data parsing, case management, and system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Engine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Deploy</w:t>
            </w:r>
          </w:p>
        </w:tc>
        <w:tc>
          <w:tcPr>
            <w:tcW w:type="dxa" w:w="4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health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DEPLOY225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Platform health check. Monitors database connectivity, table availability, engine responsiveness, and system configuration. Powers the 127-engine system check page.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voice-grammar-bridge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DEPLOY159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Voice grammar bridge. Enables voice-to-text inspection data entry with structured readback, amendment protocol, and confirmation workflow for hands-free field use.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create-case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Case creation endpoint. Creates new inspection cases with metadata, assigns case IDs, and initializes the evidence and findings containers.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upload-evidence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Evidence upload endpoint. Handles photo, document, and measurement file uploads with integrity hashing and metadata extraction.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parse-thickness-csv</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Thickness CSV parser. Parses thickness measurement CSV files from common UT instruments into the platform's standardized measurement format.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parse-incident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Incident report parser. Extracts structured data from free-text incident reports using NLP to identify assets, mechanisms, and severity.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embed-case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Case embedding engine. Generates vector embeddings of inspection cases for similarity search and pattern matching.</w:t>
            </w:r>
          </w:p>
        </w:tc>
      </w:tr>
    </w:tbl>
    <w:r>
      <w:br w:type="page"/>
    </w:r>
    <w:p>
      <w:pPr>
        <w:pStyle w:val="Heading1"/>
        <w:spacing w:after="200" w:before="360"/>
      </w:pPr>
      <w:r>
        <w:rPr>
          <w:rFonts w:ascii="Arial" w:cs="Arial" w:eastAsia="Arial" w:hAnsi="Arial"/>
          <w:b/>
          <w:bCs/>
          <w:color w:val="1A1A2E"/>
          <w:sz w:val="32"/>
          <w:szCs w:val="32"/>
        </w:rPr>
        <w:t xml:space="preserve">Database Schema</w:t>
      </w:r>
    </w:p>
    <w:p>
      <w:pPr>
        <w:spacing w:after="120"/>
      </w:pPr>
      <w:r>
        <w:rPr>
          <w:rFonts w:ascii="Arial" w:cs="Arial" w:eastAsia="Arial" w:hAnsi="Arial"/>
          <w:sz w:val="21"/>
          <w:szCs w:val="21"/>
        </w:rPr>
        <w:t xml:space="preserve">The platform maintains 129 database tables in Supabase (PostgreSQL). All tables have Row Level Security (RLS) enabled with service_role policies. The 3 core tables (inspection_cases, findings, evidence) are critical; all others are non-critical and the platform operates in degraded mode if they are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7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Tables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inspection_cases, findings, evidence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Audit &amp; Security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audit_events, audit_bundles, org_signing_keys, code_sets, inspector_adjudications, decision_audit_log, evidence_contracts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Reasoning &amp; Learning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reasoning_sessions, learning_records, hypothesis_tracking, calibration_scores, adversarial_challenges, learning_outcomes, inspector_overrides, evidence_value_records, confidence_calibration_records, learning_update_candidates, learning_versions, asset_twin_memory, synthetic_scenarios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Planning &amp; Operations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inspection_plans, workpack_items, inspection_priorities, portfolio_uncertainty_state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Corrosion &amp; Degradation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corrosion_loops, corrosion_rate_history, remaining_life_predictions, outcome_tracking, coating_assessments, coating_audit_events, uncertainty_records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Fatigue &amp; Structural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fatigue_assessments, vibration_assessments, asset_graphs, cascade_scenarios, asset_interactions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Code &amp; Formulas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code_authority_registry, code_authority_lookups, formula_categories, formula_registry, formula_execution_runs, formula_chains, formula_chain_runs, formula_decision_cards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 Math (APMM)</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advanced_math_engine_registry, advanced_math_engine_runs, evidence_items, mechanism_beliefs, system_graph_nodes, system_graph_edges, digital_twin_state_vectors, digital_twin_predictions, spatial_field_maps, optimization_runs, causal_models, advanced_decision_cards, apmm_orchestrator_runs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AI Reasoning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concept_registry, case_concepts, hypothesis_trees, causal_chains, cross_domain_analogies, novelty_flags, belief_updates, failure_trajectories, predictive_data_sources, neurosymbolic_rules, neurosymbolic_sessions, conformal_calibration, conformal_predictions, constrained_inference_runs, uncertainty_propagation_runs, causal_discovery_results, causal_relationships, debate_sessions, debate_arguments, anomaly_fingerprints, anomaly_matches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Digital Twin &amp; World Model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world_model_simulations, simulation_scenarios, physics_model_registry, physics_learning_events, physics_model_versions, twin_calibration_state, twin_calibration_history, twin_drift_records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 &amp; Marine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subsea_domain_assessments, cp_assessments, marine_growth_assessments, external_interaction_events, subsea_orchestrator_results, underwater_ndt_assessments, underwater_weld_assessments, subsea_inspection_conditions, vessel_assessments, stability_assessments, motion_assessments, vessel_orchestrator_results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Refinery &amp; Process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process_condition_assessments, refinery_mechanism_assessments, refinery_code_authority_results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Power Generation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pg_damage_mechanisms, pg_operating_events, pg_measurements, pg_case_decisions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Validation &amp; QA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validation_results, convergence_proof_results, convergence_reports, regression_test_runs, decision_proofs, interaction_mesh_results, engine_assumption_contracts, contract_validation_results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Prevention &amp; Fleet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prevention_records, fleet_exposure_mappings, prevention_effectiveness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Reports &amp; Output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18"/>
                <w:szCs w:val="18"/>
              </w:rPr>
              <w:t xml:space="preserve">superbrain_reports, executive_decisions, explainability_traces, temporal_fusion_states, regulatory_reports, output_envelopes, field_observations, batch_processing_runs, asset_registry, event_bus_log</w:t>
            </w:r>
          </w:p>
        </w:tc>
      </w:tr>
    </w:tbl>
    <w:r>
      <w:br w:type="page"/>
    </w:r>
    <w:p>
      <w:pPr>
        <w:pStyle w:val="Heading1"/>
        <w:spacing w:after="200" w:before="360"/>
      </w:pPr>
      <w:r>
        <w:rPr>
          <w:rFonts w:ascii="Arial" w:cs="Arial" w:eastAsia="Arial" w:hAnsi="Arial"/>
          <w:b/>
          <w:bCs/>
          <w:color w:val="1A1A2E"/>
          <w:sz w:val="32"/>
          <w:szCs w:val="32"/>
        </w:rPr>
        <w:t xml:space="preserve">Platform Statistics</w:t>
      </w:r>
    </w:p>
    <w:p>
      <w:pPr>
        <w:spacing w:after="100"/>
      </w:pPr>
      <w:r>
        <w:rPr>
          <w:rFonts w:ascii="Arial" w:cs="Arial" w:eastAsia="Arial" w:hAnsi="Arial"/>
          <w:b/>
          <w:bCs/>
          <w:sz w:val="21"/>
          <w:szCs w:val="21"/>
        </w:rPr>
        <w:t xml:space="preserve">Total Engines: </w:t>
      </w:r>
      <w:r>
        <w:rPr>
          <w:rFonts w:ascii="Arial" w:cs="Arial" w:eastAsia="Arial" w:hAnsi="Arial"/>
          <w:sz w:val="21"/>
          <w:szCs w:val="21"/>
        </w:rPr>
        <w:t xml:space="preserve">127</w:t>
      </w:r>
    </w:p>
    <w:p>
      <w:pPr>
        <w:spacing w:after="100"/>
      </w:pPr>
      <w:r>
        <w:rPr>
          <w:rFonts w:ascii="Arial" w:cs="Arial" w:eastAsia="Arial" w:hAnsi="Arial"/>
          <w:b/>
          <w:bCs/>
          <w:sz w:val="21"/>
          <w:szCs w:val="21"/>
        </w:rPr>
        <w:t xml:space="preserve">Deterministic Engines: </w:t>
      </w:r>
      <w:r>
        <w:rPr>
          <w:rFonts w:ascii="Arial" w:cs="Arial" w:eastAsia="Arial" w:hAnsi="Arial"/>
          <w:sz w:val="21"/>
          <w:szCs w:val="21"/>
        </w:rPr>
        <w:t xml:space="preserve">123 (physics computations, code lookups, data processing)</w:t>
      </w:r>
    </w:p>
    <w:p>
      <w:pPr>
        <w:spacing w:after="100"/>
      </w:pPr>
      <w:r>
        <w:rPr>
          <w:rFonts w:ascii="Arial" w:cs="Arial" w:eastAsia="Arial" w:hAnsi="Arial"/>
          <w:b/>
          <w:bCs/>
          <w:sz w:val="21"/>
          <w:szCs w:val="21"/>
        </w:rPr>
        <w:t xml:space="preserve">AI-Assisted Engines: </w:t>
      </w:r>
      <w:r>
        <w:rPr>
          <w:rFonts w:ascii="Arial" w:cs="Arial" w:eastAsia="Arial" w:hAnsi="Arial"/>
          <w:sz w:val="21"/>
          <w:szCs w:val="21"/>
        </w:rPr>
        <w:t xml:space="preserve">4 (tri-model reasoning, similar cases, observation layer, run analysis)</w:t>
      </w:r>
    </w:p>
    <w:p>
      <w:pPr>
        <w:spacing w:after="100"/>
      </w:pPr>
      <w:r>
        <w:rPr>
          <w:rFonts w:ascii="Arial" w:cs="Arial" w:eastAsia="Arial" w:hAnsi="Arial"/>
          <w:b/>
          <w:bCs/>
          <w:sz w:val="21"/>
          <w:szCs w:val="21"/>
        </w:rPr>
        <w:t xml:space="preserve">Database Tables: </w:t>
      </w:r>
      <w:r>
        <w:rPr>
          <w:rFonts w:ascii="Arial" w:cs="Arial" w:eastAsia="Arial" w:hAnsi="Arial"/>
          <w:sz w:val="21"/>
          <w:szCs w:val="21"/>
        </w:rPr>
        <w:t xml:space="preserve">129 (3 critical, 126 non-critical)</w:t>
      </w:r>
    </w:p>
    <w:p>
      <w:pPr>
        <w:spacing w:after="100"/>
      </w:pPr>
      <w:r>
        <w:rPr>
          <w:rFonts w:ascii="Arial" w:cs="Arial" w:eastAsia="Arial" w:hAnsi="Arial"/>
          <w:b/>
          <w:bCs/>
          <w:sz w:val="21"/>
          <w:szCs w:val="21"/>
        </w:rPr>
        <w:t xml:space="preserve">Function Files: </w:t>
      </w:r>
      <w:r>
        <w:rPr>
          <w:rFonts w:ascii="Arial" w:cs="Arial" w:eastAsia="Arial" w:hAnsi="Arial"/>
          <w:sz w:val="21"/>
          <w:szCs w:val="21"/>
        </w:rPr>
        <w:t xml:space="preserve">160+ (includes supporting utilities beyond registered engines)</w:t>
      </w:r>
    </w:p>
    <w:p>
      <w:pPr>
        <w:spacing w:after="100"/>
      </w:pPr>
      <w:r>
        <w:rPr>
          <w:rFonts w:ascii="Arial" w:cs="Arial" w:eastAsia="Arial" w:hAnsi="Arial"/>
          <w:b/>
          <w:bCs/>
          <w:sz w:val="21"/>
          <w:szCs w:val="21"/>
        </w:rPr>
        <w:t xml:space="preserve">Industry Verticals: </w:t>
      </w:r>
      <w:r>
        <w:rPr>
          <w:rFonts w:ascii="Arial" w:cs="Arial" w:eastAsia="Arial" w:hAnsi="Arial"/>
          <w:sz w:val="21"/>
          <w:szCs w:val="21"/>
        </w:rPr>
        <w:t xml:space="preserve">10 (chemical, nuclear, aerospace, power gen, maritime, civil, space, robotics, medical, general)</w:t>
      </w:r>
    </w:p>
    <w:p>
      <w:pPr>
        <w:spacing w:after="100"/>
      </w:pPr>
      <w:r>
        <w:rPr>
          <w:rFonts w:ascii="Arial" w:cs="Arial" w:eastAsia="Arial" w:hAnsi="Arial"/>
          <w:b/>
          <w:bCs/>
          <w:sz w:val="21"/>
          <w:szCs w:val="21"/>
        </w:rPr>
        <w:t xml:space="preserve">Subsea/Marine Engines: </w:t>
      </w:r>
      <w:r>
        <w:rPr>
          <w:rFonts w:ascii="Arial" w:cs="Arial" w:eastAsia="Arial" w:hAnsi="Arial"/>
          <w:sz w:val="21"/>
          <w:szCs w:val="21"/>
        </w:rPr>
        <w:t xml:space="preserve">12 (8 subsea + 4 marine vessel)</w:t>
      </w:r>
    </w:p>
    <w:p>
      <w:pPr>
        <w:spacing w:after="100"/>
      </w:pPr>
      <w:r>
        <w:rPr>
          <w:rFonts w:ascii="Arial" w:cs="Arial" w:eastAsia="Arial" w:hAnsi="Arial"/>
          <w:b/>
          <w:bCs/>
          <w:sz w:val="21"/>
          <w:szCs w:val="21"/>
        </w:rPr>
        <w:t xml:space="preserve">Engineering Formulas: </w:t>
      </w:r>
      <w:r>
        <w:rPr>
          <w:rFonts w:ascii="Arial" w:cs="Arial" w:eastAsia="Arial" w:hAnsi="Arial"/>
          <w:sz w:val="21"/>
          <w:szCs w:val="21"/>
        </w:rPr>
        <w:t xml:space="preserve">200+ in formula registry</w:t>
      </w:r>
    </w:p>
    <w:p>
      <w:pPr>
        <w:spacing w:after="100"/>
      </w:pPr>
      <w:r>
        <w:rPr>
          <w:rFonts w:ascii="Arial" w:cs="Arial" w:eastAsia="Arial" w:hAnsi="Arial"/>
          <w:b/>
          <w:bCs/>
          <w:sz w:val="21"/>
          <w:szCs w:val="21"/>
        </w:rPr>
        <w:t xml:space="preserve">Material Specifications: </w:t>
      </w:r>
      <w:r>
        <w:rPr>
          <w:rFonts w:ascii="Arial" w:cs="Arial" w:eastAsia="Arial" w:hAnsi="Arial"/>
          <w:sz w:val="21"/>
          <w:szCs w:val="21"/>
        </w:rPr>
        <w:t xml:space="preserve">10 in material library (SA-106B, SA-516-70, SA-335-P11/P22, SA-312-304/316, SA-790-S31803, SA-333-6, API-5L-X52/X65)</w:t>
      </w:r>
    </w:p>
    <w:p>
      <w:pPr>
        <w:spacing w:after="100"/>
      </w:pPr>
      <w:r>
        <w:rPr>
          <w:rFonts w:ascii="Arial" w:cs="Arial" w:eastAsia="Arial" w:hAnsi="Arial"/>
          <w:b/>
          <w:bCs/>
          <w:sz w:val="21"/>
          <w:szCs w:val="21"/>
        </w:rPr>
        <w:t xml:space="preserve">Pipe Schedules: </w:t>
      </w:r>
      <w:r>
        <w:rPr>
          <w:rFonts w:ascii="Arial" w:cs="Arial" w:eastAsia="Arial" w:hAnsi="Arial"/>
          <w:sz w:val="21"/>
          <w:szCs w:val="21"/>
        </w:rPr>
        <w:t xml:space="preserve">17 NPS/schedule combinations (NPS 2-24, Sch 40/80)</w:t>
      </w:r>
    </w:p>
    <w:p>
      <w:pPr>
        <w:spacing w:after="100"/>
      </w:pPr>
      <w:r>
        <w:rPr>
          <w:rFonts w:ascii="Arial" w:cs="Arial" w:eastAsia="Arial" w:hAnsi="Arial"/>
          <w:b/>
          <w:bCs/>
          <w:sz w:val="21"/>
          <w:szCs w:val="21"/>
        </w:rPr>
        <w:t xml:space="preserve">Event Types: </w:t>
      </w:r>
      <w:r>
        <w:rPr>
          <w:rFonts w:ascii="Arial" w:cs="Arial" w:eastAsia="Arial" w:hAnsi="Arial"/>
          <w:sz w:val="21"/>
          <w:szCs w:val="21"/>
        </w:rPr>
        <w:t xml:space="preserve">15 (anomaly, code override, drift, remaining life critical/short, corrosion rate, debate conflict, calibration, inspection overdue, novelty, batch complete, report generated, measurement warning, parameter update, change point)</w:t>
      </w:r>
    </w:p>
    <w:p>
      <w:pPr>
        <w:spacing w:after="100"/>
      </w:pPr>
      <w:r>
        <w:rPr>
          <w:rFonts w:ascii="Arial" w:cs="Arial" w:eastAsia="Arial" w:hAnsi="Arial"/>
          <w:b/>
          <w:bCs/>
          <w:sz w:val="21"/>
          <w:szCs w:val="21"/>
        </w:rPr>
        <w:t xml:space="preserve">Code Standards Covered: </w:t>
      </w:r>
      <w:r>
        <w:rPr>
          <w:rFonts w:ascii="Arial" w:cs="Arial" w:eastAsia="Arial" w:hAnsi="Arial"/>
          <w:sz w:val="21"/>
          <w:szCs w:val="21"/>
        </w:rPr>
        <w:t xml:space="preserve">ASME B31.3, B31.4, B31.8, API 510, 570, 579, 580, 653, 1104, ASME Section XI, AWS D1.1, D3.6M, DNV-RP-F101, PCC-2, ISO 24817, NBIC, and more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FORGED NDT Intelligence OS  |  Platform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5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E5C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2026-04-26T02:59:06.414Z</dcterms:created>
  <dcterms:modified xsi:type="dcterms:W3CDTF">2026-04-26T02:59:06.414Z</dcterms:modified>
</cp:coreProperties>
</file>

<file path=docProps/custom.xml><?xml version="1.0" encoding="utf-8"?>
<Properties xmlns="http://schemas.openxmlformats.org/officeDocument/2006/custom-properties" xmlns:vt="http://schemas.openxmlformats.org/officeDocument/2006/docPropsVTypes"/>
</file>