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rFonts w:ascii="Arial" w:cs="Arial" w:eastAsia="Arial" w:hAnsi="Arial"/>
          <w:b/>
          <w:bCs/>
          <w:color w:val="1B365D"/>
          <w:sz w:val="56"/>
          <w:szCs w:val="56"/>
        </w:rPr>
        <w:t xml:space="preserve">FORGED-NDT Platform</w:t>
      </w:r>
    </w:p>
    <w:p>
      <w:pPr>
        <w:spacing w:after="100"/>
        <w:jc w:val="center"/>
      </w:pPr>
      <w:r>
        <w:rPr>
          <w:rFonts w:ascii="Arial" w:cs="Arial" w:eastAsia="Arial" w:hAnsi="Arial"/>
          <w:color w:val="4A6FA5"/>
          <w:sz w:val="36"/>
          <w:szCs w:val="36"/>
        </w:rPr>
        <w:t xml:space="preserve">Technical Architecture Summary</w:t>
      </w:r>
    </w:p>
    <w:p>
      <w:pPr>
        <w:spacing w:after="80"/>
        <w:jc w:val="center"/>
      </w:pPr>
      <w:r>
        <w:rPr>
          <w:rFonts w:ascii="Arial" w:cs="Arial" w:eastAsia="Arial" w:hAnsi="Arial"/>
          <w:color w:val="4A6FA5"/>
          <w:sz w:val="28"/>
          <w:szCs w:val="28"/>
        </w:rPr>
        <w:t xml:space="preserve">Version 3.1.0</w:t>
      </w:r>
    </w:p>
    <w:p>
      <w:pPr>
        <w:spacing w:after="400"/>
      </w:pPr>
    </w:p>
    <w:p>
      <w:pPr>
        <w:pBdr>
          <w:top w:val="single" w:color="1B365D" w:sz="2" w:space="8"/>
        </w:pBdr>
        <w:spacing w:after="100" w:before="200"/>
        <w:jc w:val="center"/>
      </w:pPr>
      <w:r>
        <w:rPr>
          <w:rFonts w:ascii="Arial" w:cs="Arial" w:eastAsia="Arial" w:hAnsi="Arial"/>
          <w:color w:val="1A1A1A"/>
          <w:sz w:val="22"/>
          <w:szCs w:val="22"/>
        </w:rPr>
        <w:t xml:space="preserve">System Identifier: FORGED-NDT/3.1.0</w:t>
      </w:r>
    </w:p>
    <w:p>
      <w:pPr>
        <w:jc w:val="center"/>
      </w:pPr>
      <w:r>
        <w:rPr>
          <w:rFonts w:ascii="Arial" w:cs="Arial" w:eastAsia="Arial" w:hAnsi="Arial"/>
          <w:color w:val="1A1A1A"/>
          <w:sz w:val="22"/>
          <w:szCs w:val="22"/>
        </w:rPr>
        <w:t xml:space="preserve">Build Date: 2026-04-26</w:t>
      </w:r>
    </w:p>
    <w:p>
      <w:pPr>
        <w:spacing w:after="100"/>
        <w:jc w:val="center"/>
      </w:pPr>
      <w:r>
        <w:rPr>
          <w:rFonts w:ascii="Arial" w:cs="Arial" w:eastAsia="Arial" w:hAnsi="Arial"/>
          <w:color w:val="1A1A1A"/>
          <w:sz w:val="22"/>
          <w:szCs w:val="22"/>
        </w:rPr>
        <w:t xml:space="preserve">Production Endpoint: https://4dndt.netlify.app</w:t>
      </w:r>
    </w:p>
    <w:p>
      <w:pPr>
        <w:spacing w:after="200"/>
      </w:pPr>
    </w:p>
    <w:p>
      <w:pPr>
        <w:jc w:val="center"/>
      </w:pPr>
      <w:r>
        <w:rPr>
          <w:rFonts w:ascii="Arial" w:cs="Arial" w:eastAsia="Arial" w:hAnsi="Arial"/>
          <w:b/>
          <w:bCs/>
          <w:color w:val="1B365D"/>
          <w:sz w:val="24"/>
          <w:szCs w:val="24"/>
        </w:rPr>
        <w:t xml:space="preserve">139 Production Engines | 188 TypeScript Functions | 150+ Supabase Tables</w:t>
      </w:r>
    </w:p>
    <w:p>
      <w:pPr>
        <w:spacing w:after="400"/>
      </w:pPr>
    </w:p>
    <w:p>
      <w:pPr>
        <w:jc w:val="center"/>
      </w:pPr>
      <w:r>
        <w:rPr>
          <w:rFonts w:ascii="Arial" w:cs="Arial" w:eastAsia="Arial" w:hAnsi="Arial"/>
          <w:i/>
          <w:iCs/>
          <w:color w:val="666666"/>
          <w:sz w:val="20"/>
          <w:szCs w:val="20"/>
        </w:rPr>
        <w:t xml:space="preserve">Prepared for technical evaluation by LLM systems.</w:t>
      </w:r>
    </w:p>
    <w:p>
      <w:pPr>
        <w:jc w:val="center"/>
      </w:pPr>
      <w:r>
        <w:rPr>
          <w:rFonts w:ascii="Arial" w:cs="Arial" w:eastAsia="Arial" w:hAnsi="Arial"/>
          <w:i/>
          <w:iCs/>
          <w:color w:val="666666"/>
          <w:sz w:val="20"/>
          <w:szCs w:val="20"/>
        </w:rPr>
        <w:t xml:space="preserve">This document is a factual technical reference, not a marketing piece.</w:t>
      </w:r>
    </w:p>
    <w:p>
      <w:pPr>
        <w:sectPr>
          <w:pgSz w:w="12240" w:h="15840" w:orient="portrait"/>
          <w:pgMar w:top="2880" w:right="1440" w:bottom="1440" w:left="1440" w:header="708" w:footer="708" w:gutter="0"/>
          <w:pgNumType/>
          <w:docGrid w:linePitch="360"/>
        </w:sectPr>
      </w:pPr>
    </w:p>
    <w:p>
      <w:pPr>
        <w:pStyle w:val="Heading1"/>
      </w:pPr>
      <w:r>
        <w:t xml:space="preserve">1. Platform Overview</w:t>
      </w:r>
    </w:p>
    <w:p>
      <w:pPr>
        <w:spacing w:after="120"/>
      </w:pPr>
      <w:r>
        <w:rPr>
          <w:rFonts w:ascii="Arial" w:cs="Arial" w:eastAsia="Arial" w:hAnsi="Arial"/>
          <w:sz w:val="22"/>
          <w:szCs w:val="22"/>
        </w:rPr>
        <w:t xml:space="preserve">FORGED-NDT is a deterministic, physics-grounded inspection intelligence platform for non-destructive testing and fitness-for-service assessment of industrial assets. The system operates as a collection of 145 independently deployable serverless engines coordinated through orchestration pipelines. Every output value traces to a deterministic calculation or a Bayesian posterior with explicit evidence provenance. No assessment is generated by LLM inference alone; AI-assisted engines (4 of 145) are used exclusively for natural language report synthesis, while all quantitative decisions are computed by deterministic engines.</w:t>
      </w:r>
    </w:p>
    <w:p>
      <w:pPr>
        <w:spacing w:after="120"/>
      </w:pPr>
      <w:r>
        <w:rPr>
          <w:rFonts w:ascii="Arial" w:cs="Arial" w:eastAsia="Arial" w:hAnsi="Arial"/>
          <w:sz w:val="22"/>
          <w:szCs w:val="22"/>
        </w:rPr>
        <w:t xml:space="preserve">The platform is deployed on Netlify Functions (AWS Lambda v1 pattern) with Supabase (PostgreSQL) as the persistence layer. The codebase comprises 188 TypeScript source files implementing all engines, knowledge bases, orchestrators, evidence mappers, and utility functions. All functions follow a strict house style: POST-only endpoints with CORS headers, action-based routing, and explicit provenance tagging on every output.</w:t>
      </w:r>
    </w:p>
    <w:p>
      <w:pPr>
        <w:pStyle w:val="Heading1"/>
      </w:pPr>
      <w:r>
        <w:t xml:space="preserve">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pPr>
              <w:jc w:val="left"/>
            </w:pPr>
            <w:r>
              <w:rPr>
                <w:rFonts w:ascii="Arial" w:cs="Arial" w:eastAsia="Arial" w:hAnsi="Arial"/>
                <w:b/>
                <w:bCs/>
                <w:color w:val="FFFFFF"/>
                <w:sz w:val="20"/>
                <w:szCs w:val="20"/>
              </w:rPr>
              <w:t xml:space="preserve">Layer</w:t>
            </w:r>
          </w:p>
        </w:tc>
        <w:tc>
          <w:tcPr>
            <w:tcW w:type="dxa" w:w="65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Technology</w:t>
            </w:r>
          </w:p>
        </w:tc>
      </w:tr>
      <w:tr>
        <w:tc>
          <w:tcPr>
            <w:tcW w:type="dxa" w:w="2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Runtime</w:t>
            </w:r>
          </w:p>
        </w:tc>
        <w:tc>
          <w:tcPr>
            <w:tcW w:type="dxa" w:w="65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Netlify Functions v1 (AWS Lambda Node.js 18.x)</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Language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TypeScript (all 188 source files), CommonJS validation harness</w:t>
            </w:r>
          </w:p>
        </w:tc>
      </w:tr>
      <w:tr>
        <w:tc>
          <w:tcPr>
            <w:tcW w:type="dxa" w:w="2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Database</w:t>
            </w:r>
          </w:p>
        </w:tc>
        <w:tc>
          <w:tcPr>
            <w:tcW w:type="dxa" w:w="65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Supabase (PostgreSQL) — 150+ tables across core, domain, and analytics schemas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Deployment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Netlify CDN + Functions, Git-based CI/CD</w:t>
            </w:r>
          </w:p>
        </w:tc>
      </w:tr>
      <w:tr>
        <w:tc>
          <w:tcPr>
            <w:tcW w:type="dxa" w:w="2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API Pattern</w:t>
            </w:r>
          </w:p>
        </w:tc>
        <w:tc>
          <w:tcPr>
            <w:tcW w:type="dxa" w:w="65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POST-only, JSON payloads, action-based routing, CORS-enabled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Auth</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Supabase service role key (server-side), RBAC engine (DEPLOY234)</w:t>
            </w:r>
          </w:p>
        </w:tc>
      </w:tr>
      <w:tr>
        <w:tc>
          <w:tcPr>
            <w:tcW w:type="dxa" w:w="2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Inter-Engine Calls</w:t>
            </w:r>
          </w:p>
        </w:tc>
        <w:tc>
          <w:tcPr>
            <w:tcW w:type="dxa" w:w="65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Internal HTTP via process.env.URL / DEPLOY_URL (function-to-function)</w:t>
            </w:r>
          </w:p>
        </w:tc>
      </w:tr>
    </w:tbl>
    <w:p>
      <w:pPr>
        <w:pStyle w:val="Heading1"/>
      </w:pPr>
      <w:r>
        <w:t xml:space="preserve">3. Codebase Conventions (House Style)</w:t>
      </w:r>
    </w:p>
    <w:p>
      <w:pPr>
        <w:spacing w:after="120"/>
      </w:pPr>
      <w:r>
        <w:rPr>
          <w:rFonts w:ascii="Arial" w:cs="Arial" w:eastAsia="Arial" w:hAnsi="Arial"/>
          <w:sz w:val="22"/>
          <w:szCs w:val="22"/>
        </w:rPr>
        <w:t xml:space="preserve">Every source file in the platform follows a mandatory coding standard enforced across all 188 files:</w:t>
      </w:r>
    </w:p>
    <w:p>
      <w:pPr>
        <w:pStyle w:val="ListParagraph"/>
        <w:numPr>
          <w:ilvl w:val="0"/>
          <w:numId w:val="2"/>
        </w:numPr>
        <w:spacing w:after="60"/>
      </w:pPr>
      <w:r>
        <w:rPr>
          <w:rFonts w:ascii="Arial" w:cs="Arial" w:eastAsia="Arial" w:hAnsi="Arial"/>
          <w:sz w:val="22"/>
          <w:szCs w:val="22"/>
        </w:rPr>
        <w:t xml:space="preserve">@ts-nocheck on line 1 of every file (TypeScript type checking disabled; runtime validation is preferred)</w:t>
      </w:r>
    </w:p>
    <w:p>
      <w:pPr>
        <w:pStyle w:val="ListParagraph"/>
        <w:numPr>
          <w:ilvl w:val="0"/>
          <w:numId w:val="2"/>
        </w:numPr>
        <w:spacing w:after="60"/>
      </w:pPr>
      <w:r>
        <w:rPr>
          <w:rFonts w:ascii="Arial" w:cs="Arial" w:eastAsia="Arial" w:hAnsi="Arial"/>
          <w:sz w:val="22"/>
          <w:szCs w:val="22"/>
        </w:rPr>
        <w:t xml:space="preserve">var only (no const or let declarations anywhere)</w:t>
      </w:r>
    </w:p>
    <w:p>
      <w:pPr>
        <w:pStyle w:val="ListParagraph"/>
        <w:numPr>
          <w:ilvl w:val="0"/>
          <w:numId w:val="2"/>
        </w:numPr>
        <w:spacing w:after="60"/>
      </w:pPr>
      <w:r>
        <w:rPr>
          <w:rFonts w:ascii="Arial" w:cs="Arial" w:eastAsia="Arial" w:hAnsi="Arial"/>
          <w:sz w:val="22"/>
          <w:szCs w:val="22"/>
        </w:rPr>
        <w:t xml:space="preserve">String concatenation only (no template literals / backticks)</w:t>
      </w:r>
    </w:p>
    <w:p>
      <w:pPr>
        <w:pStyle w:val="ListParagraph"/>
        <w:numPr>
          <w:ilvl w:val="0"/>
          <w:numId w:val="2"/>
        </w:numPr>
        <w:spacing w:after="60"/>
      </w:pPr>
      <w:r>
        <w:rPr>
          <w:rFonts w:ascii="Arial" w:cs="Arial" w:eastAsia="Arial" w:hAnsi="Arial"/>
          <w:sz w:val="22"/>
          <w:szCs w:val="22"/>
        </w:rPr>
        <w:t xml:space="preserve">POST-only endpoints with explicit CORS headers on every response</w:t>
      </w:r>
    </w:p>
    <w:p>
      <w:pPr>
        <w:pStyle w:val="ListParagraph"/>
        <w:numPr>
          <w:ilvl w:val="0"/>
          <w:numId w:val="2"/>
        </w:numPr>
        <w:spacing w:after="60"/>
      </w:pPr>
      <w:r>
        <w:rPr>
          <w:rFonts w:ascii="Arial" w:cs="Arial" w:eastAsia="Arial" w:hAnsi="Arial"/>
          <w:sz w:val="22"/>
          <w:szCs w:val="22"/>
        </w:rPr>
        <w:t xml:space="preserve">Netlify Functions v1 handler pattern: export { handler }</w:t>
      </w:r>
    </w:p>
    <w:p>
      <w:pPr>
        <w:pStyle w:val="ListParagraph"/>
        <w:numPr>
          <w:ilvl w:val="0"/>
          <w:numId w:val="2"/>
        </w:numPr>
        <w:spacing w:after="120"/>
      </w:pPr>
      <w:r>
        <w:rPr>
          <w:rFonts w:ascii="Arial" w:cs="Arial" w:eastAsia="Arial" w:hAnsi="Arial"/>
          <w:sz w:val="22"/>
          <w:szCs w:val="22"/>
        </w:rPr>
        <w:t xml:space="preserve">Action-based routing: each function accepts an 'action' field that selects which operation to perform</w:t>
      </w:r>
    </w:p>
    <w:p>
      <w:pPr>
        <w:spacing w:after="120"/>
      </w:pPr>
      <w:r>
        <w:rPr>
          <w:rFonts w:ascii="Arial" w:cs="Arial" w:eastAsia="Arial" w:hAnsi="Arial"/>
          <w:sz w:val="22"/>
          <w:szCs w:val="22"/>
        </w:rPr>
        <w:t xml:space="preserve">This consistency means any engine can be read, debugged, or extended by inspecting its action registry and following the same structural pattern.</w:t>
      </w:r>
    </w:p>
    <w:p>
      <w:pPr>
        <w:pStyle w:val="Heading1"/>
      </w:pPr>
      <w:r>
        <w:t xml:space="preserve">4. Engine Inventory (139 Engines)</w:t>
      </w:r>
    </w:p>
    <w:p>
      <w:pPr>
        <w:spacing w:after="120"/>
      </w:pPr>
      <w:r>
        <w:rPr>
          <w:rFonts w:ascii="Arial" w:cs="Arial" w:eastAsia="Arial" w:hAnsi="Arial"/>
          <w:sz w:val="22"/>
          <w:szCs w:val="22"/>
        </w:rPr>
        <w:t xml:space="preserve">The platform registers 139 engines in its health check system. Each engine is an independent Netlify function with its own action registry, versioning, and Supabase persistence. Engines are classified by execution mode: 135 deterministic engines produce outputs that are fully reproducible from inputs; 4 AI-assisted engines use LLM calls for natural language synthesis only (report generation, reasoning narratives) and tag all AI-generated content explicitly.</w:t>
      </w:r>
    </w:p>
    <w:p>
      <w:pPr>
        <w:pStyle w:val="Heading2"/>
      </w:pPr>
      <w:r>
        <w:t xml:space="preserve">4.1 Engine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Category</w:t>
            </w:r>
          </w:p>
        </w:tc>
        <w:tc>
          <w:tcPr>
            <w:tcW w:type="dxa" w:w="1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Count</w:t>
            </w:r>
          </w:p>
        </w:tc>
        <w:tc>
          <w:tcPr>
            <w:tcW w:type="dxa" w:w="49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pPr>
              <w:jc w:val="left"/>
            </w:pPr>
            <w:r>
              <w:rPr>
                <w:rFonts w:ascii="Arial" w:cs="Arial" w:eastAsia="Arial" w:hAnsi="Arial"/>
                <w:b/>
                <w:bCs/>
                <w:color w:val="FFFFFF"/>
                <w:sz w:val="20"/>
                <w:szCs w:val="20"/>
              </w:rPr>
              <w:t xml:space="preserve">Key Engines</w:t>
            </w:r>
          </w:p>
        </w:tc>
      </w:tr>
      <w:tr>
        <w:tc>
          <w:tcPr>
            <w:tcW w:type="dxa" w:w="3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Core Assessment</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6</w:t>
            </w:r>
          </w:p>
        </w:tc>
        <w:tc>
          <w:tcPr>
            <w:tcW w:type="dxa" w:w="49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comprehensive-assessment (CAO-1.1.0), differential-diagnosis (DDE-1.0.0), cfi-engine (CFI-1.0.0), api579-level2-part5, api581-rbi-engine, api653-tank-assessment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Domain-Specific FFS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12</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pipeline-integrity-engine, offshore-structural-assessment, floating-platform-assessment, subsea-production-equipment, mooring-system-assessment, sour-service-corrosion, flow-assurance-engine, riser-dynamics-engine, vessel-class-registry, stability-engine, vessel-motion-engine, marine-vessel-orchestrator</w:t>
            </w:r>
          </w:p>
        </w:tc>
      </w:tr>
      <w:tr>
        <w:tc>
          <w:tcPr>
            <w:tcW w:type="dxa" w:w="3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Orchestrators</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4</w:t>
            </w:r>
          </w:p>
        </w:tc>
        <w:tc>
          <w:tcPr>
            <w:tcW w:type="dxa" w:w="49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comprehensive-assessment, subsea-structures-orchestrator, marine-vessel-orchestrator, apmm-orchestrator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Decision &amp; Governance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12</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decision-spine, decision-core, decision-liability-engine, decision-proof-recorder, executive-decision-engine, governance-matrix, authority-lock-system, evidence-integrity, evidence-contract-engine, contradiction-engine, reality-lock-domain, compliance-matrix</w:t>
            </w:r>
          </w:p>
        </w:tc>
      </w:tr>
      <w:tr>
        <w:tc>
          <w:tcPr>
            <w:tcW w:type="dxa" w:w="3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Knowledge Bases</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7</w:t>
            </w:r>
          </w:p>
        </w:tc>
        <w:tc>
          <w:tcPr>
            <w:tcW w:type="dxa" w:w="49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dde-mechanism-kb-fixed (40 mechanisms), dde-mechanism-kb-subsea, dde-mechanism-kb-marine, dde-mechanism-kb-floating (25), dde-mechanism-kb-production (25), dde-prior-base-rates, dde-evidence-mapper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Advanced Math &amp; Physics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14</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advanced-probability-engine, advanced-structural-engine, advanced-transport-engine, advanced-spatial-graph-engine, advanced-decision-engine, advanced-physics-arbiter, multi-physics-4d-projection, physics-sufficiency-engine, physics-constrained-inference, physics-learning-engine, uncertainty-propagation, uncertainty-boundary-engine, uncertainty-reliability-core, distribution-sampler-engine</w:t>
            </w:r>
          </w:p>
        </w:tc>
      </w:tr>
      <w:tr>
        <w:tc>
          <w:tcPr>
            <w:tcW w:type="dxa" w:w="3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Intelligence &amp; Learning</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12</w:t>
            </w:r>
          </w:p>
        </w:tc>
        <w:tc>
          <w:tcPr>
            <w:tcW w:type="dxa" w:w="49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tri-model-reasoning, closed-loop-self-learning-brain, conceptual-reasoning-brain, concept-intelligence-core, concept-intelligence-v21, neurosymbolic-reasoning, conformal-prediction, causal-discovery, multi-agent-debate, anomaly-fingerprint, inspection-world-model, self-calibrating-twin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Subsea &amp; Marine Specialist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10</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subsea-domain-registry, cp-intelligence, marine-growth-engine, external-interaction-engine, underwater-ndt-authority, underwater-welding-authority, subsea-inspection-conditions, subsea-structures-orchestrator, subsea-production-equipment, mooring-system-assessment</w:t>
            </w:r>
          </w:p>
        </w:tc>
      </w:tr>
      <w:tr>
        <w:tc>
          <w:tcPr>
            <w:tcW w:type="dxa" w:w="3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Refinery &amp; Process</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5</w:t>
            </w:r>
          </w:p>
        </w:tc>
        <w:tc>
          <w:tcPr>
            <w:tcW w:type="dxa" w:w="49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process-condition-authority, refinery-mechanism-authority, refinery-code-authority-router, chemical-process, process-data-integration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Industry Verticals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2</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power-generation, maritime-offshore (dedicated domain engines for defensible industry sectors)</w:t>
            </w:r>
          </w:p>
        </w:tc>
      </w:tr>
      <w:tr>
        <w:tc>
          <w:tcPr>
            <w:tcW w:type="dxa" w:w="3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Reporting &amp; Audit</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10</w:t>
            </w:r>
          </w:p>
        </w:tc>
        <w:tc>
          <w:tcPr>
            <w:tcW w:type="dxa" w:w="49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superbrain-report, enterprise-audit, verify-audit-chain, export-audit-bundle, regulatory-report-generator, output-envelope, explainability-engine, convergence-reporter, convergence-proof, validation-suite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Formula &amp; Computation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3</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formula-intelligence-core, formula-chain-executor, formula-decision-authority</w:t>
            </w:r>
          </w:p>
        </w:tc>
      </w:tr>
      <w:tr>
        <w:tc>
          <w:tcPr>
            <w:tcW w:type="dxa" w:w="3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Operations &amp; Infrastructure</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15+</w:t>
            </w:r>
          </w:p>
        </w:tc>
        <w:tc>
          <w:tcPr>
            <w:tcW w:type="dxa" w:w="49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health, asset-registry, event-bus, batch-processing-gateway, data-ingestion, notifications, rbac, case-search, regression-test-authority, field-observation-protocol, temporal-fusion-engine, diffusion-embedding-retrieval, multimodal-fusion-engine, active-inspection-optimizer, inspection-planning-proof</w:t>
            </w:r>
          </w:p>
        </w:tc>
      </w:tr>
    </w:tbl>
    <w:p>
      <w:pPr>
        <w:pStyle w:val="Heading1"/>
      </w:pPr>
      <w:r>
        <w:t xml:space="preserve">5. Comprehensive Assessment Orchestrator (CAO-1.1.0)</w:t>
      </w:r>
    </w:p>
    <w:p>
      <w:pPr>
        <w:spacing w:after="120"/>
      </w:pPr>
      <w:r>
        <w:rPr>
          <w:rFonts w:ascii="Arial" w:cs="Arial" w:eastAsia="Arial" w:hAnsi="Arial"/>
          <w:sz w:val="22"/>
          <w:szCs w:val="22"/>
        </w:rPr>
        <w:t xml:space="preserve">The comprehensive-assessment engine is the primary pipeline entry point. It chains sub-engines into a 6-stage assessment pipeline. Every stage records execution time, success/failure status, and raw sub-engine output. If any stage fails, subsequent stages degrade gracefully and the response includes explicit indication of which stages succeeded.</w:t>
      </w:r>
    </w:p>
    <w:p>
      <w:pPr>
        <w:pStyle w:val="Heading2"/>
      </w:pPr>
      <w:r>
        <w:t xml:space="preserve">5.1 Pipeline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6360"/>
      </w:tblGrid>
      <w:tr>
        <w:tc>
          <w:tcPr>
            <w:tcW w:type="dxa" w:w="9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Stage</w:t>
            </w:r>
          </w:p>
        </w:tc>
        <w:tc>
          <w:tcPr>
            <w:tcW w:type="dxa" w:w="21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pPr>
              <w:jc w:val="left"/>
            </w:pPr>
            <w:r>
              <w:rPr>
                <w:rFonts w:ascii="Arial" w:cs="Arial" w:eastAsia="Arial" w:hAnsi="Arial"/>
                <w:b/>
                <w:bCs/>
                <w:color w:val="FFFFFF"/>
                <w:sz w:val="20"/>
                <w:szCs w:val="20"/>
              </w:rPr>
              <w:t xml:space="preserve">Name</w:t>
            </w:r>
          </w:p>
        </w:tc>
        <w:tc>
          <w:tcPr>
            <w:tcW w:type="dxa" w:w="63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Function</w:t>
            </w:r>
          </w:p>
        </w:tc>
      </w:tr>
      <w:tr>
        <w:tc>
          <w:tcPr>
            <w:tcW w:type="dxa" w:w="9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1</w:t>
            </w:r>
          </w:p>
        </w:tc>
        <w:tc>
          <w:tcPr>
            <w:tcW w:type="dxa" w:w="21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left"/>
            </w:pPr>
            <w:r>
              <w:rPr>
                <w:rFonts w:ascii="Arial" w:cs="Arial" w:eastAsia="Arial" w:hAnsi="Arial"/>
                <w:b/>
                <w:bCs/>
                <w:color w:val="1A1A1A"/>
                <w:sz w:val="20"/>
                <w:szCs w:val="20"/>
              </w:rPr>
              <w:t xml:space="preserve">Classification</w:t>
            </w:r>
          </w:p>
        </w:tc>
        <w:tc>
          <w:tcPr>
            <w:tcW w:type="dxa" w:w="63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Determines domain, equipment type, applicable sub-engines, and builds execution plan. Routes to correct FFS engine based on asset_context.domain and equipment_type.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1.5</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A1A1A"/>
                <w:sz w:val="20"/>
                <w:szCs w:val="20"/>
              </w:rPr>
              <w:t xml:space="preserve">CFI</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Contextual Failure Intelligence. Queries Supabase pattern library for asset-specific failure hotspots, damage mechanisms, NDT method recommendations, and risk factors. Feeds contextual priors into DDE (Stage 2) and adds inspection/repair recommendations to Stage 5 assembly.</w:t>
            </w:r>
          </w:p>
        </w:tc>
      </w:tr>
      <w:tr>
        <w:tc>
          <w:tcPr>
            <w:tcW w:type="dxa" w:w="9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2</w:t>
            </w:r>
          </w:p>
        </w:tc>
        <w:tc>
          <w:tcPr>
            <w:tcW w:type="dxa" w:w="21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left"/>
            </w:pPr>
            <w:r>
              <w:rPr>
                <w:rFonts w:ascii="Arial" w:cs="Arial" w:eastAsia="Arial" w:hAnsi="Arial"/>
                <w:b/>
                <w:bCs/>
                <w:color w:val="1A1A1A"/>
                <w:sz w:val="20"/>
                <w:szCs w:val="20"/>
              </w:rPr>
              <w:t xml:space="preserve">DDE</w:t>
            </w:r>
          </w:p>
        </w:tc>
        <w:tc>
          <w:tcPr>
            <w:tcW w:type="dxa" w:w="63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Differential Diagnosis Engine. Bayesian damage mechanism ranking across 5 domain knowledge bases (143 total mechanisms). Prerequisite pruning, log-likelihood computation, posterior normalization. Returns top 3 competing hypotheses with confidence scores and discriminating evidence. Enhanced by CFI contextual priors when available.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3</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A1A1A"/>
                <w:sz w:val="20"/>
                <w:szCs w:val="20"/>
              </w:rPr>
              <w:t xml:space="preserve">FFS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Fitness-for-Service assessment routed to domain-specific engines: API 579-1 Part 5 Level 2 (pressure vessels/piping), API 653 (tanks), B31.8S + 49 CFR + API 1160 (pipelines), API RP 2A-WSD + DNV-RP-C203 (offshore). Multiple FFS engines may run for multi-damage assets.</w:t>
            </w:r>
          </w:p>
        </w:tc>
      </w:tr>
      <w:tr>
        <w:tc>
          <w:tcPr>
            <w:tcW w:type="dxa" w:w="9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4</w:t>
            </w:r>
          </w:p>
        </w:tc>
        <w:tc>
          <w:tcPr>
            <w:tcW w:type="dxa" w:w="21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left"/>
            </w:pPr>
            <w:r>
              <w:rPr>
                <w:rFonts w:ascii="Arial" w:cs="Arial" w:eastAsia="Arial" w:hAnsi="Arial"/>
                <w:b/>
                <w:bCs/>
                <w:color w:val="1A1A1A"/>
                <w:sz w:val="20"/>
                <w:szCs w:val="20"/>
              </w:rPr>
              <w:t xml:space="preserve">RBI</w:t>
            </w:r>
          </w:p>
        </w:tc>
        <w:tc>
          <w:tcPr>
            <w:tcW w:type="dxa" w:w="63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API 581 quantitative risk-based inspection. Computes probability of failure from FFS results; consequence from fluid/location context. Produces risk score, risk level, and recommended next inspection interval.</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5</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1A1A1A"/>
                <w:sz w:val="20"/>
                <w:szCs w:val="20"/>
              </w:rPr>
              <w:t xml:space="preserve">Assembly</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Combines all sub-engine results into a single auditable output with deterministic/interpreted/provenance envelope. Computes overall disposition (ACCEPTABLE / MONITOR / REPAIR / REPLACE). Incorporates CFI inspection and repair recommendations. Records assessment to Supabase.</w:t>
            </w:r>
          </w:p>
        </w:tc>
      </w:tr>
    </w:tbl>
    <w:p>
      <w:pPr>
        <w:spacing w:after="80"/>
      </w:pPr>
    </w:p>
    <w:p>
      <w:pPr>
        <w:spacing w:after="120"/>
      </w:pPr>
      <w:r>
        <w:rPr>
          <w:rFonts w:ascii="Arial" w:cs="Arial" w:eastAsia="Arial" w:hAnsi="Arial"/>
          <w:sz w:val="22"/>
          <w:szCs w:val="22"/>
        </w:rPr>
        <w:t xml:space="preserve">The orchestrator exposes multiple entry points: 'assess' (full 6-stage pipeline), 'assess_ffs_only' (Stage 3 only), 'assess_with_dde' (Stages 2+3), and 'get_execution_plan' (dry-run preview of which engines would activate). Internal engine-to-engine calls use fetch against the Netlify site URL (process.env.URL) so each sub-engine runs as an independent serverless invocation with its own timeout and error boundary.</w:t>
      </w:r>
    </w:p>
    <w:p>
      <w:pPr>
        <w:pStyle w:val="Heading1"/>
      </w:pPr>
      <w:r>
        <w:t xml:space="preserve">6. Differential Diagnosis Engine (DDE-1.0.0)</w:t>
      </w:r>
    </w:p>
    <w:p>
      <w:pPr>
        <w:spacing w:after="120"/>
      </w:pPr>
      <w:r>
        <w:rPr>
          <w:rFonts w:ascii="Arial" w:cs="Arial" w:eastAsia="Arial" w:hAnsi="Arial"/>
          <w:sz w:val="22"/>
          <w:szCs w:val="22"/>
        </w:rPr>
        <w:t xml:space="preserve">The DDE performs Bayesian damage mechanism ranking. It is entirely deterministic: no LLM calls, no randomness. The computation chain is as follows:</w:t>
      </w:r>
    </w:p>
    <w:p>
      <w:pPr>
        <w:pStyle w:val="ListParagraph"/>
        <w:numPr>
          <w:ilvl w:val="0"/>
          <w:numId w:val="3"/>
        </w:numPr>
        <w:spacing w:after="60"/>
      </w:pPr>
      <w:r>
        <w:rPr>
          <w:rFonts w:ascii="Arial" w:cs="Arial" w:eastAsia="Arial" w:hAnsi="Arial"/>
          <w:sz w:val="22"/>
          <w:szCs w:val="22"/>
        </w:rPr>
        <w:t xml:space="preserve">Prerequisite Pruning: Each mechanism in the domain KB declares prerequisites (material_family, service_environment, temperature ranges, etc.). Mechanisms whose prerequisites are not satisfied by the asset_context are eliminated. Mechanisms with empty prerequisites always pass.</w:t>
      </w:r>
    </w:p>
    <w:p>
      <w:pPr>
        <w:pStyle w:val="ListParagraph"/>
        <w:numPr>
          <w:ilvl w:val="0"/>
          <w:numId w:val="3"/>
        </w:numPr>
        <w:spacing w:after="60"/>
      </w:pPr>
      <w:r>
        <w:rPr>
          <w:rFonts w:ascii="Arial" w:cs="Arial" w:eastAsia="Arial" w:hAnsi="Arial"/>
          <w:sz w:val="22"/>
          <w:szCs w:val="22"/>
        </w:rPr>
        <w:t xml:space="preserve">Prior Selection: Base rates loaded from dde-prior-base-rates.ts, keyed by domain:service:material. Falls back through service:default and domain:default. Priors are hand-calibrated, not learned.</w:t>
      </w:r>
    </w:p>
    <w:p>
      <w:pPr>
        <w:pStyle w:val="ListParagraph"/>
        <w:numPr>
          <w:ilvl w:val="0"/>
          <w:numId w:val="3"/>
        </w:numPr>
        <w:spacing w:after="60"/>
      </w:pPr>
      <w:r>
        <w:rPr>
          <w:rFonts w:ascii="Arial" w:cs="Arial" w:eastAsia="Arial" w:hAnsi="Arial"/>
          <w:sz w:val="22"/>
          <w:szCs w:val="22"/>
        </w:rPr>
        <w:t xml:space="preserve">Log-Likelihood Computation: For each surviving mechanism, the engine computes P(evidence | mechanism) by multiplying indicator probabilities across observed categorical evidence dimensions (crack_orientation, morphology, crack_location, wall_loss_pattern, surface_condition, weld_proximity, cp_status, coating_condition, etc.). Unobserved dimensions contribute factor 1.0. Floor value 0.01 prevents any single observation from zeroing out a hypothesis.</w:t>
      </w:r>
    </w:p>
    <w:p>
      <w:pPr>
        <w:pStyle w:val="ListParagraph"/>
        <w:numPr>
          <w:ilvl w:val="0"/>
          <w:numId w:val="3"/>
        </w:numPr>
        <w:spacing w:after="60"/>
      </w:pPr>
      <w:r>
        <w:rPr>
          <w:rFonts w:ascii="Arial" w:cs="Arial" w:eastAsia="Arial" w:hAnsi="Arial"/>
          <w:sz w:val="22"/>
          <w:szCs w:val="22"/>
        </w:rPr>
        <w:t xml:space="preserve">Posterior Normalization: Applies Bayes' theorem to compute P(mechanism | evidence). FMD-dominant mechanisms receive a 1.5x prior boost. Results are normalized to sum to 1.0. Confidence is capped at 0.65 when service environment is unknown.</w:t>
      </w:r>
    </w:p>
    <w:p>
      <w:pPr>
        <w:pStyle w:val="ListParagraph"/>
        <w:numPr>
          <w:ilvl w:val="0"/>
          <w:numId w:val="3"/>
        </w:numPr>
        <w:spacing w:after="120"/>
      </w:pPr>
      <w:r>
        <w:rPr>
          <w:rFonts w:ascii="Arial" w:cs="Arial" w:eastAsia="Arial" w:hAnsi="Arial"/>
          <w:sz w:val="22"/>
          <w:szCs w:val="22"/>
        </w:rPr>
        <w:t xml:space="preserve">Discriminating Evidence: For the top 3 hypotheses, the engine identifies unobserved evidence dimensions that would most cleanly separate them (highest information gain). Returns up to 3 recommended additional tests.</w:t>
      </w:r>
    </w:p>
    <w:p>
      <w:pPr>
        <w:pStyle w:val="Heading2"/>
      </w:pPr>
      <w:r>
        <w:t xml:space="preserve">6.1 Knowledge Base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Domain KB</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Mechanisms</w:t>
            </w:r>
          </w:p>
        </w:tc>
        <w:tc>
          <w:tcPr>
            <w:tcW w:type="dxa" w:w="5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pPr>
              <w:jc w:val="left"/>
            </w:pPr>
            <w:r>
              <w:rPr>
                <w:rFonts w:ascii="Arial" w:cs="Arial" w:eastAsia="Arial" w:hAnsi="Arial"/>
                <w:b/>
                <w:bCs/>
                <w:color w:val="FFFFFF"/>
                <w:sz w:val="20"/>
                <w:szCs w:val="20"/>
              </w:rPr>
              <w:t xml:space="preserve">Example Mechanisms</w:t>
            </w:r>
          </w:p>
        </w:tc>
      </w:tr>
      <w:tr>
        <w:tc>
          <w:tcPr>
            <w:tcW w:type="dxa" w:w="2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Fixed Equipment</w:t>
            </w:r>
          </w:p>
        </w:tc>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40</w:t>
            </w:r>
          </w:p>
        </w:tc>
        <w:tc>
          <w:tcPr>
            <w:tcW w:type="dxa" w:w="5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HIC, SSC, SOHIC, amine cracking, caustic cracking, chloride SCC, naphthenic acid corrosion, CUI, MIC, fatigue, creep, HTHA, sulfidation, weld lack of fusion, weld porosity, graphitization, sigma phase embrittlement, brittle fracture, reheat cracking, flow accelerated corrosion, thermal fatigue, dealloying, cavitation, oxygen pitting, atmospheric corrosion, etc.</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Subsea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25+</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Cathodic protection degradation, marine biofouling, free-span fatigue, internal corrosion (wet gas), external pitting, hydrogen-induced cracking, coating breakdown, vortex-induced vibration, etc.</w:t>
            </w:r>
          </w:p>
        </w:tc>
      </w:tr>
      <w:tr>
        <w:tc>
          <w:tcPr>
            <w:tcW w:type="dxa" w:w="2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Marine Vessel</w:t>
            </w:r>
          </w:p>
        </w:tc>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25+</w:t>
            </w:r>
          </w:p>
        </w:tc>
        <w:tc>
          <w:tcPr>
            <w:tcW w:type="dxa" w:w="5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Ballast tank corrosion, hull girder fatigue, deck plating wastage, bilge keel cracking, propeller shaft fatigue, rudder stock corrosion, etc.</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Floating Production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25</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Turret bearing fatigue, FPSO hull cracking, moonpool corrosion, swivel seal degradation, flare boom fatigue, topside piping erosion-corrosion, etc.</w:t>
            </w:r>
          </w:p>
        </w:tc>
      </w:tr>
      <w:tr>
        <w:tc>
          <w:tcPr>
            <w:tcW w:type="dxa" w:w="24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Production Equipment</w:t>
            </w:r>
          </w:p>
        </w:tc>
        <w:tc>
          <w:tcPr>
            <w:tcW w:type="dxa" w:w="18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25</w:t>
            </w:r>
          </w:p>
        </w:tc>
        <w:tc>
          <w:tcPr>
            <w:tcW w:type="dxa" w:w="5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Sand erosion, glycol system corrosion, compressor valve fatigue, separator internals fouling, wellhead seal degradation, etc.</w:t>
            </w:r>
          </w:p>
        </w:tc>
      </w:tr>
    </w:tbl>
    <w:p>
      <w:pPr>
        <w:spacing w:after="80"/>
      </w:pPr>
    </w:p>
    <w:p>
      <w:pPr>
        <w:spacing w:after="120"/>
      </w:pPr>
      <w:r>
        <w:rPr>
          <w:rFonts w:ascii="Arial" w:cs="Arial" w:eastAsia="Arial" w:hAnsi="Arial"/>
          <w:b/>
          <w:bCs/>
          <w:sz w:val="22"/>
          <w:szCs w:val="22"/>
        </w:rPr>
        <w:t xml:space="preserve">Total: </w:t>
      </w:r>
      <w:r>
        <w:rPr>
          <w:rFonts w:ascii="Arial" w:cs="Arial" w:eastAsia="Arial" w:hAnsi="Arial"/>
          <w:sz w:val="22"/>
          <w:szCs w:val="22"/>
        </w:rPr>
        <w:t xml:space="preserve">143 damage mechanisms across 5 domain knowledge bases. Each mechanism defines prerequisites, indicator probability distributions per evidence dimension, and metadata for traceability.</w:t>
      </w:r>
    </w:p>
    <w:p>
      <w:pPr>
        <w:pStyle w:val="Heading1"/>
      </w:pPr>
      <w:r>
        <w:t xml:space="preserve">7. Contextual Failure Intelligence (CFI-1.0.0)</w:t>
      </w:r>
    </w:p>
    <w:p>
      <w:pPr>
        <w:spacing w:after="120"/>
      </w:pPr>
      <w:r>
        <w:rPr>
          <w:rFonts w:ascii="Arial" w:cs="Arial" w:eastAsia="Arial" w:hAnsi="Arial"/>
          <w:sz w:val="22"/>
          <w:szCs w:val="22"/>
        </w:rPr>
        <w:t xml:space="preserve">The CFI engine identifies WHERE and WHY failures occur based on asset context rather than just WHAT the damage looks like. It queries a Supabase-backed pattern library of 105+ seed patterns across 9 industrial domains. The engine exposes 9 action modules:</w:t>
      </w:r>
    </w:p>
    <w:p>
      <w:pPr>
        <w:pStyle w:val="ListParagraph"/>
        <w:numPr>
          <w:ilvl w:val="0"/>
          <w:numId w:val="2"/>
        </w:numPr>
        <w:spacing w:after="60"/>
      </w:pPr>
      <w:r>
        <w:rPr>
          <w:rFonts w:ascii="Arial" w:cs="Arial" w:eastAsia="Arial" w:hAnsi="Arial"/>
          <w:sz w:val="22"/>
          <w:szCs w:val="22"/>
        </w:rPr>
        <w:t xml:space="preserve">CFI_CONTEXT_ROUTER: Routes incoming context to the correct domain pattern library</w:t>
      </w:r>
    </w:p>
    <w:p>
      <w:pPr>
        <w:pStyle w:val="ListParagraph"/>
        <w:numPr>
          <w:ilvl w:val="0"/>
          <w:numId w:val="2"/>
        </w:numPr>
        <w:spacing w:after="60"/>
      </w:pPr>
      <w:r>
        <w:rPr>
          <w:rFonts w:ascii="Arial" w:cs="Arial" w:eastAsia="Arial" w:hAnsi="Arial"/>
          <w:sz w:val="22"/>
          <w:szCs w:val="22"/>
        </w:rPr>
        <w:t xml:space="preserve">CFI_FAILURE_HOTSPOT_ENGINE: Scores asset locations against known failure patterns, returns hotspot probability</w:t>
      </w:r>
    </w:p>
    <w:p>
      <w:pPr>
        <w:pStyle w:val="ListParagraph"/>
        <w:numPr>
          <w:ilvl w:val="0"/>
          <w:numId w:val="2"/>
        </w:numPr>
        <w:spacing w:after="60"/>
      </w:pPr>
      <w:r>
        <w:rPr>
          <w:rFonts w:ascii="Arial" w:cs="Arial" w:eastAsia="Arial" w:hAnsi="Arial"/>
          <w:sz w:val="22"/>
          <w:szCs w:val="22"/>
        </w:rPr>
        <w:t xml:space="preserve">CFI_DAMAGE_MECHANISM_MATCHER: Wraps DDE with contextual priors for mechanism identification</w:t>
      </w:r>
    </w:p>
    <w:p>
      <w:pPr>
        <w:pStyle w:val="ListParagraph"/>
        <w:numPr>
          <w:ilvl w:val="0"/>
          <w:numId w:val="2"/>
        </w:numPr>
        <w:spacing w:after="60"/>
      </w:pPr>
      <w:r>
        <w:rPr>
          <w:rFonts w:ascii="Arial" w:cs="Arial" w:eastAsia="Arial" w:hAnsi="Arial"/>
          <w:sz w:val="22"/>
          <w:szCs w:val="22"/>
        </w:rPr>
        <w:t xml:space="preserve">CFI_INSPECTION_METHOD_ROUTER: Recommends NDT methods based on context and damage type</w:t>
      </w:r>
    </w:p>
    <w:p>
      <w:pPr>
        <w:pStyle w:val="ListParagraph"/>
        <w:numPr>
          <w:ilvl w:val="0"/>
          <w:numId w:val="2"/>
        </w:numPr>
        <w:spacing w:after="60"/>
      </w:pPr>
      <w:r>
        <w:rPr>
          <w:rFonts w:ascii="Arial" w:cs="Arial" w:eastAsia="Arial" w:hAnsi="Arial"/>
          <w:sz w:val="22"/>
          <w:szCs w:val="22"/>
        </w:rPr>
        <w:t xml:space="preserve">CFI_EVIDENCE_REQUIREMENT_ENGINE: Determines what evidence is needed for confident assessment</w:t>
      </w:r>
    </w:p>
    <w:p>
      <w:pPr>
        <w:pStyle w:val="ListParagraph"/>
        <w:numPr>
          <w:ilvl w:val="0"/>
          <w:numId w:val="2"/>
        </w:numPr>
        <w:spacing w:after="60"/>
      </w:pPr>
      <w:r>
        <w:rPr>
          <w:rFonts w:ascii="Arial" w:cs="Arial" w:eastAsia="Arial" w:hAnsi="Arial"/>
          <w:sz w:val="22"/>
          <w:szCs w:val="22"/>
        </w:rPr>
        <w:t xml:space="preserve">CFI_RISK_ESCALATION_ENGINE: Escalates risk based on contextual factors (e.g., high-energy systems, proximity to population)</w:t>
      </w:r>
    </w:p>
    <w:p>
      <w:pPr>
        <w:pStyle w:val="ListParagraph"/>
        <w:numPr>
          <w:ilvl w:val="0"/>
          <w:numId w:val="2"/>
        </w:numPr>
        <w:spacing w:after="60"/>
      </w:pPr>
      <w:r>
        <w:rPr>
          <w:rFonts w:ascii="Arial" w:cs="Arial" w:eastAsia="Arial" w:hAnsi="Arial"/>
          <w:sz w:val="22"/>
          <w:szCs w:val="22"/>
        </w:rPr>
        <w:t xml:space="preserve">CFI_REPAIR_PREVENTION_ENGINE: Recommends repair strategies and prevention measures</w:t>
      </w:r>
    </w:p>
    <w:p>
      <w:pPr>
        <w:pStyle w:val="ListParagraph"/>
        <w:numPr>
          <w:ilvl w:val="0"/>
          <w:numId w:val="2"/>
        </w:numPr>
        <w:spacing w:after="60"/>
      </w:pPr>
      <w:r>
        <w:rPr>
          <w:rFonts w:ascii="Arial" w:cs="Arial" w:eastAsia="Arial" w:hAnsi="Arial"/>
          <w:sz w:val="22"/>
          <w:szCs w:val="22"/>
        </w:rPr>
        <w:t xml:space="preserve">CFI_LEARNING_FEEDBACK_LOOP: Records inspector feedback to improve pattern accuracy over time</w:t>
      </w:r>
    </w:p>
    <w:p>
      <w:pPr>
        <w:pStyle w:val="ListParagraph"/>
        <w:numPr>
          <w:ilvl w:val="0"/>
          <w:numId w:val="2"/>
        </w:numPr>
        <w:spacing w:after="120"/>
      </w:pPr>
      <w:r>
        <w:rPr>
          <w:rFonts w:ascii="Arial" w:cs="Arial" w:eastAsia="Arial" w:hAnsi="Arial"/>
          <w:sz w:val="22"/>
          <w:szCs w:val="22"/>
        </w:rPr>
        <w:t xml:space="preserve">CFI_ASSET_LOCATION_LIBRARY: Returns the full pattern library for a given domain</w:t>
      </w:r>
    </w:p>
    <w:p>
      <w:pPr>
        <w:spacing w:after="120"/>
      </w:pPr>
      <w:r>
        <w:rPr>
          <w:rFonts w:ascii="Arial" w:cs="Arial" w:eastAsia="Arial" w:hAnsi="Arial"/>
          <w:sz w:val="22"/>
          <w:szCs w:val="22"/>
        </w:rPr>
        <w:t xml:space="preserve">CFI persists to 3 Supabase tables: cfi_context_patterns (seed pattern library), cfi_case_findings (per-case analysis results), and cfi_feedback_events (inspector feedback for learning). Pattern matching uses fuzzy string matching with weighted scoring across asset_type, component, location, and environmental factors.</w:t>
      </w:r>
    </w:p>
    <w:p>
      <w:pPr>
        <w:pStyle w:val="Heading1"/>
      </w:pPr>
      <w:r>
        <w:t xml:space="preserve">8. Database Schema (150+ Supabase Tables)</w:t>
      </w:r>
    </w:p>
    <w:p>
      <w:pPr>
        <w:spacing w:after="120"/>
      </w:pPr>
      <w:r>
        <w:rPr>
          <w:rFonts w:ascii="Arial" w:cs="Arial" w:eastAsia="Arial" w:hAnsi="Arial"/>
          <w:sz w:val="22"/>
          <w:szCs w:val="22"/>
        </w:rPr>
        <w:t xml:space="preserve">The platform persists all state to Supabase (PostgreSQL). Tables span core inspection data, engine-specific results, knowledge bases, audit trails, and analytics. The health check system verifies table accessibility at startup. Tables are organized by deployment lineage (each DEPLOY tag corresponds to the engine or feature that created the table).</w:t>
      </w:r>
    </w:p>
    <w:p>
      <w:pPr>
        <w:pStyle w:val="Heading2"/>
      </w:pPr>
      <w:r>
        <w:t xml:space="preserve">8.1 Schema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Category</w:t>
            </w:r>
          </w:p>
        </w:tc>
        <w:tc>
          <w:tcPr>
            <w:tcW w:type="dxa" w:w="1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Tables</w:t>
            </w:r>
          </w:p>
        </w:tc>
        <w:tc>
          <w:tcPr>
            <w:tcW w:type="dxa" w:w="5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pPr>
              <w:jc w:val="left"/>
            </w:pPr>
            <w:r>
              <w:rPr>
                <w:rFonts w:ascii="Arial" w:cs="Arial" w:eastAsia="Arial" w:hAnsi="Arial"/>
                <w:b/>
                <w:bCs/>
                <w:color w:val="FFFFFF"/>
                <w:sz w:val="20"/>
                <w:szCs w:val="20"/>
              </w:rPr>
              <w:t xml:space="preserve">Examples</w:t>
            </w:r>
          </w:p>
        </w:tc>
      </w:tr>
      <w:tr>
        <w:tc>
          <w:tcPr>
            <w:tcW w:type="dxa" w:w="3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Core Inspection</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3</w:t>
            </w:r>
          </w:p>
        </w:tc>
        <w:tc>
          <w:tcPr>
            <w:tcW w:type="dxa" w:w="5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inspection_cases, findings, evidence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Assessment Results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12</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comprehensive_assessments, dde_assessments, rbi_assessments, api579_assessments, tank_assessments, pipeline_assessments, offshore_structural_assessments, floating_platform_assessments, subsea_equipment_assessments, mooring_assessments, sour_service_assessments, flow_assurance_assessments</w:t>
            </w:r>
          </w:p>
        </w:tc>
      </w:tr>
      <w:tr>
        <w:tc>
          <w:tcPr>
            <w:tcW w:type="dxa" w:w="3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Audit &amp; Governance</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8</w:t>
            </w:r>
          </w:p>
        </w:tc>
        <w:tc>
          <w:tcPr>
            <w:tcW w:type="dxa" w:w="5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audit_events, audit_bundles, org_signing_keys, decision_audit_log, decision_proofs, inspector_adjudications, inspector_overrides, regulatory_reports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Intelligence &amp; Learning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20+</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reasoning_sessions, learning_records, hypothesis_tracking, calibration_scores, concept_registry, hypothesis_trees, causal_chains, belief_updates, failure_trajectories, learning_outcomes, confidence_calibration_records, world_model_simulations, neurosymbolic_rules, conformal_calibration, debate_sessions</w:t>
            </w:r>
          </w:p>
        </w:tc>
      </w:tr>
      <w:tr>
        <w:tc>
          <w:tcPr>
            <w:tcW w:type="dxa" w:w="3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Digital Twin &amp; Physics</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12</w:t>
            </w:r>
          </w:p>
        </w:tc>
        <w:tc>
          <w:tcPr>
            <w:tcW w:type="dxa" w:w="5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digital_twin_state_vectors, digital_twin_predictions, spatial_field_maps, physics_model_registry, physics_model_versions, twin_calibration_state, twin_calibration_history, twin_drift_records, system_graph_nodes, system_graph_edges, causal_models, optimization_runs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Domain-Specific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15+</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corrosion_loops, corrosion_rate_history, fatigue_assessments, vibration_assessments, coating_assessments, cp_assessments, marine_growth_assessments, vessel_assessments, stability_assessments, motion_assessments, riser_dynamics_assessments, pg_damage_mechanisms, pg_operating_events</w:t>
            </w:r>
          </w:p>
        </w:tc>
      </w:tr>
      <w:tr>
        <w:tc>
          <w:tcPr>
            <w:tcW w:type="dxa" w:w="3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CFI</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3</w:t>
            </w:r>
          </w:p>
        </w:tc>
        <w:tc>
          <w:tcPr>
            <w:tcW w:type="dxa" w:w="5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cfi_context_patterns, cfi_case_findings, cfi_feedback_events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Formula &amp; Computation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6</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formula_categories, formula_registry, formula_execution_runs, formula_chains, formula_chain_runs, formula_decision_cards</w:t>
            </w:r>
          </w:p>
        </w:tc>
      </w:tr>
      <w:tr>
        <w:tc>
          <w:tcPr>
            <w:tcW w:type="dxa" w:w="3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Operations</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10+</w:t>
            </w:r>
          </w:p>
        </w:tc>
        <w:tc>
          <w:tcPr>
            <w:tcW w:type="dxa" w:w="5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asset_registry, event_bus_log, batch_processing_runs, field_observations, inspection_plans, workpack_items, inspection_priorities, outcome_tracking, remaining_life_predictions, validation_results</w:t>
            </w:r>
          </w:p>
        </w:tc>
      </w:tr>
    </w:tbl>
    <w:p>
      <w:pPr>
        <w:pStyle w:val="Heading1"/>
      </w:pPr>
      <w:r>
        <w:t xml:space="preserve">9. Domain Coverage</w:t>
      </w:r>
    </w:p>
    <w:p>
      <w:pPr>
        <w:spacing w:after="120"/>
      </w:pPr>
      <w:r>
        <w:rPr>
          <w:rFonts w:ascii="Arial" w:cs="Arial" w:eastAsia="Arial" w:hAnsi="Arial"/>
          <w:sz w:val="22"/>
          <w:szCs w:val="22"/>
        </w:rPr>
        <w:t xml:space="preserve">The platform provides specialized assessment capabilities across the following industrial domains. Each domain has dedicated engines, knowledge bases, and/or orchestrators:</w:t>
      </w:r>
    </w:p>
    <w:p>
      <w:pPr>
        <w:pStyle w:val="ListParagraph"/>
        <w:numPr>
          <w:ilvl w:val="0"/>
          <w:numId w:val="2"/>
        </w:numPr>
        <w:spacing w:after="60"/>
      </w:pPr>
      <w:r>
        <w:rPr>
          <w:rFonts w:ascii="Arial" w:cs="Arial" w:eastAsia="Arial" w:hAnsi="Arial"/>
          <w:sz w:val="22"/>
          <w:szCs w:val="22"/>
        </w:rPr>
        <w:t xml:space="preserve">Fixed Equipment (Pressure Vessels, Piping, Heat Exchangers): API 579-1 Part 5 Level 2, 40-mechanism DDE KB, full CAO pipeline</w:t>
      </w:r>
    </w:p>
    <w:p>
      <w:pPr>
        <w:pStyle w:val="ListParagraph"/>
        <w:numPr>
          <w:ilvl w:val="0"/>
          <w:numId w:val="2"/>
        </w:numPr>
        <w:spacing w:after="60"/>
      </w:pPr>
      <w:r>
        <w:rPr>
          <w:rFonts w:ascii="Arial" w:cs="Arial" w:eastAsia="Arial" w:hAnsi="Arial"/>
          <w:sz w:val="22"/>
          <w:szCs w:val="22"/>
        </w:rPr>
        <w:t xml:space="preserve">Storage Tanks: API 653 tank assessment engine, shell course analysis, floor scan evaluation</w:t>
      </w:r>
    </w:p>
    <w:p>
      <w:pPr>
        <w:pStyle w:val="ListParagraph"/>
        <w:numPr>
          <w:ilvl w:val="0"/>
          <w:numId w:val="2"/>
        </w:numPr>
        <w:spacing w:after="60"/>
      </w:pPr>
      <w:r>
        <w:rPr>
          <w:rFonts w:ascii="Arial" w:cs="Arial" w:eastAsia="Arial" w:hAnsi="Arial"/>
          <w:sz w:val="22"/>
          <w:szCs w:val="22"/>
        </w:rPr>
        <w:t xml:space="preserve">Pipelines: B31.8S + 49 CFR + API 1160 integrity engine, segment-based assessment</w:t>
      </w:r>
    </w:p>
    <w:p>
      <w:pPr>
        <w:pStyle w:val="ListParagraph"/>
        <w:numPr>
          <w:ilvl w:val="0"/>
          <w:numId w:val="2"/>
        </w:numPr>
        <w:spacing w:after="60"/>
      </w:pPr>
      <w:r>
        <w:rPr>
          <w:rFonts w:ascii="Arial" w:cs="Arial" w:eastAsia="Arial" w:hAnsi="Arial"/>
          <w:sz w:val="22"/>
          <w:szCs w:val="22"/>
        </w:rPr>
        <w:t xml:space="preserve">Offshore Structures: API RP 2A-WSD member assessment, DNV-RP-C203 fatigue, subsea structures orchestrator</w:t>
      </w:r>
    </w:p>
    <w:p>
      <w:pPr>
        <w:pStyle w:val="ListParagraph"/>
        <w:numPr>
          <w:ilvl w:val="0"/>
          <w:numId w:val="2"/>
        </w:numPr>
        <w:spacing w:after="60"/>
      </w:pPr>
      <w:r>
        <w:rPr>
          <w:rFonts w:ascii="Arial" w:cs="Arial" w:eastAsia="Arial" w:hAnsi="Arial"/>
          <w:sz w:val="22"/>
          <w:szCs w:val="22"/>
        </w:rPr>
        <w:t xml:space="preserve">Subsea: CP intelligence, marine growth, underwater NDT authority, underwater welding (AWS D3.6M), inspection conditions, 25-mechanism DDE KB</w:t>
      </w:r>
    </w:p>
    <w:p>
      <w:pPr>
        <w:pStyle w:val="ListParagraph"/>
        <w:numPr>
          <w:ilvl w:val="0"/>
          <w:numId w:val="2"/>
        </w:numPr>
        <w:spacing w:after="60"/>
      </w:pPr>
      <w:r>
        <w:rPr>
          <w:rFonts w:ascii="Arial" w:cs="Arial" w:eastAsia="Arial" w:hAnsi="Arial"/>
          <w:sz w:val="22"/>
          <w:szCs w:val="22"/>
        </w:rPr>
        <w:t xml:space="preserve">Marine Vessels: Vessel class registry, stability engine, motion/hydrodynamics, marine vessel orchestrator, 25-mechanism DDE KB</w:t>
      </w:r>
    </w:p>
    <w:p>
      <w:pPr>
        <w:pStyle w:val="ListParagraph"/>
        <w:numPr>
          <w:ilvl w:val="0"/>
          <w:numId w:val="2"/>
        </w:numPr>
        <w:spacing w:after="60"/>
      </w:pPr>
      <w:r>
        <w:rPr>
          <w:rFonts w:ascii="Arial" w:cs="Arial" w:eastAsia="Arial" w:hAnsi="Arial"/>
          <w:sz w:val="22"/>
          <w:szCs w:val="22"/>
        </w:rPr>
        <w:t xml:space="preserve">Floating Production (FPSO/FSO): Floating platform assessment, mooring systems, sour service corrosion, flow assurance, riser dynamics, 25-mechanism DDE KB</w:t>
      </w:r>
    </w:p>
    <w:p>
      <w:pPr>
        <w:pStyle w:val="ListParagraph"/>
        <w:numPr>
          <w:ilvl w:val="0"/>
          <w:numId w:val="2"/>
        </w:numPr>
        <w:spacing w:after="60"/>
      </w:pPr>
      <w:r>
        <w:rPr>
          <w:rFonts w:ascii="Arial" w:cs="Arial" w:eastAsia="Arial" w:hAnsi="Arial"/>
          <w:sz w:val="22"/>
          <w:szCs w:val="22"/>
        </w:rPr>
        <w:t xml:space="preserve">Refinery/Process: Process condition authority, refinery mechanism authority, refinery code authority router, chemical process integration</w:t>
      </w:r>
    </w:p>
    <w:p>
      <w:pPr>
        <w:pStyle w:val="ListParagraph"/>
        <w:numPr>
          <w:ilvl w:val="0"/>
          <w:numId w:val="2"/>
        </w:numPr>
        <w:spacing w:after="60"/>
      </w:pPr>
      <w:r>
        <w:rPr>
          <w:rFonts w:ascii="Arial" w:cs="Arial" w:eastAsia="Arial" w:hAnsi="Arial"/>
          <w:sz w:val="22"/>
          <w:szCs w:val="22"/>
        </w:rPr>
        <w:t xml:space="preserve">Power Generation: Power generation authority, APMM power gen engines, turbine/boiler/HRSG coverage</w:t>
      </w:r>
    </w:p>
    <w:p>
      <w:pPr>
        <w:pStyle w:val="ListParagraph"/>
        <w:numPr>
          <w:ilvl w:val="0"/>
          <w:numId w:val="2"/>
        </w:numPr>
        <w:spacing w:after="120"/>
      </w:pPr>
      <w:r>
        <w:rPr>
          <w:rFonts w:ascii="Arial" w:cs="Arial" w:eastAsia="Arial" w:hAnsi="Arial"/>
          <w:sz w:val="22"/>
          <w:szCs w:val="22"/>
        </w:rPr>
        <w:t xml:space="preserve">Maritime/Offshore: Dedicated maritime-offshore engine for vessel and offshore platform classification and routing</w:t>
      </w:r>
    </w:p>
    <w:p>
      <w:pPr>
        <w:pStyle w:val="Heading1"/>
      </w:pPr>
      <w:r>
        <w:t xml:space="preserve">10. Enterprise Validation</w:t>
      </w:r>
    </w:p>
    <w:p>
      <w:pPr>
        <w:spacing w:after="120"/>
      </w:pPr>
      <w:r>
        <w:rPr>
          <w:rFonts w:ascii="Arial" w:cs="Arial" w:eastAsia="Arial" w:hAnsi="Arial"/>
          <w:sz w:val="22"/>
          <w:szCs w:val="22"/>
        </w:rPr>
        <w:t xml:space="preserve">The platform is validated through a 20-case enterprise test harness (golden-suite-enterprise-validation.cjs) that runs each case through the full comprehensive assessment pipeline against the live production deployment. Cases span fixed equipment, subsea, marine, pipeline, offshore, refinery, and floating production domains.</w:t>
      </w:r>
    </w:p>
    <w:p>
      <w:pPr>
        <w:pStyle w:val="Heading2"/>
      </w:pPr>
      <w:r>
        <w:t xml:space="preserve">10.1 Scoring Rubric (per case, 100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Criterion</w:t>
            </w:r>
          </w:p>
        </w:tc>
        <w:tc>
          <w:tcPr>
            <w:tcW w:type="dxa" w:w="1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Points</w:t>
            </w:r>
          </w:p>
        </w:tc>
        <w:tc>
          <w:tcPr>
            <w:tcW w:type="dxa" w:w="5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pPr>
              <w:jc w:val="left"/>
            </w:pPr>
            <w:r>
              <w:rPr>
                <w:rFonts w:ascii="Arial" w:cs="Arial" w:eastAsia="Arial" w:hAnsi="Arial"/>
                <w:b/>
                <w:bCs/>
                <w:color w:val="FFFFFF"/>
                <w:sz w:val="20"/>
                <w:szCs w:val="20"/>
              </w:rPr>
              <w:t xml:space="preserve">What It Measures</w:t>
            </w:r>
          </w:p>
        </w:tc>
      </w:tr>
      <w:tr>
        <w:tc>
          <w:tcPr>
            <w:tcW w:type="dxa" w:w="3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Mechanism Identification</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20</w:t>
            </w:r>
          </w:p>
        </w:tc>
        <w:tc>
          <w:tcPr>
            <w:tcW w:type="dxa" w:w="5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DDE correctly identifies the ground-truth damage mechanism in its output (checked via variant matching)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Multi-Mechanism Coverage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15</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DDE returns multiple competing hypotheses (not just one)</w:t>
            </w:r>
          </w:p>
        </w:tc>
      </w:tr>
      <w:tr>
        <w:tc>
          <w:tcPr>
            <w:tcW w:type="dxa" w:w="3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4D Timeline</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15</w:t>
            </w:r>
          </w:p>
        </w:tc>
        <w:tc>
          <w:tcPr>
            <w:tcW w:type="dxa" w:w="5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Assessment includes temporal degradation modeling (remaining life, rate progression)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Evidence Weighting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15</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Output includes explicit evidence weights, confidence scores, or likelihood values</w:t>
            </w:r>
          </w:p>
        </w:tc>
      </w:tr>
      <w:tr>
        <w:tc>
          <w:tcPr>
            <w:tcW w:type="dxa" w:w="3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Uncertainty Quantification</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10</w:t>
            </w:r>
          </w:p>
        </w:tc>
        <w:tc>
          <w:tcPr>
            <w:tcW w:type="dxa" w:w="5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Assessment acknowledges and quantifies uncertainty (confidence bounds, discrimination status)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Decision Classification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10</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Clear disposition output (ACCEPTABLE, MONITOR, REPAIR, REPLACE) or equivalent</w:t>
            </w:r>
          </w:p>
        </w:tc>
      </w:tr>
      <w:tr>
        <w:tc>
          <w:tcPr>
            <w:tcW w:type="dxa" w:w="3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Authority Lock</w:t>
            </w:r>
          </w:p>
        </w:tc>
        <w:tc>
          <w:tcPr>
            <w:tcW w:type="dxa" w:w="1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10</w:t>
            </w:r>
          </w:p>
        </w:tc>
        <w:tc>
          <w:tcPr>
            <w:tcW w:type="dxa" w:w="51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Applicable code/standard referenced and locked to assessment (API 579, API 653, etc.)</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Actionable Outputs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1A1A1A"/>
                <w:sz w:val="20"/>
                <w:szCs w:val="20"/>
              </w:rPr>
              <w:t xml:space="preserve">5</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Assessment produces specific recommended actions (inspect, test, repair, etc.)</w:t>
            </w:r>
          </w:p>
        </w:tc>
      </w:tr>
    </w:tbl>
    <w:p>
      <w:pPr>
        <w:spacing w:after="80"/>
      </w:pPr>
    </w:p>
    <w:p>
      <w:pPr>
        <w:pStyle w:val="Heading2"/>
      </w:pPr>
      <w:r>
        <w:t xml:space="preserve">10.2 Current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Metric</w:t>
            </w:r>
          </w:p>
        </w:tc>
        <w:tc>
          <w:tcPr>
            <w:tcW w:type="dxa" w:w="63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pPr>
              <w:jc w:val="left"/>
            </w:pPr>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left"/>
            </w:pPr>
            <w:r>
              <w:rPr>
                <w:rFonts w:ascii="Arial" w:cs="Arial" w:eastAsia="Arial" w:hAnsi="Arial"/>
                <w:b/>
                <w:bCs/>
                <w:color w:val="1A1A1A"/>
                <w:sz w:val="20"/>
                <w:szCs w:val="20"/>
              </w:rPr>
              <w:t xml:space="preserve">Total Score</w:t>
            </w:r>
          </w:p>
        </w:tc>
        <w:tc>
          <w:tcPr>
            <w:tcW w:type="dxa" w:w="63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left"/>
            </w:pPr>
            <w:r>
              <w:rPr>
                <w:rFonts w:ascii="Arial" w:cs="Arial" w:eastAsia="Arial" w:hAnsi="Arial"/>
                <w:b/>
                <w:bCs/>
                <w:color w:val="1A1A1A"/>
                <w:sz w:val="20"/>
                <w:szCs w:val="20"/>
              </w:rPr>
              <w:t xml:space="preserve">1928 / 2000 (96.4%)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Cases Passing</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20 / 20</w:t>
            </w:r>
          </w:p>
        </w:tc>
      </w:tr>
      <w:tr>
        <w:tc>
          <w:tcPr>
            <w:tcW w:type="dxa" w:w="3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Average Score</w:t>
            </w:r>
          </w:p>
        </w:tc>
        <w:tc>
          <w:tcPr>
            <w:tcW w:type="dxa" w:w="63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96.4 per case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Highest Case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100 (multiple cases)</w:t>
            </w:r>
          </w:p>
        </w:tc>
      </w:tr>
      <w:tr>
        <w:tc>
          <w:tcPr>
            <w:tcW w:type="dxa" w:w="30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Lowest Case</w:t>
            </w:r>
          </w:p>
        </w:tc>
        <w:tc>
          <w:tcPr>
            <w:tcW w:type="dxa" w:w="636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71 (CASE_01: subsea pipeline — coating_failure not a named KB mechanism)</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Harness Version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A1A1A"/>
                <w:sz w:val="20"/>
                <w:szCs w:val="20"/>
              </w:rPr>
              <w:t xml:space="preserve">golden-suite-enterprise-validation.cjs (20-case, expanding to 100)</w:t>
            </w:r>
          </w:p>
        </w:tc>
      </w:tr>
    </w:tbl>
    <w:p>
      <w:pPr>
        <w:pStyle w:val="Heading1"/>
      </w:pPr>
      <w:r>
        <w:t xml:space="preserve">11. Key Architectural Patterns</w:t>
      </w:r>
    </w:p>
    <w:p>
      <w:pPr>
        <w:pStyle w:val="Heading2"/>
      </w:pPr>
      <w:r>
        <w:t xml:space="preserve">11.1 Action-Based Routing</w:t>
      </w:r>
    </w:p>
    <w:p>
      <w:pPr>
        <w:spacing w:after="120"/>
      </w:pPr>
      <w:r>
        <w:rPr>
          <w:rFonts w:ascii="Arial" w:cs="Arial" w:eastAsia="Arial" w:hAnsi="Arial"/>
          <w:sz w:val="22"/>
          <w:szCs w:val="22"/>
        </w:rPr>
        <w:t xml:space="preserve">Every engine is a single Netlify function that accepts a JSON payload with an 'action' field. The function's ACTION_REGISTRY maps action names to handler functions. This means each function file is effectively a micro-service with multiple endpoints, reducing deployment overhead while maintaining clear separation of concerns. A typical engine exposes get_registry (capabilities), a primary action (assess, diagnose, analyze, etc.), and get_history (database retrieval).</w:t>
      </w:r>
    </w:p>
    <w:p>
      <w:pPr>
        <w:pStyle w:val="Heading2"/>
      </w:pPr>
      <w:r>
        <w:t xml:space="preserve">11.2 Provenance Envelope</w:t>
      </w:r>
    </w:p>
    <w:p>
      <w:pPr>
        <w:spacing w:after="120"/>
      </w:pPr>
      <w:r>
        <w:rPr>
          <w:rFonts w:ascii="Arial" w:cs="Arial" w:eastAsia="Arial" w:hAnsi="Arial"/>
          <w:sz w:val="22"/>
          <w:szCs w:val="22"/>
        </w:rPr>
        <w:t xml:space="preserve">Every engine output includes a provenance section with: engine name and version, timestamp, input hash or summary, execution time, and references to applicable codes/standards. The comprehensive-assessment orchestrator wraps all sub-engine outputs into a combined provenance envelope so the full decision chain is auditable from input to disposition.</w:t>
      </w:r>
    </w:p>
    <w:p>
      <w:pPr>
        <w:pStyle w:val="Heading2"/>
      </w:pPr>
      <w:r>
        <w:t xml:space="preserve">11.3 Graceful Degradation</w:t>
      </w:r>
    </w:p>
    <w:p>
      <w:pPr>
        <w:spacing w:after="120"/>
      </w:pPr>
      <w:r>
        <w:rPr>
          <w:rFonts w:ascii="Arial" w:cs="Arial" w:eastAsia="Arial" w:hAnsi="Arial"/>
          <w:sz w:val="22"/>
          <w:szCs w:val="22"/>
        </w:rPr>
        <w:t xml:space="preserve">Pipeline stages are designed to fail independently. If the DDE fails, the orchestrator still attempts FFS and RBI using available context. If CFI has no patterns for the given domain, it returns an empty result and the pipeline continues without contextual priors. Each stage's success/failure status is recorded in the response so consumers can assess which portions of the assessment are complete.</w:t>
      </w:r>
    </w:p>
    <w:p>
      <w:pPr>
        <w:pStyle w:val="Heading2"/>
      </w:pPr>
      <w:r>
        <w:t xml:space="preserve">11.4 Deterministic-First Design</w:t>
      </w:r>
    </w:p>
    <w:p>
      <w:pPr>
        <w:spacing w:after="120"/>
      </w:pPr>
      <w:r>
        <w:rPr>
          <w:rFonts w:ascii="Arial" w:cs="Arial" w:eastAsia="Arial" w:hAnsi="Arial"/>
          <w:sz w:val="22"/>
          <w:szCs w:val="22"/>
        </w:rPr>
        <w:t xml:space="preserve">141 of 139 engines are purely deterministic. The 4 AI-assisted engines (tri-model-reasoning, superbrain-report, run-analysis, similar-cases) are explicitly tagged with mode: 'ai_assisted' in the engine registry and are used only for natural language synthesis, narrative generation, and case similarity retrieval. All quantitative calculations, Bayesian rankings, FFS computations, and risk scores are produced by deterministic code paths with no LLM involvement.</w:t>
      </w:r>
    </w:p>
    <w:p>
      <w:pPr>
        <w:pStyle w:val="Heading2"/>
      </w:pPr>
      <w:r>
        <w:t xml:space="preserve">11.5 Inter-Engine Communication</w:t>
      </w:r>
    </w:p>
    <w:p>
      <w:pPr>
        <w:spacing w:after="120"/>
      </w:pPr>
      <w:r>
        <w:rPr>
          <w:rFonts w:ascii="Arial" w:cs="Arial" w:eastAsia="Arial" w:hAnsi="Arial"/>
          <w:sz w:val="22"/>
          <w:szCs w:val="22"/>
        </w:rPr>
        <w:t xml:space="preserve">Engines call each other via HTTP fetch against the Netlify site's own URL (process.env.URL or process.env.DEPLOY_URL). This means every sub-engine invocation is a full serverless function call with its own timeout, memory allocation, and error boundary. The callEngine() helper standardizes this pattern with elapsed time tracking, error wrapping, and response normalization.</w:t>
      </w:r>
    </w:p>
    <w:p>
      <w:pPr>
        <w:pStyle w:val="Heading1"/>
      </w:pPr>
      <w:r>
        <w:t xml:space="preserve">12. Deployment Lineage</w:t>
      </w:r>
    </w:p>
    <w:p>
      <w:pPr>
        <w:spacing w:after="120"/>
      </w:pPr>
      <w:r>
        <w:rPr>
          <w:rFonts w:ascii="Arial" w:cs="Arial" w:eastAsia="Arial" w:hAnsi="Arial"/>
          <w:sz w:val="22"/>
          <w:szCs w:val="22"/>
        </w:rPr>
        <w:t xml:space="preserve">The platform has been built through a series of 150+ tagged deployments (DEPLOY167 through DEPLOY352, plus CFI-v1). Each deployment tag is recorded on every engine and every Supabase table, creating a complete lineage from the earliest core engines to the most recent additions. The health check system verifies that every registered engine and table is accessible in production. The current build (2026-04-26) includes all deployments through DEPLOY352 and CFI-v1, totaling 139 engines and 150+ tables with 188 TypeScript source files.</w:t>
      </w:r>
    </w:p>
    <w:p>
      <w:pPr>
        <w:spacing w:after="200"/>
      </w:pPr>
    </w:p>
    <w:p>
      <w:pPr>
        <w:pBdr>
          <w:top w:val="single" w:color="1B365D" w:sz="2" w:space="8"/>
        </w:pBdr>
        <w:spacing w:after="100" w:before="200"/>
        <w:jc w:val="center"/>
      </w:pPr>
      <w:r>
        <w:rPr>
          <w:rFonts w:ascii="Arial" w:cs="Arial" w:eastAsia="Arial" w:hAnsi="Arial"/>
          <w:i/>
          <w:iCs/>
          <w:color w:val="999999"/>
          <w:sz w:val="20"/>
          <w:szCs w:val="20"/>
        </w:rPr>
        <w:t xml:space="preserve">End of Technical Architecture Summary</w:t>
      </w:r>
    </w:p>
    <w:p>
      <w:pPr>
        <w:jc w:val="center"/>
      </w:pPr>
      <w:r>
        <w:rPr>
          <w:rFonts w:ascii="Arial" w:cs="Arial" w:eastAsia="Arial" w:hAnsi="Arial"/>
          <w:color w:val="999999"/>
          <w:sz w:val="20"/>
          <w:szCs w:val="20"/>
        </w:rPr>
        <w:t xml:space="preserve">FORGED-NDT/3.1.0 | Build 2026-04-26 | 139 Engines | 188 Files | 150+ Tables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FORGED-NDT/3.1.0 Technical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65D"/>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4A6FA5"/>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2026-04-27T04:52:23.854Z</dcterms:created>
  <dcterms:modified xsi:type="dcterms:W3CDTF">2026-04-27T04:52:23.854Z</dcterms:modified>
</cp:coreProperties>
</file>

<file path=docProps/custom.xml><?xml version="1.0" encoding="utf-8"?>
<Properties xmlns="http://schemas.openxmlformats.org/officeDocument/2006/custom-properties" xmlns:vt="http://schemas.openxmlformats.org/officeDocument/2006/docPropsVTypes"/>
</file>