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2.9.0</w:t>
        <w:br/>
        <w:t>Documentation revision 23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This edition:</w:t>
      </w:r>
      <w:r>
        <w:rPr/>
        <w:t xml:space="preserve"> the manual covers the per-sight DR-shift running fix, Find position sources, measured lunar-pair guidance and corrected Horizon Event display, together with 2.9.0 planning modes, sky overlays, per-sight remarks and sight-log management.</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colour and remarks.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693"/>
        <w:gridCol w:w="8059"/>
      </w:tblGrid>
      <w:tr>
        <w:trPr/>
        <w:tc>
          <w:tcPr>
            <w:tcW w:w="1693" w:type="dxa"/>
            <w:tcBorders/>
            <w:vAlign w:val="center"/>
          </w:tcPr>
          <w:p>
            <w:pPr>
              <w:pStyle w:val="TableHeading"/>
              <w:suppressLineNumbers/>
              <w:shd w:fill="17365D" w:val="clear"/>
              <w:bidi w:val="0"/>
              <w:spacing w:before="0" w:after="283"/>
              <w:jc w:val="start"/>
              <w:rPr/>
            </w:pPr>
            <w:r>
              <w:rPr/>
              <w:t>Control</w:t>
            </w:r>
          </w:p>
        </w:tc>
        <w:tc>
          <w:tcPr>
            <w:tcW w:w="8059" w:type="dxa"/>
            <w:tcBorders/>
            <w:vAlign w:val="center"/>
          </w:tcPr>
          <w:p>
            <w:pPr>
              <w:pStyle w:val="TableHeading"/>
              <w:suppressLineNumbers/>
              <w:shd w:fill="17365D" w:val="clear"/>
              <w:bidi w:val="0"/>
              <w:spacing w:before="0" w:after="283"/>
              <w:jc w:val="start"/>
              <w:rPr/>
            </w:pPr>
            <w:r>
              <w:rPr/>
              <w:t>Purpose</w:t>
            </w:r>
          </w:p>
        </w:tc>
      </w:tr>
      <w:tr>
        <w:trPr/>
        <w:tc>
          <w:tcPr>
            <w:tcW w:w="1693" w:type="dxa"/>
            <w:tcBorders/>
            <w:vAlign w:val="center"/>
          </w:tcPr>
          <w:p>
            <w:pPr>
              <w:pStyle w:val="TableContents"/>
              <w:bidi w:val="0"/>
              <w:spacing w:before="0" w:after="283"/>
              <w:rPr/>
            </w:pPr>
            <w:r>
              <w:rPr/>
              <w:t>New</w:t>
            </w:r>
          </w:p>
        </w:tc>
        <w:tc>
          <w:tcPr>
            <w:tcW w:w="8059" w:type="dxa"/>
            <w:tcBorders/>
            <w:vAlign w:val="center"/>
          </w:tcPr>
          <w:p>
            <w:pPr>
              <w:pStyle w:val="TableContents"/>
              <w:bidi w:val="0"/>
              <w:spacing w:before="0" w:after="283"/>
              <w:rPr/>
            </w:pPr>
            <w:r>
              <w:rPr/>
              <w:t>Create an altitude, azimuth or lunar observation.</w:t>
            </w:r>
          </w:p>
        </w:tc>
      </w:tr>
      <w:tr>
        <w:trPr/>
        <w:tc>
          <w:tcPr>
            <w:tcW w:w="1693" w:type="dxa"/>
            <w:tcBorders/>
            <w:vAlign w:val="center"/>
          </w:tcPr>
          <w:p>
            <w:pPr>
              <w:pStyle w:val="TableContents"/>
              <w:bidi w:val="0"/>
              <w:spacing w:before="0" w:after="283"/>
              <w:rPr/>
            </w:pPr>
            <w:r>
              <w:rPr/>
              <w:t>Fix…</w:t>
            </w:r>
          </w:p>
        </w:tc>
        <w:tc>
          <w:tcPr>
            <w:tcW w:w="8059" w:type="dxa"/>
            <w:tcBorders/>
            <w:vAlign w:val="center"/>
          </w:tcPr>
          <w:p>
            <w:pPr>
              <w:pStyle w:val="TableContents"/>
              <w:bidi w:val="0"/>
              <w:spacing w:before="0" w:after="283"/>
              <w:rPr/>
            </w:pPr>
            <w:r>
              <w:rPr/>
              <w:t>Solve from suitable visible sights near a selected epoch.</w:t>
            </w:r>
          </w:p>
        </w:tc>
      </w:tr>
      <w:tr>
        <w:trPr/>
        <w:tc>
          <w:tcPr>
            <w:tcW w:w="1693" w:type="dxa"/>
            <w:tcBorders/>
            <w:vAlign w:val="center"/>
          </w:tcPr>
          <w:p>
            <w:pPr>
              <w:pStyle w:val="TableContents"/>
              <w:bidi w:val="0"/>
              <w:spacing w:before="0" w:after="283"/>
              <w:rPr/>
            </w:pPr>
            <w:r>
              <w:rPr/>
              <w:t>Horizon Event…</w:t>
            </w:r>
          </w:p>
        </w:tc>
        <w:tc>
          <w:tcPr>
            <w:tcW w:w="8059" w:type="dxa"/>
            <w:tcBorders/>
            <w:vAlign w:val="center"/>
          </w:tcPr>
          <w:p>
            <w:pPr>
              <w:pStyle w:val="TableContents"/>
              <w:bidi w:val="0"/>
              <w:spacing w:before="0" w:after="283"/>
              <w:rPr/>
            </w:pPr>
            <w:r>
              <w:rPr/>
              <w:t>Record observed sunrise or sunset timing and optional bearing.</w:t>
            </w:r>
          </w:p>
        </w:tc>
      </w:tr>
      <w:tr>
        <w:trPr/>
        <w:tc>
          <w:tcPr>
            <w:tcW w:w="1693" w:type="dxa"/>
            <w:tcBorders/>
            <w:vAlign w:val="center"/>
          </w:tcPr>
          <w:p>
            <w:pPr>
              <w:pStyle w:val="TableContents"/>
              <w:bidi w:val="0"/>
              <w:spacing w:before="0" w:after="283"/>
              <w:rPr/>
            </w:pPr>
            <w:r>
              <w:rPr/>
              <w:t>Sun &amp; Moon…</w:t>
            </w:r>
          </w:p>
        </w:tc>
        <w:tc>
          <w:tcPr>
            <w:tcW w:w="8059" w:type="dxa"/>
            <w:tcBorders/>
            <w:vAlign w:val="center"/>
          </w:tcPr>
          <w:p>
            <w:pPr>
              <w:pStyle w:val="TableContents"/>
              <w:bidi w:val="0"/>
              <w:spacing w:before="0" w:after="283"/>
              <w:rPr/>
            </w:pPr>
            <w:r>
              <w:rPr/>
              <w:t>Open the offline event, body, best-sight, almanac, noon and Polaris planner.</w:t>
            </w:r>
          </w:p>
        </w:tc>
      </w:tr>
      <w:tr>
        <w:trPr/>
        <w:tc>
          <w:tcPr>
            <w:tcW w:w="1693" w:type="dxa"/>
            <w:tcBorders/>
            <w:vAlign w:val="center"/>
          </w:tcPr>
          <w:p>
            <w:pPr>
              <w:pStyle w:val="TableContents"/>
              <w:bidi w:val="0"/>
              <w:spacing w:before="0" w:after="283"/>
              <w:rPr/>
            </w:pPr>
            <w:r>
              <w:rPr/>
              <w:t>Analyze Sights…</w:t>
            </w:r>
          </w:p>
        </w:tc>
        <w:tc>
          <w:tcPr>
            <w:tcW w:w="8059" w:type="dxa"/>
            <w:tcBorders/>
            <w:vAlign w:val="center"/>
          </w:tcPr>
          <w:p>
            <w:pPr>
              <w:pStyle w:val="TableContents"/>
              <w:bidi w:val="0"/>
              <w:spacing w:before="0" w:after="283"/>
              <w:rPr/>
            </w:pPr>
            <w:r>
              <w:rPr/>
              <w:t>Analyze residuals and repeat-observation behaviour.</w:t>
            </w:r>
          </w:p>
        </w:tc>
      </w:tr>
      <w:tr>
        <w:trPr/>
        <w:tc>
          <w:tcPr>
            <w:tcW w:w="1693" w:type="dxa"/>
            <w:tcBorders/>
            <w:vAlign w:val="center"/>
          </w:tcPr>
          <w:p>
            <w:pPr>
              <w:pStyle w:val="TableContents"/>
              <w:bidi w:val="0"/>
              <w:spacing w:before="0" w:after="283"/>
              <w:rPr/>
            </w:pPr>
            <w:r>
              <w:rPr/>
              <w:t>Lunar Tools…</w:t>
            </w:r>
          </w:p>
        </w:tc>
        <w:tc>
          <w:tcPr>
            <w:tcW w:w="8059"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693" w:type="dxa"/>
            <w:tcBorders/>
            <w:vAlign w:val="center"/>
          </w:tcPr>
          <w:p>
            <w:pPr>
              <w:pStyle w:val="TableContents"/>
              <w:bidi w:val="0"/>
              <w:spacing w:before="0" w:after="283"/>
              <w:rPr/>
            </w:pPr>
            <w:r>
              <w:rPr/>
              <w:t>Generate Almanac…</w:t>
            </w:r>
          </w:p>
        </w:tc>
        <w:tc>
          <w:tcPr>
            <w:tcW w:w="8059"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693" w:type="dxa"/>
            <w:tcBorders/>
            <w:vAlign w:val="center"/>
          </w:tcPr>
          <w:p>
            <w:pPr>
              <w:pStyle w:val="TableContents"/>
              <w:bidi w:val="0"/>
              <w:spacing w:before="0" w:after="283"/>
              <w:rPr/>
            </w:pPr>
            <w:r>
              <w:rPr/>
              <w:t>Eclipses…</w:t>
            </w:r>
          </w:p>
        </w:tc>
        <w:tc>
          <w:tcPr>
            <w:tcW w:w="8059" w:type="dxa"/>
            <w:tcBorders/>
            <w:vAlign w:val="center"/>
          </w:tcPr>
          <w:p>
            <w:pPr>
              <w:pStyle w:val="TableContents"/>
              <w:bidi w:val="0"/>
              <w:spacing w:before="0" w:after="283"/>
              <w:rPr/>
            </w:pPr>
            <w:r>
              <w:rPr/>
              <w:t>Search, plot and calculate offline solar-eclipse circumstances.</w:t>
            </w:r>
          </w:p>
        </w:tc>
      </w:tr>
      <w:tr>
        <w:trPr/>
        <w:tc>
          <w:tcPr>
            <w:tcW w:w="1693" w:type="dxa"/>
            <w:tcBorders/>
            <w:vAlign w:val="center"/>
          </w:tcPr>
          <w:p>
            <w:pPr>
              <w:pStyle w:val="TableContents"/>
              <w:bidi w:val="0"/>
              <w:spacing w:before="0" w:after="283"/>
              <w:rPr/>
            </w:pPr>
            <w:r>
              <w:rPr/>
              <w:t>Coastal Sextant…</w:t>
            </w:r>
          </w:p>
        </w:tc>
        <w:tc>
          <w:tcPr>
            <w:tcW w:w="8059" w:type="dxa"/>
            <w:tcBorders/>
            <w:vAlign w:val="center"/>
          </w:tcPr>
          <w:p>
            <w:pPr>
              <w:pStyle w:val="TableContents"/>
              <w:bidi w:val="0"/>
              <w:spacing w:before="0" w:after="283"/>
              <w:rPr/>
            </w:pPr>
            <w:r>
              <w:rPr/>
              <w:t>Use vertical-angle ranging or horizontal-sextant-angle fixing.</w:t>
            </w:r>
          </w:p>
        </w:tc>
      </w:tr>
      <w:tr>
        <w:trPr/>
        <w:tc>
          <w:tcPr>
            <w:tcW w:w="1693" w:type="dxa"/>
            <w:tcBorders/>
            <w:vAlign w:val="center"/>
          </w:tcPr>
          <w:p>
            <w:pPr>
              <w:pStyle w:val="TableContents"/>
              <w:bidi w:val="0"/>
              <w:spacing w:before="0" w:after="283"/>
              <w:rPr/>
            </w:pPr>
            <w:r>
              <w:rPr/>
              <w:t>Duplicate / Edit / Delete</w:t>
            </w:r>
          </w:p>
        </w:tc>
        <w:tc>
          <w:tcPr>
            <w:tcW w:w="8059" w:type="dxa"/>
            <w:tcBorders/>
            <w:vAlign w:val="center"/>
          </w:tcPr>
          <w:p>
            <w:pPr>
              <w:pStyle w:val="TableContents"/>
              <w:bidi w:val="0"/>
              <w:spacing w:before="0" w:after="283"/>
              <w:rPr/>
            </w:pPr>
            <w:r>
              <w:rPr/>
              <w:t>Manage a selected stored sight. Duplicate is useful for a run of sights.</w:t>
            </w:r>
          </w:p>
        </w:tc>
      </w:tr>
      <w:tr>
        <w:trPr/>
        <w:tc>
          <w:tcPr>
            <w:tcW w:w="1693" w:type="dxa"/>
            <w:tcBorders/>
            <w:vAlign w:val="center"/>
          </w:tcPr>
          <w:p>
            <w:pPr>
              <w:pStyle w:val="TableContents"/>
              <w:bidi w:val="0"/>
              <w:spacing w:before="0" w:after="283"/>
              <w:rPr/>
            </w:pPr>
            <w:r>
              <w:rPr/>
              <w:t>Manage Sights…</w:t>
            </w:r>
          </w:p>
        </w:tc>
        <w:tc>
          <w:tcPr>
            <w:tcW w:w="8059" w:type="dxa"/>
            <w:tcBorders/>
            <w:vAlign w:val="center"/>
          </w:tcPr>
          <w:p>
            <w:pPr>
              <w:pStyle w:val="TableContents"/>
              <w:bidi w:val="0"/>
              <w:spacing w:before="0" w:after="283"/>
              <w:rPr/>
            </w:pPr>
            <w:r>
              <w:rPr/>
              <w:t>Save a dated XML backup, add sights from another log, or restore a complete log.</w:t>
            </w:r>
          </w:p>
        </w:tc>
      </w:tr>
      <w:tr>
        <w:trPr/>
        <w:tc>
          <w:tcPr>
            <w:tcW w:w="1693" w:type="dxa"/>
            <w:tcBorders/>
            <w:vAlign w:val="center"/>
          </w:tcPr>
          <w:p>
            <w:pPr>
              <w:pStyle w:val="TableContents"/>
              <w:bidi w:val="0"/>
              <w:spacing w:before="0" w:after="283"/>
              <w:rPr/>
            </w:pPr>
            <w:r>
              <w:rPr/>
              <w:t>Clock Offset</w:t>
            </w:r>
          </w:p>
        </w:tc>
        <w:tc>
          <w:tcPr>
            <w:tcW w:w="8059" w:type="dxa"/>
            <w:tcBorders/>
            <w:vAlign w:val="center"/>
          </w:tcPr>
          <w:p>
            <w:pPr>
              <w:pStyle w:val="TableContents"/>
              <w:bidi w:val="0"/>
              <w:spacing w:before="0" w:after="283"/>
              <w:rPr/>
            </w:pPr>
            <w:r>
              <w:rPr/>
              <w:t>Apply a common correction to stored sight times.</w:t>
            </w:r>
          </w:p>
        </w:tc>
      </w:tr>
      <w:tr>
        <w:trPr/>
        <w:tc>
          <w:tcPr>
            <w:tcW w:w="1693" w:type="dxa"/>
            <w:tcBorders/>
            <w:vAlign w:val="center"/>
          </w:tcPr>
          <w:p>
            <w:pPr>
              <w:pStyle w:val="TableContents"/>
              <w:bidi w:val="0"/>
              <w:spacing w:before="0" w:after="283"/>
              <w:rPr/>
            </w:pPr>
            <w:r>
              <w:rPr/>
              <w:t>Hide sight log / Show sight log</w:t>
            </w:r>
          </w:p>
        </w:tc>
        <w:tc>
          <w:tcPr>
            <w:tcW w:w="8059" w:type="dxa"/>
            <w:tcBorders/>
            <w:vAlign w:val="center"/>
          </w:tcPr>
          <w:p>
            <w:pPr>
              <w:pStyle w:val="TableContents"/>
              <w:bidi w:val="0"/>
              <w:spacing w:before="0" w:after="283"/>
              <w:rPr/>
            </w:pPr>
            <w:r>
              <w:rPr/>
              <w:t>Collapse or restore the sight list; this does not hide its chart plots.</w:t>
            </w:r>
          </w:p>
        </w:tc>
      </w:tr>
      <w:tr>
        <w:trPr/>
        <w:tc>
          <w:tcPr>
            <w:tcW w:w="1693" w:type="dxa"/>
            <w:tcBorders/>
            <w:vAlign w:val="center"/>
          </w:tcPr>
          <w:p>
            <w:pPr>
              <w:pStyle w:val="TableContents"/>
              <w:bidi w:val="0"/>
              <w:spacing w:before="0" w:after="283"/>
              <w:rPr/>
            </w:pPr>
            <w:r>
              <w:rPr/>
              <w:t>Chart display…</w:t>
            </w:r>
          </w:p>
        </w:tc>
        <w:tc>
          <w:tcPr>
            <w:tcW w:w="8059" w:type="dxa"/>
            <w:tcBorders/>
            <w:vAlign w:val="center"/>
          </w:tcPr>
          <w:p>
            <w:pPr>
              <w:pStyle w:val="TableContents"/>
              <w:bidi w:val="0"/>
              <w:spacing w:before="0" w:after="283"/>
              <w:rPr/>
            </w:pPr>
            <w:r>
              <w:rPr/>
              <w:t>Adjust nominal line width, contrasting outline, uncertainty shading and hover labels for all sights.</w:t>
            </w:r>
          </w:p>
        </w:tc>
      </w:tr>
      <w:tr>
        <w:trPr/>
        <w:tc>
          <w:tcPr>
            <w:tcW w:w="1693" w:type="dxa"/>
            <w:tcBorders/>
            <w:vAlign w:val="center"/>
          </w:tcPr>
          <w:p>
            <w:pPr>
              <w:pStyle w:val="TableContents"/>
              <w:bidi w:val="0"/>
              <w:spacing w:before="0" w:after="283"/>
              <w:rPr/>
            </w:pPr>
            <w:r>
              <w:rPr/>
              <w:t>Documentation</w:t>
            </w:r>
          </w:p>
        </w:tc>
        <w:tc>
          <w:tcPr>
            <w:tcW w:w="8059" w:type="dxa"/>
            <w:tcBorders/>
            <w:vAlign w:val="center"/>
          </w:tcPr>
          <w:p>
            <w:pPr>
              <w:pStyle w:val="TableContents"/>
              <w:bidi w:val="0"/>
              <w:spacing w:before="0" w:after="283"/>
              <w:rPr/>
            </w:pPr>
            <w:r>
              <w:rPr/>
              <w:t>Open this completely offline manual in the plugin's internal viewer.</w:t>
            </w:r>
          </w:p>
        </w:tc>
      </w:tr>
      <w:tr>
        <w:trPr/>
        <w:tc>
          <w:tcPr>
            <w:tcW w:w="1693" w:type="dxa"/>
            <w:tcBorders/>
            <w:vAlign w:val="center"/>
          </w:tcPr>
          <w:p>
            <w:pPr>
              <w:pStyle w:val="TableContents"/>
              <w:bidi w:val="0"/>
              <w:spacing w:before="0" w:after="283"/>
              <w:rPr/>
            </w:pPr>
            <w:r>
              <w:rPr/>
              <w:t>PDF Documentation</w:t>
            </w:r>
          </w:p>
        </w:tc>
        <w:tc>
          <w:tcPr>
            <w:tcW w:w="8059"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The nominal COP is an opaque central stroke in the sight colour, with an automatic black or white outline. Its default width is 0.5 mm, scaled for the display. </w:t>
      </w:r>
      <w:r>
        <w:rPr>
          <w:rStyle w:val="Strong"/>
        </w:rPr>
        <w:t>Chart display…</w:t>
      </w:r>
      <w:r>
        <w:rPr/>
        <w:t xml:space="preserve"> remembers a global width (0.2–2.0 mm) and an independent shading multiplier; reducing uncertainty shading does not fade or move the nominal line. The per-sight transparency remains available. The shaded region represents input uncertainty, not a guaranteed position bound.</w:t>
      </w:r>
    </w:p>
    <w:p>
      <w:pPr>
        <w:pStyle w:val="BodyText"/>
        <w:bidi w:val="0"/>
        <w:rPr/>
      </w:pPr>
      <w:r>
        <w:rPr/>
        <w:t xml:space="preserve">Hover near a plotted nominal line to see the body, corrected UTC and sight number. Overlapping COPs list up to four nearby sights and report any further matches. In a sight's </w:t>
      </w:r>
      <w:r>
        <w:rPr>
          <w:rStyle w:val="Strong"/>
        </w:rPr>
        <w:t>Config</w:t>
      </w:r>
      <w:r>
        <w:rPr/>
        <w:t xml:space="preserve"> tab, choose a named colour or use the custom colour picker. Non-palette colours are labelled </w:t>
      </w:r>
      <w:r>
        <w:rPr>
          <w:rStyle w:val="Strong"/>
        </w:rPr>
        <w:t>Custom (#RRGGBB)</w:t>
      </w:r>
      <w:r>
        <w:rPr/>
        <w:t>. Existing colours are retained; use the sight log and hover labels, not colour alone, to identify observations.</w:t>
      </w:r>
    </w:p>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BodyText"/>
        <w:bidi w:val="0"/>
        <w:rPr/>
      </w:pPr>
      <w:r>
        <w:rPr>
          <w:rStyle w:val="Strong"/>
        </w:rPr>
        <w:t>Remarks</w:t>
      </w:r>
      <w:r>
        <w:rPr/>
        <w:t xml:space="preserve"> stores a short note with an observation without altering its calculation. Enter it on the Sight Properties Parameters tab or in the Horizon Event editor. It is also shown in the main list.</w:t>
      </w:r>
    </w:p>
    <w:p>
      <w:pPr>
        <w:pStyle w:val="BodyText"/>
        <w:bidi w:val="0"/>
        <w:rPr/>
      </w:pPr>
      <w:r>
        <w:rPr/>
        <w:t xml:space="preserve">The current log is saved automatically in </w:t>
      </w:r>
      <w:r>
        <w:rPr>
          <w:rStyle w:val="SourceText"/>
        </w:rPr>
        <w:t>Sights.xml</w:t>
      </w:r>
      <w:r>
        <w:rPr/>
        <w:t xml:space="preserve">. </w:t>
      </w:r>
      <w:r>
        <w:rPr>
          <w:rStyle w:val="Strong"/>
        </w:rPr>
        <w:t>Manage Sights… → Save backup of all sights...</w:t>
      </w:r>
      <w:r>
        <w:rPr/>
        <w:t xml:space="preserve"> offers a dated XML copy, initially in Downloads; choose another location if preferred. </w:t>
      </w:r>
      <w:r>
        <w:rPr>
          <w:rStyle w:val="Strong"/>
        </w:rPr>
        <w:t>Import sights (add to current log)...</w:t>
      </w:r>
      <w:r>
        <w:rPr/>
        <w:t xml:space="preserve"> adds sights and saved lunar solutions from another log and requires the same global clock correction. </w:t>
      </w:r>
      <w:r>
        <w:rPr>
          <w:rStyle w:val="Strong"/>
        </w:rPr>
        <w:t>Restore sights (replace current log)...</w:t>
      </w:r>
      <w:r>
        <w:rPr/>
        <w:t xml:space="preserve"> replaces both the log and its clock correction. Both operations validate the file and save a dated safety backup before changing the current log. Older files open with empty Remarks; older plugin versions may discard remarks when rewriting a newer file, so retain a backup before returning to an older version.</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Choose a planning mode: </w:t>
      </w:r>
      <w:r>
        <w:rPr>
          <w:rStyle w:val="Strong"/>
        </w:rPr>
        <w:t>Practical Fix</w:t>
      </w:r>
      <w:r>
        <w:rPr/>
        <w:t xml:space="preserve"> favours observable bodies and pair/triad geometry; </w:t>
      </w:r>
      <w:r>
        <w:rPr>
          <w:rStyle w:val="Strong"/>
        </w:rPr>
        <w:t>Bright Bodies</w:t>
      </w:r>
      <w:r>
        <w:rPr/>
        <w:t xml:space="preserve"> puts brightness first; </w:t>
      </w:r>
      <w:r>
        <w:rPr>
          <w:rStyle w:val="Strong"/>
        </w:rPr>
        <w:t>Lunar Candidates</w:t>
      </w:r>
      <w:r>
        <w:rPr/>
        <w:t xml:space="preserve"> compares potential companions with the Moon; </w:t>
      </w:r>
      <w:r>
        <w:rPr>
          <w:rStyle w:val="Strong"/>
        </w:rPr>
        <w:t>Show All</w:t>
      </w:r>
      <w:r>
        <w:rPr/>
        <w:t xml:space="preserve"> lists bodies alphabetically.</w:t>
      </w:r>
    </w:p>
    <w:p>
      <w:pPr>
        <w:pStyle w:val="BodyText"/>
        <w:bidi w:val="0"/>
        <w:rPr/>
      </w:pPr>
      <w:r>
        <w:rPr/>
        <w:t xml:space="preserve">The full body list remains available in each mode. It includes bodies above the geometric horizon; </w:t>
      </w:r>
      <w:r>
        <w:rPr>
          <w:rStyle w:val="Strong"/>
        </w:rPr>
        <w:t>Include below-horizon bodies</w:t>
      </w:r>
      <w:r>
        <w:rPr/>
        <w:t xml:space="preserve"> adds the rest. Click a column heading to sort it and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above-horizon body eligible for recommendations. All eligible bodies are considered for pair/triad geometry, not just a brightness shortlist.</w:t>
      </w:r>
    </w:p>
    <w:p>
      <w:pPr>
        <w:pStyle w:val="BodyText"/>
        <w:bidi w:val="0"/>
        <w:rPr/>
      </w:pPr>
      <w:r>
        <w:rPr>
          <w:rStyle w:val="Strong"/>
        </w:rPr>
        <w:t>Lunar Candidates</w:t>
      </w:r>
      <w:r>
        <w:rPr/>
        <w:t xml:space="preserve"> shows predicted geocentric Moon-body distance, signed distance rate, the seconds represented by 0.1′, companion ecliptic latitude, both altitudes and bearings, illumination and guidance. A positive rate means increasing distance. Both planners use the same explainable default: fewest planning cautions, then strongest timing sensitivity. Choose </w:t>
      </w:r>
      <w:r>
        <w:rPr>
          <w:rStyle w:val="Strong"/>
        </w:rPr>
        <w:t>Lunar order: timing sensitivity</w:t>
      </w:r>
      <w:r>
        <w:rPr/>
        <w:t xml:space="preserve"> to put timing first. Below-horizon pairs remain last. Cautions flag altitude outside 10°–75°, distance outside 20°–100°, absolute rate below 10′/hour, companion magnitude above 2.5, or Sun altitude above −6° for companions fainter than magnitude −2. These preferences do not establish visibility. Ecliptic latitude is descriptive, not an additional weight on top of the calculated rate.</w:t>
      </w:r>
    </w:p>
    <w:p>
      <w:pPr>
        <w:pStyle w:val="BodyText"/>
        <w:bidi w:val="0"/>
        <w:rPr/>
      </w:pPr>
      <w:r>
        <w:rPr/>
        <w:t xml:space="preserve">Select a companion in </w:t>
      </w:r>
      <w:r>
        <w:rPr>
          <w:rStyle w:val="Strong"/>
        </w:rPr>
        <w:t>All bodies</w:t>
      </w:r>
      <w:r>
        <w:rPr/>
        <w:t xml:space="preserve">, then choose </w:t>
      </w:r>
      <w:r>
        <w:rPr>
          <w:rStyle w:val="Strong"/>
        </w:rPr>
        <w:t>Lunar windows for selected body…</w:t>
      </w:r>
      <w:r>
        <w:rPr/>
        <w:t xml:space="preserve"> to search the next 24 hours in 10-minute samples. Results show intervals meeting the above preferences and the best sampled timing within each interval. The search uses the entered moving-observer course and speed when enabled. Boundaries are approximate; an empty result does not prove that the pair cannot be observed.</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rStyle w:val="Strong"/>
        </w:rPr>
        <w:t>Show ecliptic</w:t>
      </w:r>
      <w:r>
        <w:rPr/>
        <w:t xml:space="preserve"> and </w:t>
      </w:r>
      <w:r>
        <w:rPr>
          <w:rStyle w:val="Strong"/>
        </w:rPr>
        <w:t>Show Moon path</w:t>
      </w:r>
      <w:r>
        <w:rPr/>
        <w:t xml:space="preserve"> are independent overlays. The ecliptic defaults on and the Moon path off; the path can span ±3, ±6 or ±12 hours around the planning instant. </w:t>
      </w:r>
      <w:r>
        <w:rPr>
          <w:rStyle w:val="Strong"/>
        </w:rPr>
        <w:t>Local sky</w:t>
      </w:r>
      <w:r>
        <w:rPr/>
        <w:t xml:space="preserve"> shows altitude and true bearing at the planning position. </w:t>
      </w:r>
      <w:r>
        <w:rPr>
          <w:rStyle w:val="Strong"/>
        </w:rPr>
        <w:t>SHA / Declination</w:t>
      </w:r>
      <w:r>
        <w:rPr/>
        <w:t xml:space="preserve"> shows celestial coordinates and is useful for a longer Moon track. The ecliptic follows the date's obliquity and the Moon path follows the selected ephemeris, with UTC labels at its start, middle and end. Selecting a body highlights its plotted symbol. Neither overlay replaces a visibility check.</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When its checksum-verified local JPL DE440s kernel is installed and covers the sight date, Moon–Sun, Moon–Mercury and Moon–Venus calculations use it. Moon–star and other Moon–planet calculations, or any sight outside the compact kernel's range, use the bundled analytical ephemeris. The result identifies the source used. DE440s is optional for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uses the same default ordering and optional timing-first choice as </w:t>
      </w:r>
      <w:r>
        <w:rPr>
          <w:rStyle w:val="Strong"/>
        </w:rPr>
        <w:t>Bodies &amp; Best Sights</w:t>
      </w:r>
      <w:r>
        <w:rPr/>
        <w: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In 2.9.0 this table also shows the companion's signed ecliptic latitude and guidance derived from the same planning model as the main planner.</w:t>
      </w:r>
    </w:p>
    <w:p>
      <w:pPr>
        <w:pStyle w:val="BodyText"/>
        <w:bidi w:val="0"/>
        <w:rPr/>
      </w:pPr>
      <w:r>
        <w:rPr/>
        <w:t xml:space="preserve">When a lunar solution reports several candidate UTCs, even very close values are </w:t>
      </w:r>
      <w:r>
        <w:rPr>
          <w:rStyle w:val="Strong"/>
        </w:rPr>
        <w:t>unresolved alternatives, not measurements to average</w:t>
      </w:r>
      <w:r>
        <w:rPr/>
        <w:t>. Use another observation or independent position/time evidence to distinguish them. A preferred candidate chosen by proximity to DR or entered UTC does not establish that the ambiguity has been resolved.</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The Eclipse window displays the local astronomy-data directory and expected filenames: </w:t>
      </w:r>
      <w:r>
        <w:rPr>
          <w:rStyle w:val="SourceText"/>
        </w:rPr>
        <w:t>de440s.bsp</w:t>
      </w:r>
      <w:r>
        <w:rPr/>
        <w:t xml:space="preserve">, </w:t>
      </w:r>
      <w:r>
        <w:rPr>
          <w:rStyle w:val="SourceText"/>
        </w:rPr>
        <w:t>moon_pa_de440_200625.bpc</w:t>
      </w:r>
      <w:r>
        <w:rPr/>
        <w:t xml:space="preserve"> and </w:t>
      </w:r>
      <w:r>
        <w:rPr>
          <w:rStyle w:val="SourceText"/>
        </w:rPr>
        <w:t>lola64-pa.bin</w:t>
      </w:r>
      <w:r>
        <w:rPr/>
        <w:t xml:space="preserve">. </w:t>
      </w:r>
      <w:r>
        <w:rPr>
          <w:rStyle w:val="Strong"/>
        </w:rPr>
        <w:t>Open astronomy data folder…</w:t>
      </w:r>
      <w:r>
        <w:rPr/>
        <w:t xml:space="preserve"> opens that directory. Use the import controls to install and verify downloaded files; merely placing a file there does not establish that it is valid.</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Noto 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Noto 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Noto 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style>
  <w:style w:type="paragraph" w:styleId="Caption">
    <w:name w:val="caption"/>
    <w:basedOn w:val="Normal"/>
    <w:qFormat/>
    <w:pPr>
      <w:suppressLineNumbers/>
      <w:spacing w:before="120" w:after="120"/>
    </w:pPr>
    <w:rPr>
      <w:i/>
      <w:iCs/>
      <w:sz w:val="24"/>
      <w:szCs w:val="24"/>
    </w:rPr>
  </w:style>
  <w:style w:type="paragraph" w:styleId="List">
    <w:name w:val="List"/>
    <w:basedOn w:val="BodyText"/>
    <w:pPr/>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