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User manual</w:t>
      </w:r>
    </w:p>
    <w:p>
      <w:pPr>
        <w:pStyle w:val="BodyTextedition"/>
        <w:bidi w:val="0"/>
        <w:ind w:hanging="0" w:start="0" w:end="0"/>
        <w:jc w:val="center"/>
        <w:rPr/>
      </w:pPr>
      <w:r>
        <w:rPr/>
        <w:t>Celestial Navigation plugin 2.9.3</w:t>
        <w:br/>
        <w:t>Documentation revision 2 October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The plugin and this manual support celestial navigation and instruction.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BodyText"/>
        <w:bidi w:val="0"/>
        <w:rPr/>
      </w:pPr>
      <w:r>
        <w:rPr>
          <w:rStyle w:val="Strong"/>
        </w:rPr>
        <w:t>11 September numerical-audit update:</w:t>
      </w:r>
      <w:r>
        <w:rPr/>
        <w:t xml:space="preserve"> corrected UTC handling in generated almanacs (including daylight-saving transitions), ordinary sight azimuths, sextant-calibration longitude geometry, planetary parallax in the planner, and running-fix formal uncertainty. Find Body now uses the sight's effective corrected time, and estimated Hs is checked through the actual forward reduction. Iterative solvers reject unconverged results. Recorded observations are not rewritten. Formal uncertainty is not a guarantee of real-world accuracy.</w:t>
      </w:r>
    </w:p>
    <w:p>
      <w:pPr>
        <w:pStyle w:val="BodyText"/>
        <w:bidi w:val="0"/>
        <w:ind w:hanging="0" w:start="0" w:end="0"/>
        <w:rPr>
          <w:shd w:fill="FFF0F0" w:val="clear"/>
        </w:rPr>
      </w:pPr>
      <w:r>
        <w:rPr>
          <w:b/>
          <w:color w:val="17365D"/>
          <w:shd w:fill="FFF0F0" w:val="clear"/>
        </w:rPr>
        <w:t>Previously generated almanacs:</w:t>
      </w:r>
      <w:r>
        <w:rPr>
          <w:shd w:fill="FFF0F0" w:val="clear"/>
        </w:rPr>
        <w:t xml:space="preserve"> regenerate almanacs produced by earlier builds on computers using a non-UTC timezone. Their UTC-labelled astronomical tables and curves could use an incorrect epoch. Saved sightings themselves are unaffected.</w:t>
      </w:r>
    </w:p>
    <w:p>
      <w:pPr>
        <w:pStyle w:val="Heading2"/>
        <w:bidi w:val="0"/>
        <w:ind w:hanging="0" w:start="0" w:end="0"/>
        <w:rPr/>
      </w:pPr>
      <w:bookmarkStart w:id="1" w:name="how-to-use"/>
      <w:bookmarkEnd w:id="1"/>
      <w:r>
        <w:rPr/>
        <w:t>How to use the manual</w:t>
      </w:r>
    </w:p>
    <w:p>
      <w:pPr>
        <w:pStyle w:val="BodyText"/>
        <w:bidi w:val="0"/>
        <w:rPr/>
      </w:pPr>
      <w:r>
        <w:rPr>
          <w:rStyle w:val="Strong"/>
        </w:rPr>
        <w:t>This edition:</w:t>
      </w:r>
      <w:r>
        <w:rPr/>
        <w:t xml:space="preserve"> the manual covers the per-sight DR-shift running fix, Find position sources, measured lunar-pair guidance and corrected Horizon Event display, together with 2.9.0 planning modes, sky overlays, per-sight remarks and sight-log management.</w:t>
      </w:r>
    </w:p>
    <w:p>
      <w:pPr>
        <w:pStyle w:val="BodyText"/>
        <w:bidi w:val="0"/>
        <w:rPr/>
      </w:pPr>
      <w:r>
        <w:rPr>
          <w:rStyle w:val="Strong"/>
        </w:rPr>
        <w:t>2.8.5.4 Find popup:</w:t>
      </w:r>
      <w:r>
        <w:rPr/>
        <w:t xml:space="preserve"> </w:t>
      </w:r>
      <w:r>
        <w:rPr>
          <w:rStyle w:val="Strong"/>
        </w:rPr>
        <w:t>Close</w:t>
      </w:r>
      <w:r>
        <w:rPr/>
        <w:t xml:space="preserve"> keeps the edited DR position and returns to Sight Properties without changing the measured altitude. </w:t>
      </w:r>
      <w:r>
        <w:rPr>
          <w:rStyle w:val="Strong"/>
        </w:rPr>
        <w:t>Copy estimated Hs</w:t>
      </w:r>
      <w:r>
        <w:rPr/>
        <w:t xml:space="preserve"> deliberately replaces the appropriate altitude field and leaves Find open. </w:t>
      </w:r>
      <w:r>
        <w:rPr>
          <w:rStyle w:val="Strong"/>
        </w:rPr>
        <w:t>Reset position</w:t>
      </w:r>
      <w:r>
        <w:rPr/>
        <w:t xml:space="preserve"> restores the position and live-position setting shown when Find opened; it does not undo an explicit Hs copy and leaves Find open. </w:t>
      </w:r>
      <w:r>
        <w:rPr>
          <w:rStyle w:val="Strong"/>
        </w:rPr>
        <w:t>Cancel</w:t>
      </w:r>
      <w:r>
        <w:rPr/>
        <w:t xml:space="preserve"> restores the opening position and closes Find, without undoing an explicitly copied Hs. The window close control and Escape behave like Cancel, and Enter never implicitly copies Hs. Close remains available when no estimate can be calculated. Use </w:t>
      </w:r>
      <w:r>
        <w:rPr>
          <w:rStyle w:val="Strong"/>
        </w:rPr>
        <w:t>Save Changes</w:t>
      </w:r>
      <w:r>
        <w:rPr/>
        <w:t xml:space="preserve"> in Sight Properties to retain the edit, or its </w:t>
      </w:r>
      <w:r>
        <w:rPr>
          <w:rStyle w:val="Strong"/>
        </w:rPr>
        <w:t>Cancel</w:t>
      </w:r>
      <w:r>
        <w:rPr/>
        <w:t xml:space="preserve"> to discard it. A computed estimate is not a new observation: do not replace a real sextant reading unintentionally.</w:t>
      </w:r>
    </w:p>
    <w:p>
      <w:pPr>
        <w:pStyle w:val="BodyText"/>
        <w:bidi w:val="0"/>
        <w:rPr/>
      </w:pPr>
      <w:r>
        <w:rPr/>
        <w:t>For a bearing sight, Copy estimated Hs is disabled: an altitude must not replace the measured bearing. Position editing and Close still work.</w:t>
      </w:r>
    </w:p>
    <w:p>
      <w:pPr>
        <w:pStyle w:val="BodyText"/>
        <w:bidi w:val="0"/>
        <w:rPr/>
      </w:pPr>
      <w:r>
        <w:rPr>
          <w:rStyle w:val="Strong"/>
        </w:rPr>
        <w:t>Altitude (Ho)</w:t>
      </w:r>
      <w:r>
        <w:rPr/>
        <w:t>, below Hc, shows the reduced observed altitude in the same angle format as Hc. In a lunar Moon/body Find popup it is that body's reduced altitude, not the lunar distance. Copy estimated Hs is beside its estimate; Reset position is beside the coordinate controls. Neither Find Cancel nor Close writes the sights XML file directly.</w:t>
      </w:r>
    </w:p>
    <w:p>
      <w:pPr>
        <w:pStyle w:val="BodyText"/>
        <w:bidi w:val="0"/>
        <w:rPr/>
      </w:pPr>
      <w:r>
        <w:rPr/>
        <w:t xml:space="preserve">The Find position selector offers </w:t>
      </w:r>
      <w:r>
        <w:rPr>
          <w:rStyle w:val="Strong"/>
        </w:rPr>
        <w:t>Manual</w:t>
      </w:r>
      <w:r>
        <w:rPr/>
        <w:t xml:space="preserve">, </w:t>
      </w:r>
      <w:r>
        <w:rPr>
          <w:rStyle w:val="Strong"/>
        </w:rPr>
        <w:t>Current boat position (live)</w:t>
      </w:r>
      <w:r>
        <w:rPr/>
        <w:t xml:space="preserve">, </w:t>
      </w:r>
      <w:r>
        <w:rPr>
          <w:rStyle w:val="Strong"/>
        </w:rPr>
        <w:t>Chart cursor</w:t>
      </w:r>
      <w:r>
        <w:rPr/>
        <w:t xml:space="preserve">, </w:t>
      </w:r>
      <w:r>
        <w:rPr>
          <w:rStyle w:val="Strong"/>
        </w:rPr>
        <w:t>Last calculated fix</w:t>
      </w:r>
      <w:r>
        <w:rPr/>
        <w:t xml:space="preserve"> and </w:t>
      </w:r>
      <w:r>
        <w:rPr>
          <w:rStyle w:val="Strong"/>
        </w:rPr>
        <w:t>Waypoint or place...</w:t>
      </w:r>
      <w:r>
        <w:rPr/>
        <w:t>. Chart cursor and waypoint choices capture coordinates; only the live boat choice follows subsequent boat updates. The last-fix source shows its epoch when known. Select Manual to edit coordinates. An unavailable source or a cancelled waypoint selection preserves the previous position. These are position aids: always check that the position is appropriate to the sight's recorded UTC.</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9752" w:type="dxa"/>
        <w:jc w:val="start"/>
        <w:tblInd w:w="0" w:type="dxa"/>
        <w:tblLayout w:type="fixed"/>
        <w:tblCellMar>
          <w:top w:w="28" w:type="dxa"/>
          <w:start w:w="28" w:type="dxa"/>
          <w:bottom w:w="28" w:type="dxa"/>
          <w:end w:w="28" w:type="dxa"/>
        </w:tblCellMar>
      </w:tblPr>
      <w:tblGrid>
        <w:gridCol w:w="837"/>
        <w:gridCol w:w="8915"/>
      </w:tblGrid>
      <w:tr>
        <w:trPr/>
        <w:tc>
          <w:tcPr>
            <w:tcW w:w="837" w:type="dxa"/>
            <w:tcBorders/>
            <w:vAlign w:val="center"/>
          </w:tcPr>
          <w:p>
            <w:pPr>
              <w:pStyle w:val="TableHeading"/>
              <w:suppressLineNumbers/>
              <w:shd w:fill="17365D" w:val="clear"/>
              <w:bidi w:val="0"/>
              <w:spacing w:before="0" w:after="283"/>
              <w:jc w:val="start"/>
              <w:rPr/>
            </w:pPr>
            <w:r>
              <w:rPr/>
              <w:t>Symbol</w:t>
            </w:r>
          </w:p>
        </w:tc>
        <w:tc>
          <w:tcPr>
            <w:tcW w:w="8915" w:type="dxa"/>
            <w:tcBorders/>
            <w:vAlign w:val="center"/>
          </w:tcPr>
          <w:p>
            <w:pPr>
              <w:pStyle w:val="TableHeading"/>
              <w:suppressLineNumbers/>
              <w:shd w:fill="17365D" w:val="clear"/>
              <w:bidi w:val="0"/>
              <w:spacing w:before="0" w:after="283"/>
              <w:jc w:val="start"/>
              <w:rPr/>
            </w:pPr>
            <w:r>
              <w:rPr/>
              <w:t>Meaning</w:t>
            </w:r>
          </w:p>
        </w:tc>
      </w:tr>
      <w:tr>
        <w:trPr/>
        <w:tc>
          <w:tcPr>
            <w:tcW w:w="837" w:type="dxa"/>
            <w:tcBorders/>
            <w:vAlign w:val="center"/>
          </w:tcPr>
          <w:p>
            <w:pPr>
              <w:pStyle w:val="TableContents"/>
              <w:bidi w:val="0"/>
              <w:spacing w:before="0" w:after="283"/>
              <w:rPr/>
            </w:pPr>
            <w:r>
              <w:rPr/>
              <w:t>AP</w:t>
            </w:r>
          </w:p>
        </w:tc>
        <w:tc>
          <w:tcPr>
            <w:tcW w:w="8915" w:type="dxa"/>
            <w:tcBorders/>
            <w:vAlign w:val="center"/>
          </w:tcPr>
          <w:p>
            <w:pPr>
              <w:pStyle w:val="TableContents"/>
              <w:bidi w:val="0"/>
              <w:spacing w:before="0" w:after="283"/>
              <w:rPr/>
            </w:pPr>
            <w:r>
              <w:rPr/>
              <w:t>Assumed position used to calculate an expected altitude and azimuth.</w:t>
            </w:r>
          </w:p>
        </w:tc>
      </w:tr>
      <w:tr>
        <w:trPr/>
        <w:tc>
          <w:tcPr>
            <w:tcW w:w="837" w:type="dxa"/>
            <w:tcBorders/>
            <w:vAlign w:val="center"/>
          </w:tcPr>
          <w:p>
            <w:pPr>
              <w:pStyle w:val="TableContents"/>
              <w:bidi w:val="0"/>
              <w:spacing w:before="0" w:after="283"/>
              <w:rPr/>
            </w:pPr>
            <w:r>
              <w:rPr/>
              <w:t>DR</w:t>
            </w:r>
          </w:p>
        </w:tc>
        <w:tc>
          <w:tcPr>
            <w:tcW w:w="8915" w:type="dxa"/>
            <w:tcBorders/>
            <w:vAlign w:val="center"/>
          </w:tcPr>
          <w:p>
            <w:pPr>
              <w:pStyle w:val="TableContents"/>
              <w:bidi w:val="0"/>
              <w:spacing w:before="0" w:after="283"/>
              <w:rPr/>
            </w:pPr>
            <w:r>
              <w:rPr/>
              <w:t>Dead-reckoning position obtained from the previous position and estimated motion.</w:t>
            </w:r>
          </w:p>
        </w:tc>
      </w:tr>
      <w:tr>
        <w:trPr/>
        <w:tc>
          <w:tcPr>
            <w:tcW w:w="837" w:type="dxa"/>
            <w:tcBorders/>
            <w:vAlign w:val="center"/>
          </w:tcPr>
          <w:p>
            <w:pPr>
              <w:pStyle w:val="TableContents"/>
              <w:bidi w:val="0"/>
              <w:spacing w:before="0" w:after="283"/>
              <w:rPr/>
            </w:pPr>
            <w:r>
              <w:rPr/>
              <w:t>GP</w:t>
            </w:r>
          </w:p>
        </w:tc>
        <w:tc>
          <w:tcPr>
            <w:tcW w:w="8915" w:type="dxa"/>
            <w:tcBorders/>
            <w:vAlign w:val="center"/>
          </w:tcPr>
          <w:p>
            <w:pPr>
              <w:pStyle w:val="TableContents"/>
              <w:bidi w:val="0"/>
              <w:spacing w:before="0" w:after="283"/>
              <w:rPr/>
            </w:pPr>
            <w:r>
              <w:rPr/>
              <w:t>Geographic position: the point on Earth directly beneath a celestial body.</w:t>
            </w:r>
          </w:p>
        </w:tc>
      </w:tr>
      <w:tr>
        <w:trPr/>
        <w:tc>
          <w:tcPr>
            <w:tcW w:w="837" w:type="dxa"/>
            <w:tcBorders/>
            <w:vAlign w:val="center"/>
          </w:tcPr>
          <w:p>
            <w:pPr>
              <w:pStyle w:val="TableContents"/>
              <w:bidi w:val="0"/>
              <w:spacing w:before="0" w:after="283"/>
              <w:rPr/>
            </w:pPr>
            <w:r>
              <w:rPr/>
              <w:t>Hs</w:t>
            </w:r>
          </w:p>
        </w:tc>
        <w:tc>
          <w:tcPr>
            <w:tcW w:w="8915" w:type="dxa"/>
            <w:tcBorders/>
            <w:vAlign w:val="center"/>
          </w:tcPr>
          <w:p>
            <w:pPr>
              <w:pStyle w:val="TableContents"/>
              <w:bidi w:val="0"/>
              <w:spacing w:before="0" w:after="283"/>
              <w:rPr/>
            </w:pPr>
            <w:r>
              <w:rPr/>
              <w:t>Sextant altitude: the angle read from the sextant.</w:t>
            </w:r>
          </w:p>
        </w:tc>
      </w:tr>
      <w:tr>
        <w:trPr/>
        <w:tc>
          <w:tcPr>
            <w:tcW w:w="837" w:type="dxa"/>
            <w:tcBorders/>
            <w:vAlign w:val="center"/>
          </w:tcPr>
          <w:p>
            <w:pPr>
              <w:pStyle w:val="TableContents"/>
              <w:bidi w:val="0"/>
              <w:spacing w:before="0" w:after="283"/>
              <w:rPr/>
            </w:pPr>
            <w:r>
              <w:rPr/>
              <w:t>Ha</w:t>
            </w:r>
          </w:p>
        </w:tc>
        <w:tc>
          <w:tcPr>
            <w:tcW w:w="8915" w:type="dxa"/>
            <w:tcBorders/>
            <w:vAlign w:val="center"/>
          </w:tcPr>
          <w:p>
            <w:pPr>
              <w:pStyle w:val="TableContents"/>
              <w:bidi w:val="0"/>
              <w:spacing w:before="0" w:after="283"/>
              <w:rPr/>
            </w:pPr>
            <w:r>
              <w:rPr/>
              <w:t>Apparent altitude after index and horizon/dip corrections.</w:t>
            </w:r>
          </w:p>
        </w:tc>
      </w:tr>
      <w:tr>
        <w:trPr/>
        <w:tc>
          <w:tcPr>
            <w:tcW w:w="837" w:type="dxa"/>
            <w:tcBorders/>
            <w:vAlign w:val="center"/>
          </w:tcPr>
          <w:p>
            <w:pPr>
              <w:pStyle w:val="TableContents"/>
              <w:bidi w:val="0"/>
              <w:spacing w:before="0" w:after="283"/>
              <w:rPr/>
            </w:pPr>
            <w:r>
              <w:rPr/>
              <w:t>Ho</w:t>
            </w:r>
          </w:p>
        </w:tc>
        <w:tc>
          <w:tcPr>
            <w:tcW w:w="8915" w:type="dxa"/>
            <w:tcBorders/>
            <w:vAlign w:val="center"/>
          </w:tcPr>
          <w:p>
            <w:pPr>
              <w:pStyle w:val="TableContents"/>
              <w:bidi w:val="0"/>
              <w:spacing w:before="0" w:after="283"/>
              <w:rPr/>
            </w:pPr>
            <w:r>
              <w:rPr/>
              <w:t>Observed altitude: the fully corrected measured altitude used for navigation.</w:t>
            </w:r>
          </w:p>
        </w:tc>
      </w:tr>
      <w:tr>
        <w:trPr/>
        <w:tc>
          <w:tcPr>
            <w:tcW w:w="837" w:type="dxa"/>
            <w:tcBorders/>
            <w:vAlign w:val="center"/>
          </w:tcPr>
          <w:p>
            <w:pPr>
              <w:pStyle w:val="TableContents"/>
              <w:bidi w:val="0"/>
              <w:spacing w:before="0" w:after="283"/>
              <w:rPr/>
            </w:pPr>
            <w:r>
              <w:rPr/>
              <w:t>Hc</w:t>
            </w:r>
          </w:p>
        </w:tc>
        <w:tc>
          <w:tcPr>
            <w:tcW w:w="8915" w:type="dxa"/>
            <w:tcBorders/>
            <w:vAlign w:val="center"/>
          </w:tcPr>
          <w:p>
            <w:pPr>
              <w:pStyle w:val="TableContents"/>
              <w:bidi w:val="0"/>
              <w:spacing w:before="0" w:after="283"/>
              <w:rPr/>
            </w:pPr>
            <w:r>
              <w:rPr/>
              <w:t>Computed altitude predicted at the AP for the observation time.</w:t>
            </w:r>
          </w:p>
        </w:tc>
      </w:tr>
      <w:tr>
        <w:trPr/>
        <w:tc>
          <w:tcPr>
            <w:tcW w:w="837" w:type="dxa"/>
            <w:tcBorders/>
            <w:vAlign w:val="center"/>
          </w:tcPr>
          <w:p>
            <w:pPr>
              <w:pStyle w:val="TableContents"/>
              <w:bidi w:val="0"/>
              <w:spacing w:before="0" w:after="283"/>
              <w:rPr/>
            </w:pPr>
            <w:r>
              <w:rPr/>
              <w:t>Zn</w:t>
            </w:r>
          </w:p>
        </w:tc>
        <w:tc>
          <w:tcPr>
            <w:tcW w:w="8915" w:type="dxa"/>
            <w:tcBorders/>
            <w:vAlign w:val="center"/>
          </w:tcPr>
          <w:p>
            <w:pPr>
              <w:pStyle w:val="TableContents"/>
              <w:bidi w:val="0"/>
              <w:spacing w:before="0" w:after="283"/>
              <w:rPr/>
            </w:pPr>
            <w:r>
              <w:rPr/>
              <w:t>Calculated true azimuth of the body, conventionally 000°–360° from true north.</w:t>
            </w:r>
          </w:p>
        </w:tc>
      </w:tr>
      <w:tr>
        <w:trPr/>
        <w:tc>
          <w:tcPr>
            <w:tcW w:w="837" w:type="dxa"/>
            <w:tcBorders/>
            <w:vAlign w:val="center"/>
          </w:tcPr>
          <w:p>
            <w:pPr>
              <w:pStyle w:val="TableContents"/>
              <w:bidi w:val="0"/>
              <w:spacing w:before="0" w:after="283"/>
              <w:rPr/>
            </w:pPr>
            <w:r>
              <w:rPr/>
              <w:t>COP</w:t>
            </w:r>
          </w:p>
        </w:tc>
        <w:tc>
          <w:tcPr>
            <w:tcW w:w="8915" w:type="dxa"/>
            <w:tcBorders/>
            <w:vAlign w:val="center"/>
          </w:tcPr>
          <w:p>
            <w:pPr>
              <w:pStyle w:val="TableContents"/>
              <w:bidi w:val="0"/>
              <w:spacing w:before="0" w:after="283"/>
              <w:rPr/>
            </w:pPr>
            <w:r>
              <w:rPr/>
              <w:t>Circle of Position, here normally a Circle of Equal Altitude.</w:t>
            </w:r>
          </w:p>
        </w:tc>
      </w:tr>
      <w:tr>
        <w:trPr/>
        <w:tc>
          <w:tcPr>
            <w:tcW w:w="837" w:type="dxa"/>
            <w:tcBorders/>
            <w:vAlign w:val="center"/>
          </w:tcPr>
          <w:p>
            <w:pPr>
              <w:pStyle w:val="TableContents"/>
              <w:bidi w:val="0"/>
              <w:spacing w:before="0" w:after="283"/>
              <w:rPr/>
            </w:pPr>
            <w:r>
              <w:rPr/>
              <w:t>LOP</w:t>
            </w:r>
          </w:p>
        </w:tc>
        <w:tc>
          <w:tcPr>
            <w:tcW w:w="8915" w:type="dxa"/>
            <w:tcBorders/>
            <w:vAlign w:val="center"/>
          </w:tcPr>
          <w:p>
            <w:pPr>
              <w:pStyle w:val="TableContents"/>
              <w:bidi w:val="0"/>
              <w:spacing w:before="0" w:after="283"/>
              <w:rPr/>
            </w:pPr>
            <w:r>
              <w:rPr/>
              <w:t>Line of Position: the local straight-line approximation to a COP.</w:t>
            </w:r>
          </w:p>
        </w:tc>
      </w:tr>
      <w:tr>
        <w:trPr/>
        <w:tc>
          <w:tcPr>
            <w:tcW w:w="837" w:type="dxa"/>
            <w:tcBorders/>
            <w:vAlign w:val="center"/>
          </w:tcPr>
          <w:p>
            <w:pPr>
              <w:pStyle w:val="TableContents"/>
              <w:bidi w:val="0"/>
              <w:spacing w:before="0" w:after="283"/>
              <w:rPr/>
            </w:pPr>
            <w:r>
              <w:rPr/>
              <w:t>GHA</w:t>
            </w:r>
          </w:p>
        </w:tc>
        <w:tc>
          <w:tcPr>
            <w:tcW w:w="8915" w:type="dxa"/>
            <w:tcBorders/>
            <w:vAlign w:val="center"/>
          </w:tcPr>
          <w:p>
            <w:pPr>
              <w:pStyle w:val="TableContents"/>
              <w:bidi w:val="0"/>
              <w:spacing w:before="0" w:after="283"/>
              <w:rPr/>
            </w:pPr>
            <w:r>
              <w:rPr/>
              <w:t>Greenwich Hour Angle, measured westward from Greenwich to the body's hour circle.</w:t>
            </w:r>
          </w:p>
        </w:tc>
      </w:tr>
      <w:tr>
        <w:trPr/>
        <w:tc>
          <w:tcPr>
            <w:tcW w:w="837" w:type="dxa"/>
            <w:tcBorders/>
            <w:vAlign w:val="center"/>
          </w:tcPr>
          <w:p>
            <w:pPr>
              <w:pStyle w:val="TableContents"/>
              <w:bidi w:val="0"/>
              <w:spacing w:before="0" w:after="283"/>
              <w:rPr/>
            </w:pPr>
            <w:r>
              <w:rPr/>
              <w:t>LHA</w:t>
            </w:r>
          </w:p>
        </w:tc>
        <w:tc>
          <w:tcPr>
            <w:tcW w:w="8915" w:type="dxa"/>
            <w:tcBorders/>
            <w:vAlign w:val="center"/>
          </w:tcPr>
          <w:p>
            <w:pPr>
              <w:pStyle w:val="TableContents"/>
              <w:bidi w:val="0"/>
              <w:spacing w:before="0" w:after="283"/>
              <w:rPr/>
            </w:pPr>
            <w:r>
              <w:rPr/>
              <w:t>Local Hour Angle, the body's hour angle relative to the observer's meridian.</w:t>
            </w:r>
          </w:p>
        </w:tc>
      </w:tr>
      <w:tr>
        <w:trPr/>
        <w:tc>
          <w:tcPr>
            <w:tcW w:w="837" w:type="dxa"/>
            <w:tcBorders/>
            <w:vAlign w:val="center"/>
          </w:tcPr>
          <w:p>
            <w:pPr>
              <w:pStyle w:val="TableContents"/>
              <w:bidi w:val="0"/>
              <w:spacing w:before="0" w:after="283"/>
              <w:rPr/>
            </w:pPr>
            <w:r>
              <w:rPr/>
              <w:t>UTC / UT1</w:t>
            </w:r>
          </w:p>
        </w:tc>
        <w:tc>
          <w:tcPr>
            <w:tcW w:w="8915"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9752" w:type="dxa"/>
        <w:jc w:val="start"/>
        <w:tblInd w:w="0" w:type="dxa"/>
        <w:tblLayout w:type="fixed"/>
        <w:tblCellMar>
          <w:top w:w="28" w:type="dxa"/>
          <w:start w:w="28" w:type="dxa"/>
          <w:bottom w:w="28" w:type="dxa"/>
          <w:end w:w="28" w:type="dxa"/>
        </w:tblCellMar>
      </w:tblPr>
      <w:tblGrid>
        <w:gridCol w:w="1316"/>
        <w:gridCol w:w="8436"/>
      </w:tblGrid>
      <w:tr>
        <w:trPr/>
        <w:tc>
          <w:tcPr>
            <w:tcW w:w="1316" w:type="dxa"/>
            <w:tcBorders/>
            <w:vAlign w:val="center"/>
          </w:tcPr>
          <w:p>
            <w:pPr>
              <w:pStyle w:val="TableHeading"/>
              <w:suppressLineNumbers/>
              <w:shd w:fill="17365D" w:val="clear"/>
              <w:bidi w:val="0"/>
              <w:spacing w:before="0" w:after="283"/>
              <w:jc w:val="start"/>
              <w:rPr/>
            </w:pPr>
            <w:r>
              <w:rPr/>
              <w:t>Term</w:t>
            </w:r>
          </w:p>
        </w:tc>
        <w:tc>
          <w:tcPr>
            <w:tcW w:w="8436" w:type="dxa"/>
            <w:tcBorders/>
            <w:vAlign w:val="center"/>
          </w:tcPr>
          <w:p>
            <w:pPr>
              <w:pStyle w:val="TableHeading"/>
              <w:suppressLineNumbers/>
              <w:shd w:fill="17365D" w:val="clear"/>
              <w:bidi w:val="0"/>
              <w:spacing w:before="0" w:after="283"/>
              <w:jc w:val="start"/>
              <w:rPr/>
            </w:pPr>
            <w:r>
              <w:rPr/>
              <w:t>Purpose</w:t>
            </w:r>
          </w:p>
        </w:tc>
      </w:tr>
      <w:tr>
        <w:trPr/>
        <w:tc>
          <w:tcPr>
            <w:tcW w:w="1316" w:type="dxa"/>
            <w:tcBorders/>
            <w:vAlign w:val="center"/>
          </w:tcPr>
          <w:p>
            <w:pPr>
              <w:pStyle w:val="TableContents"/>
              <w:bidi w:val="0"/>
              <w:spacing w:before="0" w:after="283"/>
              <w:rPr/>
            </w:pPr>
            <w:r>
              <w:rPr/>
              <w:t>Index correction</w:t>
            </w:r>
          </w:p>
        </w:tc>
        <w:tc>
          <w:tcPr>
            <w:tcW w:w="8436"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316" w:type="dxa"/>
            <w:tcBorders/>
            <w:vAlign w:val="center"/>
          </w:tcPr>
          <w:p>
            <w:pPr>
              <w:pStyle w:val="TableContents"/>
              <w:bidi w:val="0"/>
              <w:spacing w:before="0" w:after="283"/>
              <w:rPr/>
            </w:pPr>
            <w:r>
              <w:rPr/>
              <w:t>Dip</w:t>
            </w:r>
          </w:p>
        </w:tc>
        <w:tc>
          <w:tcPr>
            <w:tcW w:w="8436"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316" w:type="dxa"/>
            <w:tcBorders/>
            <w:vAlign w:val="center"/>
          </w:tcPr>
          <w:p>
            <w:pPr>
              <w:pStyle w:val="TableContents"/>
              <w:bidi w:val="0"/>
              <w:spacing w:before="0" w:after="283"/>
              <w:rPr/>
            </w:pPr>
            <w:r>
              <w:rPr/>
              <w:t>Refraction</w:t>
            </w:r>
          </w:p>
        </w:tc>
        <w:tc>
          <w:tcPr>
            <w:tcW w:w="8436"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316" w:type="dxa"/>
            <w:tcBorders/>
            <w:vAlign w:val="center"/>
          </w:tcPr>
          <w:p>
            <w:pPr>
              <w:pStyle w:val="TableContents"/>
              <w:bidi w:val="0"/>
              <w:spacing w:before="0" w:after="283"/>
              <w:rPr/>
            </w:pPr>
            <w:r>
              <w:rPr/>
              <w:t>Semidiameter</w:t>
            </w:r>
          </w:p>
        </w:tc>
        <w:tc>
          <w:tcPr>
            <w:tcW w:w="8436" w:type="dxa"/>
            <w:tcBorders/>
            <w:vAlign w:val="center"/>
          </w:tcPr>
          <w:p>
            <w:pPr>
              <w:pStyle w:val="TableContents"/>
              <w:bidi w:val="0"/>
              <w:spacing w:before="0" w:after="283"/>
              <w:rPr/>
            </w:pPr>
            <w:r>
              <w:rPr/>
              <w:t>Converts a selected upper or lower limb of the Sun or Moon to the body's centre.</w:t>
            </w:r>
          </w:p>
        </w:tc>
      </w:tr>
      <w:tr>
        <w:trPr/>
        <w:tc>
          <w:tcPr>
            <w:tcW w:w="1316" w:type="dxa"/>
            <w:tcBorders/>
            <w:vAlign w:val="center"/>
          </w:tcPr>
          <w:p>
            <w:pPr>
              <w:pStyle w:val="TableContents"/>
              <w:bidi w:val="0"/>
              <w:spacing w:before="0" w:after="283"/>
              <w:rPr/>
            </w:pPr>
            <w:r>
              <w:rPr/>
              <w:t>Parallax in altitude</w:t>
            </w:r>
          </w:p>
        </w:tc>
        <w:tc>
          <w:tcPr>
            <w:tcW w:w="8436"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For an altitude or bearing sight, angular measurement certainty sets the width of the plotted COP/LOP band. It does not limit the geographic positions considered by a lunar solution. The running-fix solver also uses altitude measurement uncertainty to weight observations, so changing it can affect a weighted fix and its reported uncertainty. It does not alter the recorded sextant altitude or the predicted altitude.</w:t>
      </w:r>
    </w:p>
    <w:p>
      <w:pPr>
        <w:pStyle w:val="BodyText"/>
        <w:bidi w:val="0"/>
        <w:rPr/>
      </w:pPr>
      <w:r>
        <w:rPr/>
        <w:t xml:space="preserve">For a lunar sight, angular measurement uncertainty describes the measured Moon-body distance and contributes to the estimated UTC uncertainty; the separate Moon and body altitude uncertainties contribute as well. The </w:t>
      </w:r>
      <w:r>
        <w:rPr>
          <w:rStyle w:val="Strong"/>
        </w:rPr>
        <w:t>Total UTC search span (seconds)</w:t>
      </w:r>
      <w:r>
        <w:rPr/>
        <w:t xml:space="preserve"> is different: it limits the time interval searched for a lunar solution. None of these settings makes a recorded observation more precise merely by reducing its value.</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2880"/>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2880"/>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colour and remarks. The eye symbol controls whether a sight is plotted and included where a workflow uses visible sights.</w:t>
      </w:r>
    </w:p>
    <w:tbl>
      <w:tblPr>
        <w:tblW w:w="9752" w:type="dxa"/>
        <w:jc w:val="start"/>
        <w:tblInd w:w="0" w:type="dxa"/>
        <w:tblLayout w:type="fixed"/>
        <w:tblCellMar>
          <w:top w:w="28" w:type="dxa"/>
          <w:start w:w="28" w:type="dxa"/>
          <w:bottom w:w="28" w:type="dxa"/>
          <w:end w:w="28" w:type="dxa"/>
        </w:tblCellMar>
      </w:tblPr>
      <w:tblGrid>
        <w:gridCol w:w="1693"/>
        <w:gridCol w:w="8059"/>
      </w:tblGrid>
      <w:tr>
        <w:trPr/>
        <w:tc>
          <w:tcPr>
            <w:tcW w:w="1693" w:type="dxa"/>
            <w:tcBorders/>
            <w:vAlign w:val="center"/>
          </w:tcPr>
          <w:p>
            <w:pPr>
              <w:pStyle w:val="TableHeading"/>
              <w:suppressLineNumbers/>
              <w:shd w:fill="17365D" w:val="clear"/>
              <w:bidi w:val="0"/>
              <w:spacing w:before="0" w:after="283"/>
              <w:jc w:val="start"/>
              <w:rPr/>
            </w:pPr>
            <w:r>
              <w:rPr/>
              <w:t>Control</w:t>
            </w:r>
          </w:p>
        </w:tc>
        <w:tc>
          <w:tcPr>
            <w:tcW w:w="8059" w:type="dxa"/>
            <w:tcBorders/>
            <w:vAlign w:val="center"/>
          </w:tcPr>
          <w:p>
            <w:pPr>
              <w:pStyle w:val="TableHeading"/>
              <w:suppressLineNumbers/>
              <w:shd w:fill="17365D" w:val="clear"/>
              <w:bidi w:val="0"/>
              <w:spacing w:before="0" w:after="283"/>
              <w:jc w:val="start"/>
              <w:rPr/>
            </w:pPr>
            <w:r>
              <w:rPr/>
              <w:t>Purpose</w:t>
            </w:r>
          </w:p>
        </w:tc>
      </w:tr>
      <w:tr>
        <w:trPr/>
        <w:tc>
          <w:tcPr>
            <w:tcW w:w="1693" w:type="dxa"/>
            <w:tcBorders/>
            <w:vAlign w:val="center"/>
          </w:tcPr>
          <w:p>
            <w:pPr>
              <w:pStyle w:val="TableContents"/>
              <w:bidi w:val="0"/>
              <w:spacing w:before="0" w:after="283"/>
              <w:rPr/>
            </w:pPr>
            <w:r>
              <w:rPr/>
              <w:t>New</w:t>
            </w:r>
          </w:p>
        </w:tc>
        <w:tc>
          <w:tcPr>
            <w:tcW w:w="8059" w:type="dxa"/>
            <w:tcBorders/>
            <w:vAlign w:val="center"/>
          </w:tcPr>
          <w:p>
            <w:pPr>
              <w:pStyle w:val="TableContents"/>
              <w:bidi w:val="0"/>
              <w:spacing w:before="0" w:after="283"/>
              <w:rPr/>
            </w:pPr>
            <w:r>
              <w:rPr/>
              <w:t>Create an altitude, azimuth or lunar observation.</w:t>
            </w:r>
          </w:p>
        </w:tc>
      </w:tr>
      <w:tr>
        <w:trPr/>
        <w:tc>
          <w:tcPr>
            <w:tcW w:w="1693" w:type="dxa"/>
            <w:tcBorders/>
            <w:vAlign w:val="center"/>
          </w:tcPr>
          <w:p>
            <w:pPr>
              <w:pStyle w:val="TableContents"/>
              <w:bidi w:val="0"/>
              <w:spacing w:before="0" w:after="283"/>
              <w:rPr/>
            </w:pPr>
            <w:r>
              <w:rPr/>
              <w:t>Fix…</w:t>
            </w:r>
          </w:p>
        </w:tc>
        <w:tc>
          <w:tcPr>
            <w:tcW w:w="8059" w:type="dxa"/>
            <w:tcBorders/>
            <w:vAlign w:val="center"/>
          </w:tcPr>
          <w:p>
            <w:pPr>
              <w:pStyle w:val="TableContents"/>
              <w:bidi w:val="0"/>
              <w:spacing w:before="0" w:after="283"/>
              <w:rPr/>
            </w:pPr>
            <w:r>
              <w:rPr/>
              <w:t>Solve from suitable visible sights near a selected epoch.</w:t>
            </w:r>
          </w:p>
        </w:tc>
      </w:tr>
      <w:tr>
        <w:trPr/>
        <w:tc>
          <w:tcPr>
            <w:tcW w:w="1693" w:type="dxa"/>
            <w:tcBorders/>
            <w:vAlign w:val="center"/>
          </w:tcPr>
          <w:p>
            <w:pPr>
              <w:pStyle w:val="TableContents"/>
              <w:bidi w:val="0"/>
              <w:spacing w:before="0" w:after="283"/>
              <w:rPr/>
            </w:pPr>
            <w:r>
              <w:rPr/>
              <w:t>Horizon Event…</w:t>
            </w:r>
          </w:p>
        </w:tc>
        <w:tc>
          <w:tcPr>
            <w:tcW w:w="8059" w:type="dxa"/>
            <w:tcBorders/>
            <w:vAlign w:val="center"/>
          </w:tcPr>
          <w:p>
            <w:pPr>
              <w:pStyle w:val="TableContents"/>
              <w:bidi w:val="0"/>
              <w:spacing w:before="0" w:after="283"/>
              <w:rPr/>
            </w:pPr>
            <w:r>
              <w:rPr/>
              <w:t>Record observed sunrise or sunset timing and optional bearing.</w:t>
            </w:r>
          </w:p>
        </w:tc>
      </w:tr>
      <w:tr>
        <w:trPr/>
        <w:tc>
          <w:tcPr>
            <w:tcW w:w="1693" w:type="dxa"/>
            <w:tcBorders/>
            <w:vAlign w:val="center"/>
          </w:tcPr>
          <w:p>
            <w:pPr>
              <w:pStyle w:val="TableContents"/>
              <w:bidi w:val="0"/>
              <w:spacing w:before="0" w:after="283"/>
              <w:rPr/>
            </w:pPr>
            <w:r>
              <w:rPr/>
              <w:t>Sun &amp; Moon…</w:t>
            </w:r>
          </w:p>
        </w:tc>
        <w:tc>
          <w:tcPr>
            <w:tcW w:w="8059" w:type="dxa"/>
            <w:tcBorders/>
            <w:vAlign w:val="center"/>
          </w:tcPr>
          <w:p>
            <w:pPr>
              <w:pStyle w:val="TableContents"/>
              <w:bidi w:val="0"/>
              <w:spacing w:before="0" w:after="283"/>
              <w:rPr/>
            </w:pPr>
            <w:r>
              <w:rPr/>
              <w:t>Open the offline event, body, best-sight, almanac, noon and Polaris planner.</w:t>
            </w:r>
          </w:p>
        </w:tc>
      </w:tr>
      <w:tr>
        <w:trPr/>
        <w:tc>
          <w:tcPr>
            <w:tcW w:w="1693" w:type="dxa"/>
            <w:tcBorders/>
            <w:vAlign w:val="center"/>
          </w:tcPr>
          <w:p>
            <w:pPr>
              <w:pStyle w:val="TableContents"/>
              <w:bidi w:val="0"/>
              <w:spacing w:before="0" w:after="283"/>
              <w:rPr/>
            </w:pPr>
            <w:r>
              <w:rPr/>
              <w:t>Analyze Sights…</w:t>
            </w:r>
          </w:p>
        </w:tc>
        <w:tc>
          <w:tcPr>
            <w:tcW w:w="8059" w:type="dxa"/>
            <w:tcBorders/>
            <w:vAlign w:val="center"/>
          </w:tcPr>
          <w:p>
            <w:pPr>
              <w:pStyle w:val="TableContents"/>
              <w:bidi w:val="0"/>
              <w:spacing w:before="0" w:after="283"/>
              <w:rPr/>
            </w:pPr>
            <w:r>
              <w:rPr/>
              <w:t>Analyze residuals and repeat-observation behaviour.</w:t>
            </w:r>
          </w:p>
        </w:tc>
      </w:tr>
      <w:tr>
        <w:trPr/>
        <w:tc>
          <w:tcPr>
            <w:tcW w:w="1693" w:type="dxa"/>
            <w:tcBorders/>
            <w:vAlign w:val="center"/>
          </w:tcPr>
          <w:p>
            <w:pPr>
              <w:pStyle w:val="TableContents"/>
              <w:bidi w:val="0"/>
              <w:spacing w:before="0" w:after="283"/>
              <w:rPr/>
            </w:pPr>
            <w:r>
              <w:rPr/>
              <w:t>Lunar Tools…</w:t>
            </w:r>
          </w:p>
        </w:tc>
        <w:tc>
          <w:tcPr>
            <w:tcW w:w="8059"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1693" w:type="dxa"/>
            <w:tcBorders/>
            <w:vAlign w:val="center"/>
          </w:tcPr>
          <w:p>
            <w:pPr>
              <w:pStyle w:val="TableContents"/>
              <w:bidi w:val="0"/>
              <w:spacing w:before="0" w:after="283"/>
              <w:rPr/>
            </w:pPr>
            <w:r>
              <w:rPr/>
              <w:t>Generate Almanac…</w:t>
            </w:r>
          </w:p>
        </w:tc>
        <w:tc>
          <w:tcPr>
            <w:tcW w:w="8059"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1693" w:type="dxa"/>
            <w:tcBorders/>
            <w:vAlign w:val="center"/>
          </w:tcPr>
          <w:p>
            <w:pPr>
              <w:pStyle w:val="TableContents"/>
              <w:bidi w:val="0"/>
              <w:spacing w:before="0" w:after="283"/>
              <w:rPr/>
            </w:pPr>
            <w:r>
              <w:rPr/>
              <w:t>Eclipses…</w:t>
            </w:r>
          </w:p>
        </w:tc>
        <w:tc>
          <w:tcPr>
            <w:tcW w:w="8059" w:type="dxa"/>
            <w:tcBorders/>
            <w:vAlign w:val="center"/>
          </w:tcPr>
          <w:p>
            <w:pPr>
              <w:pStyle w:val="TableContents"/>
              <w:bidi w:val="0"/>
              <w:spacing w:before="0" w:after="283"/>
              <w:rPr/>
            </w:pPr>
            <w:r>
              <w:rPr/>
              <w:t>Search, plot and calculate offline solar-eclipse circumstances.</w:t>
            </w:r>
          </w:p>
        </w:tc>
      </w:tr>
      <w:tr>
        <w:trPr/>
        <w:tc>
          <w:tcPr>
            <w:tcW w:w="1693" w:type="dxa"/>
            <w:tcBorders/>
            <w:vAlign w:val="center"/>
          </w:tcPr>
          <w:p>
            <w:pPr>
              <w:pStyle w:val="TableContents"/>
              <w:bidi w:val="0"/>
              <w:spacing w:before="0" w:after="283"/>
              <w:rPr/>
            </w:pPr>
            <w:r>
              <w:rPr/>
              <w:t>Coastal Sextant…</w:t>
            </w:r>
          </w:p>
        </w:tc>
        <w:tc>
          <w:tcPr>
            <w:tcW w:w="8059" w:type="dxa"/>
            <w:tcBorders/>
            <w:vAlign w:val="center"/>
          </w:tcPr>
          <w:p>
            <w:pPr>
              <w:pStyle w:val="TableContents"/>
              <w:bidi w:val="0"/>
              <w:spacing w:before="0" w:after="283"/>
              <w:rPr/>
            </w:pPr>
            <w:r>
              <w:rPr/>
              <w:t>Use vertical-angle ranging or horizontal-sextant-angle fixing.</w:t>
            </w:r>
          </w:p>
        </w:tc>
      </w:tr>
      <w:tr>
        <w:trPr/>
        <w:tc>
          <w:tcPr>
            <w:tcW w:w="1693" w:type="dxa"/>
            <w:tcBorders/>
            <w:vAlign w:val="center"/>
          </w:tcPr>
          <w:p>
            <w:pPr>
              <w:pStyle w:val="TableContents"/>
              <w:bidi w:val="0"/>
              <w:spacing w:before="0" w:after="283"/>
              <w:rPr/>
            </w:pPr>
            <w:r>
              <w:rPr/>
              <w:t>Duplicate / Edit / Delete</w:t>
            </w:r>
          </w:p>
        </w:tc>
        <w:tc>
          <w:tcPr>
            <w:tcW w:w="8059" w:type="dxa"/>
            <w:tcBorders/>
            <w:vAlign w:val="center"/>
          </w:tcPr>
          <w:p>
            <w:pPr>
              <w:pStyle w:val="TableContents"/>
              <w:bidi w:val="0"/>
              <w:spacing w:before="0" w:after="283"/>
              <w:rPr/>
            </w:pPr>
            <w:r>
              <w:rPr/>
              <w:t>Manage a selected stored sight. Duplicate is useful for a run of sights.</w:t>
            </w:r>
          </w:p>
        </w:tc>
      </w:tr>
      <w:tr>
        <w:trPr/>
        <w:tc>
          <w:tcPr>
            <w:tcW w:w="1693" w:type="dxa"/>
            <w:tcBorders/>
            <w:vAlign w:val="center"/>
          </w:tcPr>
          <w:p>
            <w:pPr>
              <w:pStyle w:val="TableContents"/>
              <w:bidi w:val="0"/>
              <w:spacing w:before="0" w:after="283"/>
              <w:rPr/>
            </w:pPr>
            <w:r>
              <w:rPr/>
              <w:t>Manage Sights…</w:t>
            </w:r>
          </w:p>
        </w:tc>
        <w:tc>
          <w:tcPr>
            <w:tcW w:w="8059" w:type="dxa"/>
            <w:tcBorders/>
            <w:vAlign w:val="center"/>
          </w:tcPr>
          <w:p>
            <w:pPr>
              <w:pStyle w:val="TableContents"/>
              <w:bidi w:val="0"/>
              <w:spacing w:before="0" w:after="283"/>
              <w:rPr/>
            </w:pPr>
            <w:r>
              <w:rPr/>
              <w:t>Save a dated XML backup, add sights from another log, or restore a complete log.</w:t>
            </w:r>
          </w:p>
        </w:tc>
      </w:tr>
      <w:tr>
        <w:trPr/>
        <w:tc>
          <w:tcPr>
            <w:tcW w:w="1693" w:type="dxa"/>
            <w:tcBorders/>
            <w:vAlign w:val="center"/>
          </w:tcPr>
          <w:p>
            <w:pPr>
              <w:pStyle w:val="TableContents"/>
              <w:bidi w:val="0"/>
              <w:spacing w:before="0" w:after="283"/>
              <w:rPr/>
            </w:pPr>
            <w:r>
              <w:rPr/>
              <w:t>Clock Offset</w:t>
            </w:r>
          </w:p>
        </w:tc>
        <w:tc>
          <w:tcPr>
            <w:tcW w:w="8059" w:type="dxa"/>
            <w:tcBorders/>
            <w:vAlign w:val="center"/>
          </w:tcPr>
          <w:p>
            <w:pPr>
              <w:pStyle w:val="TableContents"/>
              <w:bidi w:val="0"/>
              <w:spacing w:before="0" w:after="283"/>
              <w:rPr/>
            </w:pPr>
            <w:r>
              <w:rPr/>
              <w:t>Apply a common correction to stored sight times.</w:t>
            </w:r>
          </w:p>
        </w:tc>
      </w:tr>
      <w:tr>
        <w:trPr/>
        <w:tc>
          <w:tcPr>
            <w:tcW w:w="1693" w:type="dxa"/>
            <w:tcBorders/>
            <w:vAlign w:val="center"/>
          </w:tcPr>
          <w:p>
            <w:pPr>
              <w:pStyle w:val="TableContents"/>
              <w:bidi w:val="0"/>
              <w:spacing w:before="0" w:after="283"/>
              <w:rPr/>
            </w:pPr>
            <w:r>
              <w:rPr/>
              <w:t>Hide sight log / Show sight log</w:t>
            </w:r>
          </w:p>
        </w:tc>
        <w:tc>
          <w:tcPr>
            <w:tcW w:w="8059" w:type="dxa"/>
            <w:tcBorders/>
            <w:vAlign w:val="center"/>
          </w:tcPr>
          <w:p>
            <w:pPr>
              <w:pStyle w:val="TableContents"/>
              <w:bidi w:val="0"/>
              <w:spacing w:before="0" w:after="283"/>
              <w:rPr/>
            </w:pPr>
            <w:r>
              <w:rPr/>
              <w:t>Collapse or restore the sight list; this does not hide its chart plots.</w:t>
            </w:r>
          </w:p>
        </w:tc>
      </w:tr>
      <w:tr>
        <w:trPr/>
        <w:tc>
          <w:tcPr>
            <w:tcW w:w="1693" w:type="dxa"/>
            <w:tcBorders/>
            <w:vAlign w:val="center"/>
          </w:tcPr>
          <w:p>
            <w:pPr>
              <w:pStyle w:val="TableContents"/>
              <w:bidi w:val="0"/>
              <w:spacing w:before="0" w:after="283"/>
              <w:rPr/>
            </w:pPr>
            <w:r>
              <w:rPr/>
              <w:t>Chart display…</w:t>
            </w:r>
          </w:p>
        </w:tc>
        <w:tc>
          <w:tcPr>
            <w:tcW w:w="8059" w:type="dxa"/>
            <w:tcBorders/>
            <w:vAlign w:val="center"/>
          </w:tcPr>
          <w:p>
            <w:pPr>
              <w:pStyle w:val="TableContents"/>
              <w:bidi w:val="0"/>
              <w:spacing w:before="0" w:after="283"/>
              <w:rPr/>
            </w:pPr>
            <w:r>
              <w:rPr/>
              <w:t>Adjust nominal line width, contrasting outline, uncertainty shading and hover labels for all sights.</w:t>
            </w:r>
          </w:p>
        </w:tc>
      </w:tr>
      <w:tr>
        <w:trPr/>
        <w:tc>
          <w:tcPr>
            <w:tcW w:w="1693" w:type="dxa"/>
            <w:tcBorders/>
            <w:vAlign w:val="center"/>
          </w:tcPr>
          <w:p>
            <w:pPr>
              <w:pStyle w:val="TableContents"/>
              <w:bidi w:val="0"/>
              <w:spacing w:before="0" w:after="283"/>
              <w:rPr/>
            </w:pPr>
            <w:r>
              <w:rPr/>
              <w:t>Documentation</w:t>
            </w:r>
          </w:p>
        </w:tc>
        <w:tc>
          <w:tcPr>
            <w:tcW w:w="8059" w:type="dxa"/>
            <w:tcBorders/>
            <w:vAlign w:val="center"/>
          </w:tcPr>
          <w:p>
            <w:pPr>
              <w:pStyle w:val="TableContents"/>
              <w:bidi w:val="0"/>
              <w:spacing w:before="0" w:after="283"/>
              <w:rPr/>
            </w:pPr>
            <w:r>
              <w:rPr/>
              <w:t>Open this completely offline manual in the plugin's internal viewer.</w:t>
            </w:r>
          </w:p>
        </w:tc>
      </w:tr>
      <w:tr>
        <w:trPr/>
        <w:tc>
          <w:tcPr>
            <w:tcW w:w="1693" w:type="dxa"/>
            <w:tcBorders/>
            <w:vAlign w:val="center"/>
          </w:tcPr>
          <w:p>
            <w:pPr>
              <w:pStyle w:val="TableContents"/>
              <w:bidi w:val="0"/>
              <w:spacing w:before="0" w:after="283"/>
              <w:rPr/>
            </w:pPr>
            <w:r>
              <w:rPr/>
              <w:t>PDF Documentation</w:t>
            </w:r>
          </w:p>
        </w:tc>
        <w:tc>
          <w:tcPr>
            <w:tcW w:w="8059"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 xml:space="preserve">The nominal COP is an opaque central stroke in the sight colour, with an automatic black or white outline. Its default width is 0.5 mm, scaled for the display. </w:t>
      </w:r>
      <w:r>
        <w:rPr>
          <w:rStyle w:val="Strong"/>
        </w:rPr>
        <w:t>Chart display…</w:t>
      </w:r>
      <w:r>
        <w:rPr/>
        <w:t xml:space="preserve"> remembers a global width (0.2–2.0 mm) and an independent shading multiplier; reducing uncertainty shading does not fade or move the nominal line. The per-sight transparency remains available. The shaded region represents input uncertainty, not a guaranteed position bound.</w:t>
      </w:r>
    </w:p>
    <w:p>
      <w:pPr>
        <w:pStyle w:val="BodyText"/>
        <w:bidi w:val="0"/>
        <w:rPr/>
      </w:pPr>
      <w:r>
        <w:rPr/>
        <w:t xml:space="preserve">Hover near a plotted nominal line to see the body, corrected UTC and sight number. Overlapping COPs list up to four nearby sights and report any further matches. In a sight's </w:t>
      </w:r>
      <w:r>
        <w:rPr>
          <w:rStyle w:val="Strong"/>
        </w:rPr>
        <w:t>Config</w:t>
      </w:r>
      <w:r>
        <w:rPr/>
        <w:t xml:space="preserve"> tab, choose a named colour or use the custom colour picker. Non-palette colours are labelled </w:t>
      </w:r>
      <w:r>
        <w:rPr>
          <w:rStyle w:val="Strong"/>
        </w:rPr>
        <w:t>Custom (#RRGGBB)</w:t>
      </w:r>
      <w:r>
        <w:rPr/>
        <w:t>. Existing colours are retained; use the sight log and hover labels, not colour alone, to identify observations.</w:t>
      </w:r>
    </w:p>
    <w:p>
      <w:pPr>
        <w:pStyle w:val="BodyText"/>
        <w:bidi w:val="0"/>
        <w:rPr/>
      </w:pPr>
      <w:r>
        <w:rPr/>
        <w:t xml:space="preserve">Editors use task-specific actions: </w:t>
      </w:r>
      <w:r>
        <w:rPr>
          <w:rStyle w:val="Strong"/>
        </w:rPr>
        <w:t>Create Sight</w:t>
      </w:r>
      <w:r>
        <w:rPr/>
        <w:t xml:space="preserve"> or </w:t>
      </w:r>
      <w:r>
        <w:rPr>
          <w:rStyle w:val="Strong"/>
        </w:rPr>
        <w:t>Create Event</w:t>
      </w:r>
      <w:r>
        <w:rPr/>
        <w:t xml:space="preserve"> for new records, and </w:t>
      </w:r>
      <w:r>
        <w:rPr>
          <w:rStyle w:val="Strong"/>
        </w:rPr>
        <w:t>Save Changes</w:t>
      </w:r>
      <w:r>
        <w:rPr/>
        <w:t xml:space="preserve"> when editing an existing record. </w:t>
      </w:r>
      <w:r>
        <w:rPr>
          <w:rStyle w:val="Strong"/>
        </w:rPr>
        <w:t>Cancel</w:t>
      </w:r>
      <w:r>
        <w:rPr/>
        <w:t xml:space="preserve"> discards edits. If an editor contains unsaved changes, closing it with the window close button asks for confirmation before discarding them. Read-only and workbench windows use </w:t>
      </w:r>
      <w:r>
        <w:rPr>
          <w:rStyle w:val="Strong"/>
        </w:rPr>
        <w:t>Close</w:t>
      </w:r>
      <w:r>
        <w:rPr/>
        <w:t>. Substantial resizable tool windows remember their size and position, and are brought back onto a visible display if the monitor layout later changes.</w:t>
      </w:r>
    </w:p>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BodyText"/>
        <w:bidi w:val="0"/>
        <w:rPr/>
      </w:pPr>
      <w:r>
        <w:rPr>
          <w:rStyle w:val="Strong"/>
        </w:rPr>
        <w:t>Remarks</w:t>
      </w:r>
      <w:r>
        <w:rPr/>
        <w:t xml:space="preserve"> stores a short note with an observation without altering its calculation. Enter it on the Sight Properties Parameters tab or in the Horizon Event editor. It is also shown in the main list.</w:t>
      </w:r>
    </w:p>
    <w:p>
      <w:pPr>
        <w:pStyle w:val="BodyText"/>
        <w:bidi w:val="0"/>
        <w:rPr/>
      </w:pPr>
      <w:r>
        <w:rPr/>
        <w:t xml:space="preserve">The current log is saved automatically in </w:t>
      </w:r>
      <w:r>
        <w:rPr>
          <w:rStyle w:val="SourceText"/>
        </w:rPr>
        <w:t>Sights.xml</w:t>
      </w:r>
      <w:r>
        <w:rPr/>
        <w:t xml:space="preserve">. </w:t>
      </w:r>
      <w:r>
        <w:rPr>
          <w:rStyle w:val="Strong"/>
        </w:rPr>
        <w:t>Manage Sights… → Save backup of all sights...</w:t>
      </w:r>
      <w:r>
        <w:rPr/>
        <w:t xml:space="preserve"> offers a dated XML copy, initially in Downloads; choose another location if preferred. </w:t>
      </w:r>
      <w:r>
        <w:rPr>
          <w:rStyle w:val="Strong"/>
        </w:rPr>
        <w:t>Import sights (add to current log)...</w:t>
      </w:r>
      <w:r>
        <w:rPr/>
        <w:t xml:space="preserve"> adds sights and saved lunar solutions from another log and requires the same global clock correction. </w:t>
      </w:r>
      <w:r>
        <w:rPr>
          <w:rStyle w:val="Strong"/>
        </w:rPr>
        <w:t>Restore sights (replace current log)...</w:t>
      </w:r>
      <w:r>
        <w:rPr/>
        <w:t xml:space="preserve"> replaces both the log and its clock correction. Both operations validate the file and save a dated safety backup before changing the current log. Older files open with empty Remarks; older plugin versions may discard remarks when rewriting a newer file, so retain a backup before returning to an older version.</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 xml:space="preserve">Use the panel to decide how much confidence to place in a captured time and to synchronise a deck watch. Use </w:t>
      </w:r>
      <w:r>
        <w:rPr>
          <w:rStyle w:val="Strong"/>
        </w:rPr>
        <w:t>Hide Time</w:t>
      </w:r>
      <w:r>
        <w:rPr/>
        <w:t xml:space="preserve"> and </w:t>
      </w:r>
      <w:r>
        <w:rPr>
          <w:rStyle w:val="Strong"/>
        </w:rPr>
        <w:t>Show Time</w:t>
      </w:r>
      <w:r>
        <w:rPr/>
        <w:t xml:space="preserve"> to hide or restore the Time integrity panel when screen space is limited; this does not change the solver's time corrections.</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 The zone controls are enabled only when ship-zone input or fixed-offset display uses them. A temporarily blank or invalid offset retains the last valid value rather than silently becoming the western limit.</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 The bold </w:t>
      </w:r>
      <w:r>
        <w:rPr>
          <w:rStyle w:val="Strong"/>
        </w:rPr>
        <w:t>Resolved UTC</w:t>
      </w:r>
      <w:r>
        <w:rPr/>
        <w:t xml:space="preserve"> line is the authoritative instant shared by every planner tab, independent of entry or display format.</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xml:space="preserve">. Eye height is reloaded from the main plugin defaults each time. Related fields stay together when the header wraps. </w:t>
      </w:r>
      <w:r>
        <w:rPr>
          <w:rStyle w:val="Strong"/>
        </w:rPr>
        <w:t>−1 h</w:t>
      </w:r>
      <w:r>
        <w:rPr/>
        <w:t xml:space="preserve"> and </w:t>
      </w:r>
      <w:r>
        <w:rPr>
          <w:rStyle w:val="Strong"/>
        </w:rPr>
        <w:t>+1 h</w:t>
      </w:r>
      <w:r>
        <w:rPr/>
        <w:t xml:space="preserve"> step the complete sky by one UTC hour, switching to manual time. With a moving observer, the entered position advances too and switches to Manual.</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 The schedule always covers the UTC civil day containing the resolved planning instant; local display dates may therefore differ near the date line.</w:t>
      </w:r>
    </w:p>
    <w:p>
      <w:pPr>
        <w:pStyle w:val="Heading2"/>
        <w:bidi w:val="0"/>
        <w:rPr/>
      </w:pPr>
      <w:r>
        <w:rPr/>
        <w:t>9.3 Bodies &amp; Best Sights</w:t>
      </w:r>
    </w:p>
    <w:p>
      <w:pPr>
        <w:pStyle w:val="BodyText"/>
        <w:bidi w:val="0"/>
        <w:rPr/>
      </w:pPr>
      <w:r>
        <w:rPr/>
        <w:t xml:space="preserve">Choose a planning mode: </w:t>
      </w:r>
      <w:r>
        <w:rPr>
          <w:rStyle w:val="Strong"/>
        </w:rPr>
        <w:t>Practical Fix</w:t>
      </w:r>
      <w:r>
        <w:rPr/>
        <w:t xml:space="preserve"> favours observable bodies and pair/triad geometry; </w:t>
      </w:r>
      <w:r>
        <w:rPr>
          <w:rStyle w:val="Strong"/>
        </w:rPr>
        <w:t>Bright Bodies</w:t>
      </w:r>
      <w:r>
        <w:rPr/>
        <w:t xml:space="preserve"> puts brightness first; </w:t>
      </w:r>
      <w:r>
        <w:rPr>
          <w:rStyle w:val="Strong"/>
        </w:rPr>
        <w:t>Lunar Candidates</w:t>
      </w:r>
      <w:r>
        <w:rPr/>
        <w:t xml:space="preserve"> compares potential companions with the Moon; </w:t>
      </w:r>
      <w:r>
        <w:rPr>
          <w:rStyle w:val="Strong"/>
        </w:rPr>
        <w:t>Show All</w:t>
      </w:r>
      <w:r>
        <w:rPr/>
        <w:t xml:space="preserve"> lists bodies alphabetically.</w:t>
      </w:r>
    </w:p>
    <w:p>
      <w:pPr>
        <w:pStyle w:val="BodyText"/>
        <w:bidi w:val="0"/>
        <w:rPr/>
      </w:pPr>
      <w:r>
        <w:rPr/>
        <w:t xml:space="preserve">The full body list remains available in each mode. It includes bodies above the geometric horizon; </w:t>
      </w:r>
      <w:r>
        <w:rPr>
          <w:rStyle w:val="Strong"/>
        </w:rPr>
        <w:t>Include below-horizon bodies</w:t>
      </w:r>
      <w:r>
        <w:rPr/>
        <w:t xml:space="preserve"> adds the rest. Click a column heading to sort it and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above-horizon body eligible for recommendations. All eligible bodies are considered for pair/triad geometry. Three-body fixes are listed first. Polaris remains available in the body list and latitude helper; enable </w:t>
      </w:r>
      <w:r>
        <w:rPr>
          <w:rStyle w:val="Strong"/>
        </w:rPr>
        <w:t>Include Polaris in fixes</w:t>
      </w:r>
      <w:r>
        <w:rPr/>
        <w:t xml:space="preserve"> to include its mainly latitude constraint in recommendations with other suitable bearings. Daylight stars remain listed but are excluded from recommended fixes.</w:t>
      </w:r>
    </w:p>
    <w:p>
      <w:pPr>
        <w:pStyle w:val="BodyText"/>
        <w:bidi w:val="0"/>
        <w:rPr/>
      </w:pPr>
      <w:r>
        <w:rPr>
          <w:rStyle w:val="Strong"/>
        </w:rPr>
        <w:t>Lunar Candidates</w:t>
      </w:r>
      <w:r>
        <w:rPr/>
        <w:t xml:space="preserve"> shows geocentric Moon-body distance, signed distance rate, seconds represented by 0.1′, companion magnitude and ecliptic latitude, altitudes, bearings, illumination and guidance. A positive rate means increasing distance. Both planners initially offer </w:t>
      </w:r>
      <w:r>
        <w:rPr>
          <w:rStyle w:val="Strong"/>
        </w:rPr>
        <w:t>Traditional lunar companions</w:t>
      </w:r>
      <w:r>
        <w:rPr/>
        <w:t xml:space="preserve">: Sun, Venus, Mars, Jupiter, Saturn, Aldebaran, Altair, Antares, Fomalhaut, Hamal, Markab, Pollux, Regulus and Spica. Choose </w:t>
      </w:r>
      <w:r>
        <w:rPr>
          <w:rStyle w:val="Strong"/>
        </w:rPr>
        <w:t>All calculated companions</w:t>
      </w:r>
      <w:r>
        <w:rPr/>
        <w:t xml:space="preserve"> to compare other bodies; the general body list is unaffected.</w:t>
      </w:r>
    </w:p>
    <w:p>
      <w:pPr>
        <w:pStyle w:val="BodyText"/>
        <w:bidi w:val="0"/>
        <w:rPr/>
      </w:pPr>
      <w:r>
        <w:rPr/>
        <w:t xml:space="preserve">The practical lunar order prefers fewer cautions, then brighter companions, then timing sensitivity. Choose </w:t>
      </w:r>
      <w:r>
        <w:rPr>
          <w:rStyle w:val="Strong"/>
        </w:rPr>
        <w:t>Lunar order: timing sensitivity</w:t>
      </w:r>
      <w:r>
        <w:rPr/>
        <w:t xml:space="preserve"> to put timing first. Below-horizon pairs remain last. Cautions flag altitude outside 10°–75°, distance outside 20°–100°, absolute rate below 10′/hour, companion magnitude above 1.5, or Sun above −6° for companions fainter than magnitude −2. Ecliptic latitude is context, not an extra penalty on the actual distance rate. The 0.1′ time describes distance sensitivity alone, not the uncertainty of a complete lunar observation or position solution.</w:t>
      </w:r>
    </w:p>
    <w:p>
      <w:pPr>
        <w:pStyle w:val="BodyText"/>
        <w:bidi w:val="0"/>
        <w:rPr/>
      </w:pPr>
      <w:r>
        <w:rPr/>
        <w:t xml:space="preserve">Select a companion in </w:t>
      </w:r>
      <w:r>
        <w:rPr>
          <w:rStyle w:val="Strong"/>
        </w:rPr>
        <w:t>All bodies</w:t>
      </w:r>
      <w:r>
        <w:rPr/>
        <w:t xml:space="preserve">, then choose </w:t>
      </w:r>
      <w:r>
        <w:rPr>
          <w:rStyle w:val="Strong"/>
        </w:rPr>
        <w:t>Lunar windows for selected body…</w:t>
      </w:r>
      <w:r>
        <w:rPr/>
        <w:t xml:space="preserve"> to search the next 24 hours in 10-minute samples. Results show intervals meeting the above preferences and the best sampled timing within each interval. The search uses the entered moving-observer course and speed when enabled. Boundaries are approximate; an empty result does not prove that the pair cannot be observed.</w:t>
      </w:r>
    </w:p>
    <w:p>
      <w:pPr>
        <w:pStyle w:val="BodyText"/>
        <w:bidi w:val="0"/>
        <w:rPr/>
      </w:pPr>
      <w:r>
        <w:rPr/>
        <w:t xml:space="preserve">The </w:t>
      </w:r>
      <w:r>
        <w:rPr>
          <w:rStyle w:val="Strong"/>
        </w:rPr>
        <w:t>Visibility</w:t>
      </w:r>
      <w:r>
        <w:rPr/>
        <w:t xml:space="preserve"> column gives guidance rather than a probability of seeing a body. </w:t>
      </w:r>
      <w:r>
        <w:rPr>
          <w:rStyle w:val="Strong"/>
        </w:rPr>
        <w:t>Why</w:t>
      </w:r>
      <w:r>
        <w:rPr/>
        <w:t xml:space="preserve"> distinguishes visibility from sextant handling. The internal planning preference combines 75% brightness and sky conditions with 25% altitude handling; it favours moderate altitudes and advises presetting the sextant for high bright stars. Twilight penalises faint stars more than bright ones. Planets receive solar-glare/daylight penalties. Sun, Moon and planet magnitudes are representative values, not current photometry; check Moon phase and glare. Pair crossing angles and triad bearing geometry are assessed separately. Recommendation scores are heuristics, not accuracy estimates.</w:t>
      </w:r>
    </w:p>
    <w:p>
      <w:pPr>
        <w:pStyle w:val="BodyText"/>
        <w:bidi w:val="0"/>
        <w:rPr/>
      </w:pPr>
      <w:r>
        <w:rPr/>
        <w:t xml:space="preserve">The plots have magnitude limits of 1, 2 or 3. </w:t>
      </w:r>
      <w:r>
        <w:rPr>
          <w:rStyle w:val="Strong"/>
        </w:rPr>
        <w:t>Star labels</w:t>
      </w:r>
      <w:r>
        <w:rPr/>
        <w:t xml:space="preserve"> offers </w:t>
      </w:r>
      <w:r>
        <w:rPr>
          <w:rStyle w:val="Strong"/>
        </w:rPr>
        <w:t>Sparse</w:t>
      </w:r>
      <w:r>
        <w:rPr/>
        <w:t xml:space="preserve">, </w:t>
      </w:r>
      <w:r>
        <w:rPr>
          <w:rStyle w:val="Strong"/>
        </w:rPr>
        <w:t>Balanced</w:t>
      </w:r>
      <w:r>
        <w:rPr/>
        <w:t xml:space="preserve"> (default) and </w:t>
      </w:r>
      <w:r>
        <w:rPr>
          <w:rStyle w:val="Strong"/>
        </w:rPr>
        <w:t>More</w:t>
      </w:r>
      <w:r>
        <w:rPr/>
        <w:t>. Names favour brighter bodies, use the available space and avoid other labels and dots; short leaders identify offset names. The selected body has first priority and remains plotted when above the horizon even if fainter than the magnitude limit. Hover over a dot for its name. More means as many labels as fit, so some crowded dots may remain unnamed. Label density is remembered independently of the magnitude filter.</w:t>
      </w:r>
    </w:p>
    <w:p>
      <w:pPr>
        <w:pStyle w:val="BodyText"/>
        <w:bidi w:val="0"/>
        <w:rPr/>
      </w:pPr>
      <w:r>
        <w:rPr>
          <w:rStyle w:val="Strong"/>
        </w:rPr>
        <w:t>Local sky</w:t>
      </w:r>
      <w:r>
        <w:rPr/>
        <w:t xml:space="preserve"> shows altitude and true bearing at the selected instant. Sun symbols are yellow, Moon blue, planets red; daylight stars are grey and below-horizon bodies hollow. </w:t>
      </w:r>
      <w:r>
        <w:rPr>
          <w:rStyle w:val="Strong"/>
        </w:rPr>
        <w:t>Show ecliptic</w:t>
      </w:r>
      <w:r>
        <w:rPr/>
        <w:t xml:space="preserve"> draws the amber reference at that same instant. The blue </w:t>
      </w:r>
      <w:r>
        <w:rPr>
          <w:rStyle w:val="Strong"/>
        </w:rPr>
        <w:t>Show Moon path</w:t>
      </w:r>
      <w:r>
        <w:rPr/>
        <w:t xml:space="preserve"> overlay is available only on </w:t>
      </w:r>
      <w:r>
        <w:rPr>
          <w:rStyle w:val="Strong"/>
        </w:rPr>
        <w:t>SHA / Declination</w:t>
      </w:r>
      <w:r>
        <w:rPr/>
        <w:t>, where it shows motion relative to the stars over ±3, ±6 or ±12 hours with UTC labels at the start, selected time and end. Use the hour-step buttons to move the whole local sky together. The SHA chart includes the polar regions through ±90°.</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body GHA, SHA, declination, GHA Aries, local hour angle of Aries, Hc and true Zn for the selected position/time context. Longitude is signed east-positive, so local hour angle is </w:t>
      </w:r>
      <w:r>
        <w:rPr>
          <w:rStyle w:val="SourceText"/>
        </w:rPr>
        <w:t>GHA + longitude</w:t>
      </w:r>
      <w:r>
        <w:rPr/>
        <w:t xml:space="preserve">, wrapped to 0–360°. </w:t>
      </w:r>
      <w:r>
        <w:rPr>
          <w:rStyle w:val="Strong"/>
        </w:rPr>
        <w:t>Export CSV…</w:t>
      </w:r>
      <w:r>
        <w:rPr/>
        <w:t xml:space="preserve"> creates the same columns in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and show the sights to include. </w:t>
      </w:r>
    </w:p>
    <w:p>
      <w:pPr>
        <w:pStyle w:val="BodyText"/>
        <w:numPr>
          <w:ilvl w:val="0"/>
          <w:numId w:val="11"/>
        </w:numPr>
        <w:tabs>
          <w:tab w:val="clear" w:pos="1134"/>
          <w:tab w:val="left" w:pos="709" w:leader="none"/>
        </w:tabs>
        <w:bidi w:val="0"/>
        <w:spacing w:before="0" w:after="0"/>
        <w:ind w:hanging="283" w:start="709"/>
        <w:rPr/>
      </w:pPr>
      <w:r>
        <w:rPr/>
        <w:t xml:space="preserve">Open </w:t>
      </w:r>
      <w:r>
        <w:rPr>
          <w:rStyle w:val="Strong"/>
        </w:rPr>
        <w:t>Fix…</w:t>
      </w:r>
      <w:r>
        <w:rPr/>
        <w:t xml:space="preserve"> and enable </w:t>
      </w:r>
      <w:r>
        <w:rPr>
          <w:rStyle w:val="Strong"/>
        </w:rPr>
        <w:t>Propagate every sight to a common epoch</w:t>
      </w:r>
      <w:r>
        <w:rPr/>
        <w:t xml:space="preserve">. </w:t>
      </w:r>
    </w:p>
    <w:p>
      <w:pPr>
        <w:pStyle w:val="BodyText"/>
        <w:numPr>
          <w:ilvl w:val="0"/>
          <w:numId w:val="11"/>
        </w:numPr>
        <w:tabs>
          <w:tab w:val="clear" w:pos="1134"/>
          <w:tab w:val="left" w:pos="709" w:leader="none"/>
        </w:tabs>
        <w:bidi w:val="0"/>
        <w:spacing w:before="0" w:after="0"/>
        <w:ind w:hanging="283" w:start="709"/>
        <w:rPr/>
      </w:pPr>
      <w:r>
        <w:rPr/>
        <w:t xml:space="preserve">Choose the reference epoch with its date, time and UTC or computer-local time basis. Normally this is the latest observation's corrected UTC. </w:t>
      </w:r>
    </w:p>
    <w:p>
      <w:pPr>
        <w:pStyle w:val="BodyText"/>
        <w:numPr>
          <w:ilvl w:val="0"/>
          <w:numId w:val="11"/>
        </w:numPr>
        <w:tabs>
          <w:tab w:val="clear" w:pos="1134"/>
          <w:tab w:val="left" w:pos="709" w:leader="none"/>
        </w:tabs>
        <w:bidi w:val="0"/>
        <w:spacing w:before="0" w:after="0"/>
        <w:ind w:hanging="283" w:start="709"/>
        <w:rPr/>
      </w:pPr>
      <w:r>
        <w:rPr/>
        <w:t xml:space="preserve">Select </w:t>
      </w:r>
      <w:r>
        <w:rPr>
          <w:rStyle w:val="Strong"/>
        </w:rPr>
        <w:t>One COG and SOG</w:t>
      </w:r>
      <w:r>
        <w:rPr/>
        <w:t xml:space="preserve"> for constant vessel motion, or </w:t>
      </w:r>
      <w:r>
        <w:rPr>
          <w:rStyle w:val="Strong"/>
        </w:rPr>
        <w:t>Each sight's DR Shift</w:t>
      </w:r>
      <w:r>
        <w:rPr/>
        <w:t xml:space="preserve"> for individually recorded displacements. </w:t>
      </w:r>
    </w:p>
    <w:p>
      <w:pPr>
        <w:pStyle w:val="BodyText"/>
        <w:numPr>
          <w:ilvl w:val="0"/>
          <w:numId w:val="11"/>
        </w:numPr>
        <w:tabs>
          <w:tab w:val="clear" w:pos="1134"/>
          <w:tab w:val="left" w:pos="709" w:leader="none"/>
        </w:tabs>
        <w:bidi w:val="0"/>
        <w:ind w:hanging="283" w:start="709"/>
        <w:rPr/>
      </w:pPr>
      <w:r>
        <w:rPr/>
        <w:t xml:space="preserve">Solve and inspect the included inputs, residuals, RMS and formal uncertainty ellipse. </w:t>
      </w:r>
    </w:p>
    <w:p>
      <w:pPr>
        <w:pStyle w:val="BodyText"/>
        <w:bidi w:val="0"/>
        <w:rPr/>
      </w:pPr>
      <w:r>
        <w:rPr/>
        <w:t xml:space="preserve">With </w:t>
      </w:r>
      <w:r>
        <w:rPr>
          <w:rStyle w:val="Strong"/>
        </w:rPr>
        <w:t>One COG and SOG</w:t>
      </w:r>
      <w:r>
        <w:rPr/>
        <w:t xml:space="preserve">, enter the best available true course and speed; the solver ignores saved per-sight shifts. With </w:t>
      </w:r>
      <w:r>
        <w:rPr>
          <w:rStyle w:val="Strong"/>
        </w:rPr>
        <w:t>Each sight's DR Shift</w:t>
      </w:r>
      <w:r>
        <w:rPr/>
        <w:t>, enter each sight's distance and bearing travelled from that observation to the chosen epoch, using its DR Shift tab. The latest sight normally has zero shift. This supports changes of course or speed; the common COG/SOG controls are disabled and are not added again.</w:t>
      </w:r>
    </w:p>
    <w:p>
      <w:pPr>
        <w:pStyle w:val="BodyText"/>
        <w:bidi w:val="0"/>
        <w:rPr/>
      </w:pPr>
      <w:r>
        <w:rPr/>
        <w:t>If any visible altitude or horizon sight has a non-zero saved shift, opening Fix automatically selects the per-sight mode and the latest visible sight's corrected UTC. Confirm that all shifts actually refer to that epoch, especially after changing the epoch. The results table shows the saved distance, whether the bearing is magnetic or true, and the true bearing used. These inputs stay visible even if the solution fails. With no saved shifts, the dialog retains its stationary default. Stationary plane/sphere/cone algorithms exclude shifted sights and report that exclusion; enable the running-fix option to use them.</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by solving for solar local hour angle zero at the time-dependent observer position; it does not merely sample for the highest displayed altitude.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It displays the predicted Hc and does not offer a solution when Polaris is below the geometric horizon.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 xml:space="preserve">When its checksum-verified local JPL DE440s kernel is installed and covers the sight date, Moon–Sun, Moon–Mercury and Moon–Venus calculations use it. Moon–star and other Moon–planet calculations use the bundled Compact engine by default for 1972–2100. Compact also supplies the fallback when DE440s is unavailable. In Lunar Tools → Advanced, disable </w:t>
      </w:r>
      <w:r>
        <w:rPr>
          <w:rStyle w:val="Strong"/>
        </w:rPr>
        <w:t>Use compact analytical fallback (recommended)</w:t>
      </w:r>
      <w:r>
        <w:rPr/>
        <w:t xml:space="preserve"> to retain classic analytical calculations. Classic also handles dates outside Compact coverage or unavailable Compact data. The corrected lunar solver remains active with every provider, and the result identifies the source used. DE440s is optional for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bidi w:val="0"/>
        <w:rPr/>
      </w:pPr>
      <w:r>
        <w:rPr>
          <w:rStyle w:val="Strong"/>
        </w:rPr>
        <w:t>2.8.5.2 precision update:</w:t>
      </w:r>
      <w:r>
        <w:rPr/>
        <w:t xml:space="preserve"> the DE440 Sun–Moon solver now uses observer-specific light time and annual/diurnal aberration. Bundled IERS Earth-rotation data (DUT1, the difference between UT1 and UTC) already supports high-accuracy offline calculations. Under </w:t>
      </w:r>
      <w:r>
        <w:rPr>
          <w:rStyle w:val="Strong"/>
        </w:rPr>
        <w:t>Lunar Tools → Advanced</w:t>
      </w:r>
      <w:r>
        <w:rPr/>
        <w:t xml:space="preserve">, </w:t>
      </w:r>
      <w:r>
        <w:rPr>
          <w:rStyle w:val="Strong"/>
        </w:rPr>
        <w:t>Check / download update…</w:t>
      </w:r>
      <w:r>
        <w:rPr/>
        <w:t xml:space="preserve"> optionally retrieves and validates the latest official table; </w:t>
      </w:r>
      <w:r>
        <w:rPr>
          <w:rStyle w:val="Strong"/>
        </w:rPr>
        <w:t>Import local file…</w:t>
      </w:r>
      <w:r>
        <w:rPr/>
        <w:t xml:space="preserve"> accepts the same </w:t>
      </w:r>
      <w:r>
        <w:rPr>
          <w:rStyle w:val="SourceText"/>
        </w:rPr>
        <w:t>finals2000A.all</w:t>
      </w:r>
      <w:r>
        <w:rPr/>
        <w:t xml:space="preserve"> file transferred from another computer. No compiler or restart is required. Startup and solving never download data.</w:t>
      </w:r>
    </w:p>
    <w:p>
      <w:pPr>
        <w:pStyle w:val="BodyText"/>
        <w:bidi w:val="0"/>
        <w:rPr/>
      </w:pPr>
      <w:r>
        <w:rPr/>
        <w:t xml:space="preserve">The Advanced tab shows coverage. Each sight uses its own date. Beyond all available data, calculations continue using UT1 = UTC with a reduced-accuracy warning: </w:t>
      </w:r>
      <w:r>
        <w:rPr>
          <w:rStyle w:val="Strong"/>
        </w:rPr>
        <w:t>there is no expiry lockout</w:t>
      </w:r>
      <w:r>
        <w:rPr/>
        <w:t>. Failed updates retain existing data. The bundled September 2027 endpoint is not a plugin end date. Recorded observations remain unchanged.</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rStyle w:val="Strong"/>
        </w:rPr>
        <w:t>UTC search span:</w:t>
      </w:r>
      <w:r>
        <w:rPr/>
        <w:t xml:space="preserve"> a new lunar sight defaults to 86,400 seconds, searching 12 hours either side of its entered watch time. Older saved sights can retain narrower spans. If no UTC solution is found, first check the observation, limbs and watch reading; then widen the span if the true UTC may lie outside it. This changes the times searched, not the recorded observation or its measurement uncertainty. A wider span can also reveal additional candidate solutions.</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uses the same default ordering and optional timing-first choice as </w:t>
      </w:r>
      <w:r>
        <w:rPr>
          <w:rStyle w:val="Strong"/>
        </w:rPr>
        <w:t>Bodies &amp; Best Sights</w:t>
      </w:r>
      <w:r>
        <w:rPr/>
        <w:t>, with below-horizon pairs last and the same traditional/all-companion choice. It shows centre separation, signed distance rate in arcminutes per hour, Moon/body altitude and true azimuth, Moon illumination, body magnitude and which body is below the geometric horizon. A small time value indicates greater timing sensitivity. There is no combined quality score: use the measured quantities to assess visibility, sextant range and whether the pair is practical to observe.</w:t>
      </w:r>
    </w:p>
    <w:p>
      <w:pPr>
        <w:pStyle w:val="BodyText"/>
        <w:bidi w:val="0"/>
        <w:rPr/>
      </w:pPr>
      <w:r>
        <w:rPr/>
        <w:t>In 2.9.0 this table also shows the companion's signed ecliptic latitude and guidance derived from the same planning model as the main planner.</w:t>
      </w:r>
    </w:p>
    <w:p>
      <w:pPr>
        <w:pStyle w:val="BodyText"/>
        <w:bidi w:val="0"/>
        <w:rPr/>
      </w:pPr>
      <w:r>
        <w:rPr/>
        <w:t xml:space="preserve">When a lunar solution reports several candidate UTCs, even very close values are </w:t>
      </w:r>
      <w:r>
        <w:rPr>
          <w:rStyle w:val="Strong"/>
        </w:rPr>
        <w:t>unresolved alternatives, not measurements to average</w:t>
      </w:r>
      <w:r>
        <w:rPr/>
        <w:t>. Use another observation or independent position/time evidence to distinguish them. A preferred candidate chosen by proximity to DR or entered UTC does not establish that the ambiguity has been resolved.</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raw sextant readings, their independently measured index error, uncertainty and any shade/note. The displayed residual is </w:t>
      </w:r>
      <w:r>
        <w:rPr>
          <w:rStyle w:val="Emphasis"/>
        </w:rPr>
        <w:t>predicted apparent minus index-corrected observed</w:t>
      </w:r>
      <w:r>
        <w:rPr/>
        <w:t>: add it only after applying index error.</w:t>
      </w:r>
    </w:p>
    <w:p>
      <w:pPr>
        <w:pStyle w:val="BodyText"/>
        <w:bidi w:val="0"/>
        <w:rPr/>
      </w:pPr>
      <w:r>
        <w:rPr/>
        <w:t xml:space="preserve">The editable </w:t>
      </w:r>
      <w:r>
        <w:rPr>
          <w:rStyle w:val="Strong"/>
        </w:rPr>
        <w:t>Measured IE (on arc +)</w:t>
      </w:r>
      <w:r>
        <w:rPr/>
        <w:t xml:space="preserve"> field starts with the current sight default. Enter an independently measured index error for the session. The raw observation is retained and the index-corrected apparent angle is </w:t>
      </w:r>
      <w:r>
        <w:rPr>
          <w:rStyle w:val="Emphasis"/>
        </w:rPr>
        <w:t>raw minus IE</w:t>
      </w:r>
      <w:r>
        <w:rPr/>
        <w:t>. The residual shown and saved in a new profile therefore describes scale/centering behaviour after index error, preventing the same index correction from being applied twice.</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residual correction points, uncertainty, repeatability, instrument name and serial number in the plugin configuration. Select a saved profile to display its interpolated correction after the entered index error.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 Profiles saved by older versions remain labelled as legacy total corrections: apply those directly to raw readings and do not apply index error separately.</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rStyle w:val="Strong"/>
        </w:rPr>
        <w:t>Reading the chart:</w:t>
      </w:r>
      <w:r>
        <w:rPr/>
        <w:t xml:space="preserve"> the event time supplies an altitude line of position (LOP), with a band for the entered time and horizon uncertainty. An optional bearing adds nominal candidate markers along that LOP. There can be two valid positions, often in different hemispheres: use dead reckoning or other sights to distinguish them. Neither marker is a fix or a confidence area. The Fix dialog uses the time-based altitude constraint, not the optional bearing. A bearing uncertainty in degrees cannot be converted into a fixed nautical-mile radius; near weak geometry, small bearing changes can move a candidate hundreds of miles. The former filled circular estimate has been removed because it did not represent that uncertainty.</w:t>
      </w:r>
    </w:p>
    <w:p>
      <w:pPr>
        <w:pStyle w:val="BodyText"/>
        <w:bidi w:val="0"/>
        <w:rPr/>
      </w:pPr>
      <w:r>
        <w:rPr>
          <w:rStyle w:val="Strong"/>
        </w:rPr>
        <w:t>UTC dates and a moving vessel:</w:t>
      </w:r>
      <w:r>
        <w:rPr/>
        <w:t xml:space="preserve"> order observations by their full UTC date and time. Near Hawaii, a sunset at 05:55 UTC on 16 July is the previous local evening, before a sunrise at 16:51 UTC on 16 July. The sunset after that sunrise normally has the next UTC date. When combining events on a moving vessel, enable a running fix and enter the vessel's course and speed to propagate each observation to a common epoch. The observed Sun bearing is an azimuth constraint to a distant celestial body, not a straight terrestrial bearing line drawn through an assumed boat position.</w:t>
      </w:r>
    </w:p>
    <w:p>
      <w:pPr>
        <w:pStyle w:val="BodyText"/>
        <w:bidi w:val="0"/>
        <w:rPr/>
      </w:pPr>
      <w:r>
        <w:rPr>
          <w:rStyle w:val="Strong"/>
        </w:rPr>
        <w:t>Basis of the method:</w:t>
      </w:r>
      <w:r>
        <w:rPr/>
        <w:t xml:space="preserve"> this is an equal-altitude observation at upper-limb contact with the visible sea horizon. It uses the usual astronomical triangle with dip, refraction, solar semidiameter and parallax corrections. It is not a separate precision-fix method. The </w:t>
      </w:r>
      <w:hyperlink r:id="rId11">
        <w:r>
          <w:rPr>
            <w:rStyle w:val="Hyperlink"/>
          </w:rPr>
          <w:t>US Naval Observatory's rise/set definitions</w:t>
        </w:r>
      </w:hyperlink>
      <w:r>
        <w:rPr/>
        <w:t xml:space="preserve"> explain upper-limb contact and the conventional near-horizon refraction. Actual refraction varies; a sub-arcminute horizon uncertainty is usually too optimistic.</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2"/>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rStyle w:val="Strong"/>
        </w:rPr>
        <w:t>2.8.5.3:</w:t>
      </w:r>
      <w:r>
        <w:rPr/>
        <w:t xml:space="preserve"> sea-horizon mode accepts zero or negative dip-corrected angles, while requiring the index-corrected observed top to be on or above the visible horizon. Waterline mode still requires a positive angle. Choose the baseline actually measured; modes and raw readings are never changed automatically. Both range methods require the target top above the observer; waterline mode also requires positive eye height. Lower targets with potentially ambiguous ranges are not supported.</w:t>
      </w:r>
    </w:p>
    <w:p>
      <w:pPr>
        <w:pStyle w:val="BodyText"/>
        <w:bidi w:val="0"/>
        <w:rPr/>
      </w:pPr>
      <w:r>
        <w:rPr/>
        <w:t>The visibility guide estimates the observer's horizon, the target's geographic range, and the waterline-to-top angle at the waterline horizon. These standard-refraction estimates are not a guarantee of visibility or a light's luminous range. A zero dip-corrected angle is not the maximum visibility distance. Use the height of the feature actually sighted (for example, focal height rather than tower height), and express water level relative to the same height datum. Negative water levels are allowed.</w:t>
      </w:r>
    </w:p>
    <w:p>
      <w:pPr>
        <w:pStyle w:val="BodyText"/>
        <w:bidi w:val="0"/>
        <w:rPr/>
      </w:pPr>
      <w:r>
        <w:rPr>
          <w:rStyle w:val="Strong"/>
        </w:rPr>
        <w:t>Select target waypoint...</w:t>
      </w:r>
      <w:r>
        <w:rPr/>
        <w:t xml:space="preserve"> copies coordinates from the searchable OpenCPN waypoint/mark list. They remain editable; target height must be checked separately. Cancelling leaves the observation unchanged.</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The left, centre and right waypoint buttons fill the corresponding coordinates. Check coordinates when names repeat. Angular uncertainty is entered in </w:t>
      </w:r>
      <w:r>
        <w:rPr>
          <w:rStyle w:val="Strong"/>
        </w:rPr>
        <w:t>arcminutes</w:t>
      </w:r>
      <w:r>
        <w:rPr/>
        <w:t xml:space="preserve"> (60 arcminutes = 1 degree). The result is formal angular-input uncertainty, not total fix accuracy: it excludes landmark-coordinate errors, misidentification, shared instrument errors and unmodelled motion. Increasing this uncertainty changes the estimate, not the best-fit position. Dedicated radar-bearing/range entry is not implemented; a radar range is not a vertical-angle observation.</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The Eclipse window displays the local astronomy-data directory and expected filenames: </w:t>
      </w:r>
      <w:r>
        <w:rPr>
          <w:rStyle w:val="SourceText"/>
        </w:rPr>
        <w:t>de440s.bsp</w:t>
      </w:r>
      <w:r>
        <w:rPr/>
        <w:t xml:space="preserve">, </w:t>
      </w:r>
      <w:r>
        <w:rPr>
          <w:rStyle w:val="SourceText"/>
        </w:rPr>
        <w:t>moon_pa_de440_200625.bpc</w:t>
      </w:r>
      <w:r>
        <w:rPr/>
        <w:t xml:space="preserve"> and </w:t>
      </w:r>
      <w:r>
        <w:rPr>
          <w:rStyle w:val="SourceText"/>
        </w:rPr>
        <w:t>lola64-pa.bin</w:t>
      </w:r>
      <w:r>
        <w:rPr/>
        <w:t xml:space="preserve">. </w:t>
      </w:r>
      <w:r>
        <w:rPr>
          <w:rStyle w:val="Strong"/>
        </w:rPr>
        <w:t>Open astronomy data folder…</w:t>
      </w:r>
      <w:r>
        <w:rPr/>
        <w:t xml:space="preserve"> opens that directory. Use the import controls to install and verify downloaded files; merely placing a file there does not establish that it is valid.</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to locate the circle, then restore the observation's honest uncertainty;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and avoid overlaps. Choose Balanced or More, enlarge the planner, hover over a dot, or select its body in the table to give its name priority.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No lunar UTC solution is found</w:t>
            </w:r>
          </w:p>
        </w:tc>
        <w:tc>
          <w:tcPr>
            <w:tcW w:w="6780" w:type="dxa"/>
            <w:tcBorders/>
            <w:vAlign w:val="center"/>
          </w:tcPr>
          <w:p>
            <w:pPr>
              <w:pStyle w:val="TableContents"/>
              <w:bidi w:val="0"/>
              <w:spacing w:before="0" w:after="283"/>
              <w:rPr/>
            </w:pPr>
            <w:r>
              <w:rPr/>
              <w:t>Check watch reading, date, lunar distance, contact/limbs and altitudes. An older sight may retain a narrow UTC search span; widen it if the true time may lie outside the selected interval. Angular COP width is not the UTC search control.</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9752" w:type="dxa"/>
        <w:jc w:val="start"/>
        <w:tblInd w:w="0" w:type="dxa"/>
        <w:tblLayout w:type="fixed"/>
        <w:tblCellMar>
          <w:top w:w="28" w:type="dxa"/>
          <w:start w:w="28" w:type="dxa"/>
          <w:bottom w:w="28" w:type="dxa"/>
          <w:end w:w="28" w:type="dxa"/>
        </w:tblCellMar>
      </w:tblPr>
      <w:tblGrid>
        <w:gridCol w:w="1351"/>
        <w:gridCol w:w="8401"/>
      </w:tblGrid>
      <w:tr>
        <w:trPr/>
        <w:tc>
          <w:tcPr>
            <w:tcW w:w="1351" w:type="dxa"/>
            <w:tcBorders/>
            <w:vAlign w:val="center"/>
          </w:tcPr>
          <w:p>
            <w:pPr>
              <w:pStyle w:val="TableHeading"/>
              <w:suppressLineNumbers/>
              <w:shd w:fill="17365D" w:val="clear"/>
              <w:bidi w:val="0"/>
              <w:spacing w:before="0" w:after="283"/>
              <w:jc w:val="start"/>
              <w:rPr/>
            </w:pPr>
            <w:r>
              <w:rPr/>
              <w:t>Abbreviation</w:t>
            </w:r>
          </w:p>
        </w:tc>
        <w:tc>
          <w:tcPr>
            <w:tcW w:w="8401" w:type="dxa"/>
            <w:tcBorders/>
            <w:vAlign w:val="center"/>
          </w:tcPr>
          <w:p>
            <w:pPr>
              <w:pStyle w:val="TableHeading"/>
              <w:suppressLineNumbers/>
              <w:shd w:fill="17365D" w:val="clear"/>
              <w:bidi w:val="0"/>
              <w:spacing w:before="0" w:after="283"/>
              <w:jc w:val="start"/>
              <w:rPr/>
            </w:pPr>
            <w:r>
              <w:rPr/>
              <w:t>Expansion and use</w:t>
            </w:r>
          </w:p>
        </w:tc>
      </w:tr>
      <w:tr>
        <w:trPr/>
        <w:tc>
          <w:tcPr>
            <w:tcW w:w="1351" w:type="dxa"/>
            <w:tcBorders/>
            <w:vAlign w:val="center"/>
          </w:tcPr>
          <w:p>
            <w:pPr>
              <w:pStyle w:val="TableContents"/>
              <w:bidi w:val="0"/>
              <w:spacing w:before="0" w:after="283"/>
              <w:rPr/>
            </w:pPr>
            <w:r>
              <w:rPr/>
              <w:t>A4</w:t>
            </w:r>
          </w:p>
        </w:tc>
        <w:tc>
          <w:tcPr>
            <w:tcW w:w="8401" w:type="dxa"/>
            <w:tcBorders/>
            <w:vAlign w:val="center"/>
          </w:tcPr>
          <w:p>
            <w:pPr>
              <w:pStyle w:val="TableContents"/>
              <w:bidi w:val="0"/>
              <w:spacing w:before="0" w:after="283"/>
              <w:rPr/>
            </w:pPr>
            <w:r>
              <w:rPr/>
              <w:t>International standard paper size used for the printable manual.</w:t>
            </w:r>
          </w:p>
        </w:tc>
      </w:tr>
      <w:tr>
        <w:trPr/>
        <w:tc>
          <w:tcPr>
            <w:tcW w:w="1351" w:type="dxa"/>
            <w:tcBorders/>
            <w:vAlign w:val="center"/>
          </w:tcPr>
          <w:p>
            <w:pPr>
              <w:pStyle w:val="TableContents"/>
              <w:bidi w:val="0"/>
              <w:spacing w:before="0" w:after="283"/>
              <w:rPr/>
            </w:pPr>
            <w:r>
              <w:rPr/>
              <w:t>AP</w:t>
            </w:r>
          </w:p>
        </w:tc>
        <w:tc>
          <w:tcPr>
            <w:tcW w:w="8401" w:type="dxa"/>
            <w:tcBorders/>
            <w:vAlign w:val="center"/>
          </w:tcPr>
          <w:p>
            <w:pPr>
              <w:pStyle w:val="TableContents"/>
              <w:bidi w:val="0"/>
              <w:spacing w:before="0" w:after="283"/>
              <w:rPr/>
            </w:pPr>
            <w:r>
              <w:rPr/>
              <w:t>Assumed Position.</w:t>
            </w:r>
          </w:p>
        </w:tc>
      </w:tr>
      <w:tr>
        <w:trPr/>
        <w:tc>
          <w:tcPr>
            <w:tcW w:w="1351" w:type="dxa"/>
            <w:tcBorders/>
            <w:vAlign w:val="center"/>
          </w:tcPr>
          <w:p>
            <w:pPr>
              <w:pStyle w:val="TableContents"/>
              <w:bidi w:val="0"/>
              <w:spacing w:before="0" w:after="283"/>
              <w:rPr/>
            </w:pPr>
            <w:r>
              <w:rPr/>
              <w:t>BIPM</w:t>
            </w:r>
          </w:p>
        </w:tc>
        <w:tc>
          <w:tcPr>
            <w:tcW w:w="8401" w:type="dxa"/>
            <w:tcBorders/>
            <w:vAlign w:val="center"/>
          </w:tcPr>
          <w:p>
            <w:pPr>
              <w:pStyle w:val="TableContents"/>
              <w:bidi w:val="0"/>
              <w:spacing w:before="0" w:after="283"/>
              <w:rPr/>
            </w:pPr>
            <w:r>
              <w:rPr/>
              <w:t>International Bureau of Weights and Measures; maintains international atomic time scales.</w:t>
            </w:r>
          </w:p>
        </w:tc>
      </w:tr>
      <w:tr>
        <w:trPr/>
        <w:tc>
          <w:tcPr>
            <w:tcW w:w="1351" w:type="dxa"/>
            <w:tcBorders/>
            <w:vAlign w:val="center"/>
          </w:tcPr>
          <w:p>
            <w:pPr>
              <w:pStyle w:val="TableContents"/>
              <w:bidi w:val="0"/>
              <w:spacing w:before="0" w:after="283"/>
              <w:rPr/>
            </w:pPr>
            <w:r>
              <w:rPr/>
              <w:t>C1–C4</w:t>
            </w:r>
          </w:p>
        </w:tc>
        <w:tc>
          <w:tcPr>
            <w:tcW w:w="8401" w:type="dxa"/>
            <w:tcBorders/>
            <w:vAlign w:val="center"/>
          </w:tcPr>
          <w:p>
            <w:pPr>
              <w:pStyle w:val="TableContents"/>
              <w:bidi w:val="0"/>
              <w:spacing w:before="0" w:after="283"/>
              <w:rPr/>
            </w:pPr>
            <w:r>
              <w:rPr/>
              <w:t>First through fourth local eclipse contacts.</w:t>
            </w:r>
          </w:p>
        </w:tc>
      </w:tr>
      <w:tr>
        <w:trPr/>
        <w:tc>
          <w:tcPr>
            <w:tcW w:w="1351" w:type="dxa"/>
            <w:tcBorders/>
            <w:vAlign w:val="center"/>
          </w:tcPr>
          <w:p>
            <w:pPr>
              <w:pStyle w:val="TableContents"/>
              <w:bidi w:val="0"/>
              <w:spacing w:before="0" w:after="283"/>
              <w:rPr/>
            </w:pPr>
            <w:r>
              <w:rPr/>
              <w:t>COG</w:t>
            </w:r>
          </w:p>
        </w:tc>
        <w:tc>
          <w:tcPr>
            <w:tcW w:w="8401" w:type="dxa"/>
            <w:tcBorders/>
            <w:vAlign w:val="center"/>
          </w:tcPr>
          <w:p>
            <w:pPr>
              <w:pStyle w:val="TableContents"/>
              <w:bidi w:val="0"/>
              <w:spacing w:before="0" w:after="283"/>
              <w:rPr/>
            </w:pPr>
            <w:r>
              <w:rPr/>
              <w:t>Course Over Ground; use true degrees where the plugin says COG true.</w:t>
            </w:r>
          </w:p>
        </w:tc>
      </w:tr>
      <w:tr>
        <w:trPr/>
        <w:tc>
          <w:tcPr>
            <w:tcW w:w="1351" w:type="dxa"/>
            <w:tcBorders/>
            <w:vAlign w:val="center"/>
          </w:tcPr>
          <w:p>
            <w:pPr>
              <w:pStyle w:val="TableContents"/>
              <w:bidi w:val="0"/>
              <w:spacing w:before="0" w:after="283"/>
              <w:rPr/>
            </w:pPr>
            <w:r>
              <w:rPr/>
              <w:t>COP</w:t>
            </w:r>
          </w:p>
        </w:tc>
        <w:tc>
          <w:tcPr>
            <w:tcW w:w="8401" w:type="dxa"/>
            <w:tcBorders/>
            <w:vAlign w:val="center"/>
          </w:tcPr>
          <w:p>
            <w:pPr>
              <w:pStyle w:val="TableContents"/>
              <w:bidi w:val="0"/>
              <w:spacing w:before="0" w:after="283"/>
              <w:rPr/>
            </w:pPr>
            <w:r>
              <w:rPr/>
              <w:t>Circle of Position.</w:t>
            </w:r>
          </w:p>
        </w:tc>
      </w:tr>
      <w:tr>
        <w:trPr/>
        <w:tc>
          <w:tcPr>
            <w:tcW w:w="1351" w:type="dxa"/>
            <w:tcBorders/>
            <w:vAlign w:val="center"/>
          </w:tcPr>
          <w:p>
            <w:pPr>
              <w:pStyle w:val="TableContents"/>
              <w:bidi w:val="0"/>
              <w:spacing w:before="0" w:after="283"/>
              <w:rPr/>
            </w:pPr>
            <w:r>
              <w:rPr/>
              <w:t>CSV</w:t>
            </w:r>
          </w:p>
        </w:tc>
        <w:tc>
          <w:tcPr>
            <w:tcW w:w="8401" w:type="dxa"/>
            <w:tcBorders/>
            <w:vAlign w:val="center"/>
          </w:tcPr>
          <w:p>
            <w:pPr>
              <w:pStyle w:val="TableContents"/>
              <w:bidi w:val="0"/>
              <w:spacing w:before="0" w:after="283"/>
              <w:rPr/>
            </w:pPr>
            <w:r>
              <w:rPr/>
              <w:t>Comma-Separated Values file.</w:t>
            </w:r>
          </w:p>
        </w:tc>
      </w:tr>
      <w:tr>
        <w:trPr/>
        <w:tc>
          <w:tcPr>
            <w:tcW w:w="1351" w:type="dxa"/>
            <w:tcBorders/>
            <w:vAlign w:val="center"/>
          </w:tcPr>
          <w:p>
            <w:pPr>
              <w:pStyle w:val="TableContents"/>
              <w:bidi w:val="0"/>
              <w:spacing w:before="0" w:after="283"/>
              <w:rPr/>
            </w:pPr>
            <w:r>
              <w:rPr/>
              <w:t>DE440 / DE440s</w:t>
            </w:r>
          </w:p>
        </w:tc>
        <w:tc>
          <w:tcPr>
            <w:tcW w:w="8401" w:type="dxa"/>
            <w:tcBorders/>
            <w:vAlign w:val="center"/>
          </w:tcPr>
          <w:p>
            <w:pPr>
              <w:pStyle w:val="TableContents"/>
              <w:bidi w:val="0"/>
              <w:spacing w:before="0" w:after="283"/>
              <w:rPr/>
            </w:pPr>
            <w:r>
              <w:rPr/>
              <w:t>JPL Development Ephemeris 440 and its compact short-span kernel.</w:t>
            </w:r>
          </w:p>
        </w:tc>
      </w:tr>
      <w:tr>
        <w:trPr/>
        <w:tc>
          <w:tcPr>
            <w:tcW w:w="1351" w:type="dxa"/>
            <w:tcBorders/>
            <w:vAlign w:val="center"/>
          </w:tcPr>
          <w:p>
            <w:pPr>
              <w:pStyle w:val="TableContents"/>
              <w:bidi w:val="0"/>
              <w:spacing w:before="0" w:after="283"/>
              <w:rPr/>
            </w:pPr>
            <w:r>
              <w:rPr/>
              <w:t>Dec, δ</w:t>
            </w:r>
          </w:p>
        </w:tc>
        <w:tc>
          <w:tcPr>
            <w:tcW w:w="8401" w:type="dxa"/>
            <w:tcBorders/>
            <w:vAlign w:val="center"/>
          </w:tcPr>
          <w:p>
            <w:pPr>
              <w:pStyle w:val="TableContents"/>
              <w:bidi w:val="0"/>
              <w:spacing w:before="0" w:after="283"/>
              <w:rPr/>
            </w:pPr>
            <w:r>
              <w:rPr/>
              <w:t>Declination; celestial latitude north or south of the celestial equator.</w:t>
            </w:r>
          </w:p>
        </w:tc>
      </w:tr>
      <w:tr>
        <w:trPr/>
        <w:tc>
          <w:tcPr>
            <w:tcW w:w="1351" w:type="dxa"/>
            <w:tcBorders/>
            <w:vAlign w:val="center"/>
          </w:tcPr>
          <w:p>
            <w:pPr>
              <w:pStyle w:val="TableContents"/>
              <w:bidi w:val="0"/>
              <w:spacing w:before="0" w:after="283"/>
              <w:rPr/>
            </w:pPr>
            <w:r>
              <w:rPr/>
              <w:t>DOCX</w:t>
            </w:r>
          </w:p>
        </w:tc>
        <w:tc>
          <w:tcPr>
            <w:tcW w:w="8401" w:type="dxa"/>
            <w:tcBorders/>
            <w:vAlign w:val="center"/>
          </w:tcPr>
          <w:p>
            <w:pPr>
              <w:pStyle w:val="TableContents"/>
              <w:bidi w:val="0"/>
              <w:spacing w:before="0" w:after="283"/>
              <w:rPr/>
            </w:pPr>
            <w:r>
              <w:rPr/>
              <w:t>Office Open XML word-processing document; the editable contributor edition of this manual.</w:t>
            </w:r>
          </w:p>
        </w:tc>
      </w:tr>
      <w:tr>
        <w:trPr/>
        <w:tc>
          <w:tcPr>
            <w:tcW w:w="1351" w:type="dxa"/>
            <w:tcBorders/>
            <w:vAlign w:val="center"/>
          </w:tcPr>
          <w:p>
            <w:pPr>
              <w:pStyle w:val="TableContents"/>
              <w:bidi w:val="0"/>
              <w:spacing w:before="0" w:after="283"/>
              <w:rPr/>
            </w:pPr>
            <w:r>
              <w:rPr/>
              <w:t>DR</w:t>
            </w:r>
          </w:p>
        </w:tc>
        <w:tc>
          <w:tcPr>
            <w:tcW w:w="8401" w:type="dxa"/>
            <w:tcBorders/>
            <w:vAlign w:val="center"/>
          </w:tcPr>
          <w:p>
            <w:pPr>
              <w:pStyle w:val="TableContents"/>
              <w:bidi w:val="0"/>
              <w:spacing w:before="0" w:after="283"/>
              <w:rPr/>
            </w:pPr>
            <w:r>
              <w:rPr/>
              <w:t>Dead Reckoning (historically also “deduced reckoning”).</w:t>
            </w:r>
          </w:p>
        </w:tc>
      </w:tr>
      <w:tr>
        <w:trPr/>
        <w:tc>
          <w:tcPr>
            <w:tcW w:w="1351" w:type="dxa"/>
            <w:tcBorders/>
            <w:vAlign w:val="center"/>
          </w:tcPr>
          <w:p>
            <w:pPr>
              <w:pStyle w:val="TableContents"/>
              <w:bidi w:val="0"/>
              <w:spacing w:before="0" w:after="283"/>
              <w:rPr/>
            </w:pPr>
            <w:r>
              <w:rPr/>
              <w:t>DUT1</w:t>
            </w:r>
          </w:p>
        </w:tc>
        <w:tc>
          <w:tcPr>
            <w:tcW w:w="8401" w:type="dxa"/>
            <w:tcBorders/>
            <w:vAlign w:val="center"/>
          </w:tcPr>
          <w:p>
            <w:pPr>
              <w:pStyle w:val="TableContents"/>
              <w:bidi w:val="0"/>
              <w:spacing w:before="0" w:after="283"/>
              <w:rPr/>
            </w:pPr>
            <w:r>
              <w:rPr/>
              <w:t>UT1 − UTC.</w:t>
            </w:r>
          </w:p>
        </w:tc>
      </w:tr>
      <w:tr>
        <w:trPr/>
        <w:tc>
          <w:tcPr>
            <w:tcW w:w="1351" w:type="dxa"/>
            <w:tcBorders/>
            <w:vAlign w:val="center"/>
          </w:tcPr>
          <w:p>
            <w:pPr>
              <w:pStyle w:val="TableContents"/>
              <w:bidi w:val="0"/>
              <w:spacing w:before="0" w:after="283"/>
              <w:rPr/>
            </w:pPr>
            <w:r>
              <w:rPr/>
              <w:t>GHA</w:t>
            </w:r>
          </w:p>
        </w:tc>
        <w:tc>
          <w:tcPr>
            <w:tcW w:w="8401" w:type="dxa"/>
            <w:tcBorders/>
            <w:vAlign w:val="center"/>
          </w:tcPr>
          <w:p>
            <w:pPr>
              <w:pStyle w:val="TableContents"/>
              <w:bidi w:val="0"/>
              <w:spacing w:before="0" w:after="283"/>
              <w:rPr/>
            </w:pPr>
            <w:r>
              <w:rPr/>
              <w:t>Greenwich Hour Angle.</w:t>
            </w:r>
          </w:p>
        </w:tc>
      </w:tr>
      <w:tr>
        <w:trPr/>
        <w:tc>
          <w:tcPr>
            <w:tcW w:w="1351" w:type="dxa"/>
            <w:tcBorders/>
            <w:vAlign w:val="center"/>
          </w:tcPr>
          <w:p>
            <w:pPr>
              <w:pStyle w:val="TableContents"/>
              <w:bidi w:val="0"/>
              <w:spacing w:before="0" w:after="283"/>
              <w:rPr/>
            </w:pPr>
            <w:r>
              <w:rPr/>
              <w:t>GNSS</w:t>
            </w:r>
          </w:p>
        </w:tc>
        <w:tc>
          <w:tcPr>
            <w:tcW w:w="8401" w:type="dxa"/>
            <w:tcBorders/>
            <w:vAlign w:val="center"/>
          </w:tcPr>
          <w:p>
            <w:pPr>
              <w:pStyle w:val="TableContents"/>
              <w:bidi w:val="0"/>
              <w:spacing w:before="0" w:after="283"/>
              <w:rPr/>
            </w:pPr>
            <w:r>
              <w:rPr/>
              <w:t>Global Navigation Satellite System.</w:t>
            </w:r>
          </w:p>
        </w:tc>
      </w:tr>
      <w:tr>
        <w:trPr/>
        <w:tc>
          <w:tcPr>
            <w:tcW w:w="1351" w:type="dxa"/>
            <w:tcBorders/>
            <w:vAlign w:val="center"/>
          </w:tcPr>
          <w:p>
            <w:pPr>
              <w:pStyle w:val="TableContents"/>
              <w:bidi w:val="0"/>
              <w:spacing w:before="0" w:after="283"/>
              <w:rPr/>
            </w:pPr>
            <w:r>
              <w:rPr/>
              <w:t>GP</w:t>
            </w:r>
          </w:p>
        </w:tc>
        <w:tc>
          <w:tcPr>
            <w:tcW w:w="8401" w:type="dxa"/>
            <w:tcBorders/>
            <w:vAlign w:val="center"/>
          </w:tcPr>
          <w:p>
            <w:pPr>
              <w:pStyle w:val="TableContents"/>
              <w:bidi w:val="0"/>
              <w:spacing w:before="0" w:after="283"/>
              <w:rPr/>
            </w:pPr>
            <w:r>
              <w:rPr/>
              <w:t>Geographic Position of a celestial body.</w:t>
            </w:r>
          </w:p>
        </w:tc>
      </w:tr>
      <w:tr>
        <w:trPr/>
        <w:tc>
          <w:tcPr>
            <w:tcW w:w="1351" w:type="dxa"/>
            <w:tcBorders/>
            <w:vAlign w:val="center"/>
          </w:tcPr>
          <w:p>
            <w:pPr>
              <w:pStyle w:val="TableContents"/>
              <w:bidi w:val="0"/>
              <w:spacing w:before="0" w:after="283"/>
              <w:rPr/>
            </w:pPr>
            <w:r>
              <w:rPr/>
              <w:t>GPS</w:t>
            </w:r>
          </w:p>
        </w:tc>
        <w:tc>
          <w:tcPr>
            <w:tcW w:w="8401"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351" w:type="dxa"/>
            <w:tcBorders/>
            <w:vAlign w:val="center"/>
          </w:tcPr>
          <w:p>
            <w:pPr>
              <w:pStyle w:val="TableContents"/>
              <w:bidi w:val="0"/>
              <w:spacing w:before="0" w:after="283"/>
              <w:rPr/>
            </w:pPr>
            <w:r>
              <w:rPr/>
              <w:t>Ha</w:t>
            </w:r>
          </w:p>
        </w:tc>
        <w:tc>
          <w:tcPr>
            <w:tcW w:w="8401" w:type="dxa"/>
            <w:tcBorders/>
            <w:vAlign w:val="center"/>
          </w:tcPr>
          <w:p>
            <w:pPr>
              <w:pStyle w:val="TableContents"/>
              <w:bidi w:val="0"/>
              <w:spacing w:before="0" w:after="283"/>
              <w:rPr/>
            </w:pPr>
            <w:r>
              <w:rPr/>
              <w:t>Apparent altitude after index and dip/horizon corrections.</w:t>
            </w:r>
          </w:p>
        </w:tc>
      </w:tr>
      <w:tr>
        <w:trPr/>
        <w:tc>
          <w:tcPr>
            <w:tcW w:w="1351" w:type="dxa"/>
            <w:tcBorders/>
            <w:vAlign w:val="center"/>
          </w:tcPr>
          <w:p>
            <w:pPr>
              <w:pStyle w:val="TableContents"/>
              <w:bidi w:val="0"/>
              <w:spacing w:before="0" w:after="283"/>
              <w:rPr/>
            </w:pPr>
            <w:r>
              <w:rPr/>
              <w:t>Hc</w:t>
            </w:r>
          </w:p>
        </w:tc>
        <w:tc>
          <w:tcPr>
            <w:tcW w:w="8401" w:type="dxa"/>
            <w:tcBorders/>
            <w:vAlign w:val="center"/>
          </w:tcPr>
          <w:p>
            <w:pPr>
              <w:pStyle w:val="TableContents"/>
              <w:bidi w:val="0"/>
              <w:spacing w:before="0" w:after="283"/>
              <w:rPr/>
            </w:pPr>
            <w:r>
              <w:rPr/>
              <w:t>Computed altitude at the AP.</w:t>
            </w:r>
          </w:p>
        </w:tc>
      </w:tr>
      <w:tr>
        <w:trPr/>
        <w:tc>
          <w:tcPr>
            <w:tcW w:w="1351" w:type="dxa"/>
            <w:tcBorders/>
            <w:vAlign w:val="center"/>
          </w:tcPr>
          <w:p>
            <w:pPr>
              <w:pStyle w:val="TableContents"/>
              <w:bidi w:val="0"/>
              <w:spacing w:before="0" w:after="283"/>
              <w:rPr/>
            </w:pPr>
            <w:r>
              <w:rPr/>
              <w:t>Ho</w:t>
            </w:r>
          </w:p>
        </w:tc>
        <w:tc>
          <w:tcPr>
            <w:tcW w:w="8401" w:type="dxa"/>
            <w:tcBorders/>
            <w:vAlign w:val="center"/>
          </w:tcPr>
          <w:p>
            <w:pPr>
              <w:pStyle w:val="TableContents"/>
              <w:bidi w:val="0"/>
              <w:spacing w:before="0" w:after="283"/>
              <w:rPr/>
            </w:pPr>
            <w:r>
              <w:rPr/>
              <w:t>Observed, fully corrected altitude.</w:t>
            </w:r>
          </w:p>
        </w:tc>
      </w:tr>
      <w:tr>
        <w:trPr/>
        <w:tc>
          <w:tcPr>
            <w:tcW w:w="1351" w:type="dxa"/>
            <w:tcBorders/>
            <w:vAlign w:val="center"/>
          </w:tcPr>
          <w:p>
            <w:pPr>
              <w:pStyle w:val="TableContents"/>
              <w:bidi w:val="0"/>
              <w:spacing w:before="0" w:after="283"/>
              <w:rPr/>
            </w:pPr>
            <w:r>
              <w:rPr/>
              <w:t>HP</w:t>
            </w:r>
          </w:p>
        </w:tc>
        <w:tc>
          <w:tcPr>
            <w:tcW w:w="8401" w:type="dxa"/>
            <w:tcBorders/>
            <w:vAlign w:val="center"/>
          </w:tcPr>
          <w:p>
            <w:pPr>
              <w:pStyle w:val="TableContents"/>
              <w:bidi w:val="0"/>
              <w:spacing w:before="0" w:after="283"/>
              <w:rPr/>
            </w:pPr>
            <w:r>
              <w:rPr/>
              <w:t>Horizontal parallax.</w:t>
            </w:r>
          </w:p>
        </w:tc>
      </w:tr>
      <w:tr>
        <w:trPr/>
        <w:tc>
          <w:tcPr>
            <w:tcW w:w="1351" w:type="dxa"/>
            <w:tcBorders/>
            <w:vAlign w:val="center"/>
          </w:tcPr>
          <w:p>
            <w:pPr>
              <w:pStyle w:val="TableContents"/>
              <w:bidi w:val="0"/>
              <w:spacing w:before="0" w:after="283"/>
              <w:rPr/>
            </w:pPr>
            <w:r>
              <w:rPr/>
              <w:t>Hs</w:t>
            </w:r>
          </w:p>
        </w:tc>
        <w:tc>
          <w:tcPr>
            <w:tcW w:w="8401" w:type="dxa"/>
            <w:tcBorders/>
            <w:vAlign w:val="center"/>
          </w:tcPr>
          <w:p>
            <w:pPr>
              <w:pStyle w:val="TableContents"/>
              <w:bidi w:val="0"/>
              <w:spacing w:before="0" w:after="283"/>
              <w:rPr/>
            </w:pPr>
            <w:r>
              <w:rPr/>
              <w:t>Sextant altitude.</w:t>
            </w:r>
          </w:p>
        </w:tc>
      </w:tr>
      <w:tr>
        <w:trPr/>
        <w:tc>
          <w:tcPr>
            <w:tcW w:w="1351" w:type="dxa"/>
            <w:tcBorders/>
            <w:vAlign w:val="center"/>
          </w:tcPr>
          <w:p>
            <w:pPr>
              <w:pStyle w:val="TableContents"/>
              <w:bidi w:val="0"/>
              <w:spacing w:before="0" w:after="283"/>
              <w:rPr/>
            </w:pPr>
            <w:r>
              <w:rPr/>
              <w:t>HSA</w:t>
            </w:r>
          </w:p>
        </w:tc>
        <w:tc>
          <w:tcPr>
            <w:tcW w:w="8401" w:type="dxa"/>
            <w:tcBorders/>
            <w:vAlign w:val="center"/>
          </w:tcPr>
          <w:p>
            <w:pPr>
              <w:pStyle w:val="TableContents"/>
              <w:bidi w:val="0"/>
              <w:spacing w:before="0" w:after="283"/>
              <w:rPr/>
            </w:pPr>
            <w:r>
              <w:rPr/>
              <w:t>Horizontal Sextant Angle.</w:t>
            </w:r>
          </w:p>
        </w:tc>
      </w:tr>
      <w:tr>
        <w:trPr/>
        <w:tc>
          <w:tcPr>
            <w:tcW w:w="1351" w:type="dxa"/>
            <w:tcBorders/>
            <w:vAlign w:val="center"/>
          </w:tcPr>
          <w:p>
            <w:pPr>
              <w:pStyle w:val="TableContents"/>
              <w:bidi w:val="0"/>
              <w:spacing w:before="0" w:after="283"/>
              <w:rPr/>
            </w:pPr>
            <w:r>
              <w:rPr/>
              <w:t>HTML</w:t>
            </w:r>
          </w:p>
        </w:tc>
        <w:tc>
          <w:tcPr>
            <w:tcW w:w="8401" w:type="dxa"/>
            <w:tcBorders/>
            <w:vAlign w:val="center"/>
          </w:tcPr>
          <w:p>
            <w:pPr>
              <w:pStyle w:val="TableContents"/>
              <w:bidi w:val="0"/>
              <w:spacing w:before="0" w:after="283"/>
              <w:rPr/>
            </w:pPr>
            <w:r>
              <w:rPr/>
              <w:t>HyperText Markup Language; the offline edition opened by the plugin's Documentation button.</w:t>
            </w:r>
          </w:p>
        </w:tc>
      </w:tr>
      <w:tr>
        <w:trPr/>
        <w:tc>
          <w:tcPr>
            <w:tcW w:w="1351" w:type="dxa"/>
            <w:tcBorders/>
            <w:vAlign w:val="center"/>
          </w:tcPr>
          <w:p>
            <w:pPr>
              <w:pStyle w:val="TableContents"/>
              <w:bidi w:val="0"/>
              <w:spacing w:before="0" w:after="283"/>
              <w:rPr/>
            </w:pPr>
            <w:r>
              <w:rPr/>
              <w:t>IC</w:t>
            </w:r>
          </w:p>
        </w:tc>
        <w:tc>
          <w:tcPr>
            <w:tcW w:w="8401" w:type="dxa"/>
            <w:tcBorders/>
            <w:vAlign w:val="center"/>
          </w:tcPr>
          <w:p>
            <w:pPr>
              <w:pStyle w:val="TableContents"/>
              <w:bidi w:val="0"/>
              <w:spacing w:before="0" w:after="283"/>
              <w:rPr/>
            </w:pPr>
            <w:r>
              <w:rPr/>
              <w:t>Index Correction.</w:t>
            </w:r>
          </w:p>
        </w:tc>
      </w:tr>
      <w:tr>
        <w:trPr/>
        <w:tc>
          <w:tcPr>
            <w:tcW w:w="1351" w:type="dxa"/>
            <w:tcBorders/>
            <w:vAlign w:val="center"/>
          </w:tcPr>
          <w:p>
            <w:pPr>
              <w:pStyle w:val="TableContents"/>
              <w:bidi w:val="0"/>
              <w:spacing w:before="0" w:after="283"/>
              <w:rPr/>
            </w:pPr>
            <w:r>
              <w:rPr/>
              <w:t>IE</w:t>
            </w:r>
          </w:p>
        </w:tc>
        <w:tc>
          <w:tcPr>
            <w:tcW w:w="8401" w:type="dxa"/>
            <w:tcBorders/>
            <w:vAlign w:val="center"/>
          </w:tcPr>
          <w:p>
            <w:pPr>
              <w:pStyle w:val="TableContents"/>
              <w:bidi w:val="0"/>
              <w:spacing w:before="0" w:after="283"/>
              <w:rPr/>
            </w:pPr>
            <w:r>
              <w:rPr/>
              <w:t>Index Error.</w:t>
            </w:r>
          </w:p>
        </w:tc>
      </w:tr>
      <w:tr>
        <w:trPr/>
        <w:tc>
          <w:tcPr>
            <w:tcW w:w="1351" w:type="dxa"/>
            <w:tcBorders/>
            <w:vAlign w:val="center"/>
          </w:tcPr>
          <w:p>
            <w:pPr>
              <w:pStyle w:val="TableContents"/>
              <w:bidi w:val="0"/>
              <w:spacing w:before="0" w:after="283"/>
              <w:rPr/>
            </w:pPr>
            <w:r>
              <w:rPr/>
              <w:t>IERS</w:t>
            </w:r>
          </w:p>
        </w:tc>
        <w:tc>
          <w:tcPr>
            <w:tcW w:w="8401" w:type="dxa"/>
            <w:tcBorders/>
            <w:vAlign w:val="center"/>
          </w:tcPr>
          <w:p>
            <w:pPr>
              <w:pStyle w:val="TableContents"/>
              <w:bidi w:val="0"/>
              <w:spacing w:before="0" w:after="283"/>
              <w:rPr/>
            </w:pPr>
            <w:r>
              <w:rPr/>
              <w:t>International Earth Rotation and Reference Systems Service.</w:t>
            </w:r>
          </w:p>
        </w:tc>
      </w:tr>
      <w:tr>
        <w:trPr/>
        <w:tc>
          <w:tcPr>
            <w:tcW w:w="1351" w:type="dxa"/>
            <w:tcBorders/>
            <w:vAlign w:val="center"/>
          </w:tcPr>
          <w:p>
            <w:pPr>
              <w:pStyle w:val="TableContents"/>
              <w:bidi w:val="0"/>
              <w:spacing w:before="0" w:after="283"/>
              <w:rPr/>
            </w:pPr>
            <w:r>
              <w:rPr/>
              <w:t>JPL</w:t>
            </w:r>
          </w:p>
        </w:tc>
        <w:tc>
          <w:tcPr>
            <w:tcW w:w="8401" w:type="dxa"/>
            <w:tcBorders/>
            <w:vAlign w:val="center"/>
          </w:tcPr>
          <w:p>
            <w:pPr>
              <w:pStyle w:val="TableContents"/>
              <w:bidi w:val="0"/>
              <w:spacing w:before="0" w:after="283"/>
              <w:rPr/>
            </w:pPr>
            <w:r>
              <w:rPr/>
              <w:t>Jet Propulsion Laboratory.</w:t>
            </w:r>
          </w:p>
        </w:tc>
      </w:tr>
      <w:tr>
        <w:trPr/>
        <w:tc>
          <w:tcPr>
            <w:tcW w:w="1351" w:type="dxa"/>
            <w:tcBorders/>
            <w:vAlign w:val="center"/>
          </w:tcPr>
          <w:p>
            <w:pPr>
              <w:pStyle w:val="TableContents"/>
              <w:bidi w:val="0"/>
              <w:spacing w:before="0" w:after="283"/>
              <w:rPr/>
            </w:pPr>
            <w:r>
              <w:rPr/>
              <w:t>LAN</w:t>
            </w:r>
          </w:p>
        </w:tc>
        <w:tc>
          <w:tcPr>
            <w:tcW w:w="8401" w:type="dxa"/>
            <w:tcBorders/>
            <w:vAlign w:val="center"/>
          </w:tcPr>
          <w:p>
            <w:pPr>
              <w:pStyle w:val="TableContents"/>
              <w:bidi w:val="0"/>
              <w:spacing w:before="0" w:after="283"/>
              <w:rPr/>
            </w:pPr>
            <w:r>
              <w:rPr/>
              <w:t>Local Apparent Noon.</w:t>
            </w:r>
          </w:p>
        </w:tc>
      </w:tr>
      <w:tr>
        <w:trPr/>
        <w:tc>
          <w:tcPr>
            <w:tcW w:w="1351" w:type="dxa"/>
            <w:tcBorders/>
            <w:vAlign w:val="center"/>
          </w:tcPr>
          <w:p>
            <w:pPr>
              <w:pStyle w:val="TableContents"/>
              <w:bidi w:val="0"/>
              <w:spacing w:before="0" w:after="283"/>
              <w:rPr/>
            </w:pPr>
            <w:r>
              <w:rPr/>
              <w:t>LD / LDOpc</w:t>
            </w:r>
          </w:p>
        </w:tc>
        <w:tc>
          <w:tcPr>
            <w:tcW w:w="8401" w:type="dxa"/>
            <w:tcBorders/>
            <w:vAlign w:val="center"/>
          </w:tcPr>
          <w:p>
            <w:pPr>
              <w:pStyle w:val="TableContents"/>
              <w:bidi w:val="0"/>
              <w:spacing w:before="0" w:after="283"/>
              <w:rPr/>
            </w:pPr>
            <w:r>
              <w:rPr/>
              <w:t>Lunar Distance / observed raw lunar-distance measurement with selected contact.</w:t>
            </w:r>
          </w:p>
        </w:tc>
      </w:tr>
      <w:tr>
        <w:trPr/>
        <w:tc>
          <w:tcPr>
            <w:tcW w:w="1351" w:type="dxa"/>
            <w:tcBorders/>
            <w:vAlign w:val="center"/>
          </w:tcPr>
          <w:p>
            <w:pPr>
              <w:pStyle w:val="TableContents"/>
              <w:bidi w:val="0"/>
              <w:spacing w:before="0" w:after="283"/>
              <w:rPr/>
            </w:pPr>
            <w:r>
              <w:rPr/>
              <w:t>LDc</w:t>
            </w:r>
          </w:p>
        </w:tc>
        <w:tc>
          <w:tcPr>
            <w:tcW w:w="8401" w:type="dxa"/>
            <w:tcBorders/>
            <w:vAlign w:val="center"/>
          </w:tcPr>
          <w:p>
            <w:pPr>
              <w:pStyle w:val="TableContents"/>
              <w:bidi w:val="0"/>
              <w:spacing w:before="0" w:after="283"/>
              <w:rPr/>
            </w:pPr>
            <w:r>
              <w:rPr/>
              <w:t>Cleared lunar distance.</w:t>
            </w:r>
          </w:p>
        </w:tc>
      </w:tr>
      <w:tr>
        <w:trPr/>
        <w:tc>
          <w:tcPr>
            <w:tcW w:w="1351" w:type="dxa"/>
            <w:tcBorders/>
            <w:vAlign w:val="center"/>
          </w:tcPr>
          <w:p>
            <w:pPr>
              <w:pStyle w:val="TableContents"/>
              <w:bidi w:val="0"/>
              <w:spacing w:before="0" w:after="283"/>
              <w:rPr/>
            </w:pPr>
            <w:r>
              <w:rPr/>
              <w:t>LHA</w:t>
            </w:r>
          </w:p>
        </w:tc>
        <w:tc>
          <w:tcPr>
            <w:tcW w:w="8401" w:type="dxa"/>
            <w:tcBorders/>
            <w:vAlign w:val="center"/>
          </w:tcPr>
          <w:p>
            <w:pPr>
              <w:pStyle w:val="TableContents"/>
              <w:bidi w:val="0"/>
              <w:spacing w:before="0" w:after="283"/>
              <w:rPr/>
            </w:pPr>
            <w:r>
              <w:rPr/>
              <w:t>Local Hour Angle.</w:t>
            </w:r>
          </w:p>
        </w:tc>
      </w:tr>
      <w:tr>
        <w:trPr/>
        <w:tc>
          <w:tcPr>
            <w:tcW w:w="1351" w:type="dxa"/>
            <w:tcBorders/>
            <w:vAlign w:val="center"/>
          </w:tcPr>
          <w:p>
            <w:pPr>
              <w:pStyle w:val="TableContents"/>
              <w:bidi w:val="0"/>
              <w:spacing w:before="0" w:after="283"/>
              <w:rPr/>
            </w:pPr>
            <w:r>
              <w:rPr/>
              <w:t>LOLA</w:t>
            </w:r>
          </w:p>
        </w:tc>
        <w:tc>
          <w:tcPr>
            <w:tcW w:w="8401" w:type="dxa"/>
            <w:tcBorders/>
            <w:vAlign w:val="center"/>
          </w:tcPr>
          <w:p>
            <w:pPr>
              <w:pStyle w:val="TableContents"/>
              <w:bidi w:val="0"/>
              <w:spacing w:before="0" w:after="283"/>
              <w:rPr/>
            </w:pPr>
            <w:r>
              <w:rPr/>
              <w:t>Lunar Orbiter Laser Altimeter.</w:t>
            </w:r>
          </w:p>
        </w:tc>
      </w:tr>
      <w:tr>
        <w:trPr/>
        <w:tc>
          <w:tcPr>
            <w:tcW w:w="1351" w:type="dxa"/>
            <w:tcBorders/>
            <w:vAlign w:val="center"/>
          </w:tcPr>
          <w:p>
            <w:pPr>
              <w:pStyle w:val="TableContents"/>
              <w:bidi w:val="0"/>
              <w:spacing w:before="0" w:after="283"/>
              <w:rPr/>
            </w:pPr>
            <w:r>
              <w:rPr/>
              <w:t>LOP</w:t>
            </w:r>
          </w:p>
        </w:tc>
        <w:tc>
          <w:tcPr>
            <w:tcW w:w="8401" w:type="dxa"/>
            <w:tcBorders/>
            <w:vAlign w:val="center"/>
          </w:tcPr>
          <w:p>
            <w:pPr>
              <w:pStyle w:val="TableContents"/>
              <w:bidi w:val="0"/>
              <w:spacing w:before="0" w:after="283"/>
              <w:rPr/>
            </w:pPr>
            <w:r>
              <w:rPr/>
              <w:t>Line of Position.</w:t>
            </w:r>
          </w:p>
        </w:tc>
      </w:tr>
      <w:tr>
        <w:trPr/>
        <w:tc>
          <w:tcPr>
            <w:tcW w:w="1351" w:type="dxa"/>
            <w:tcBorders/>
            <w:vAlign w:val="center"/>
          </w:tcPr>
          <w:p>
            <w:pPr>
              <w:pStyle w:val="TableContents"/>
              <w:bidi w:val="0"/>
              <w:spacing w:before="0" w:after="283"/>
              <w:rPr/>
            </w:pPr>
            <w:r>
              <w:rPr/>
              <w:t>NMEA</w:t>
            </w:r>
          </w:p>
        </w:tc>
        <w:tc>
          <w:tcPr>
            <w:tcW w:w="8401"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351" w:type="dxa"/>
            <w:tcBorders/>
            <w:vAlign w:val="center"/>
          </w:tcPr>
          <w:p>
            <w:pPr>
              <w:pStyle w:val="TableContents"/>
              <w:bidi w:val="0"/>
              <w:spacing w:before="0" w:after="283"/>
              <w:rPr/>
            </w:pPr>
            <w:r>
              <w:rPr/>
              <w:t>NM</w:t>
            </w:r>
          </w:p>
        </w:tc>
        <w:tc>
          <w:tcPr>
            <w:tcW w:w="8401" w:type="dxa"/>
            <w:tcBorders/>
            <w:vAlign w:val="center"/>
          </w:tcPr>
          <w:p>
            <w:pPr>
              <w:pStyle w:val="TableContents"/>
              <w:bidi w:val="0"/>
              <w:spacing w:before="0" w:after="283"/>
              <w:rPr/>
            </w:pPr>
            <w:r>
              <w:rPr/>
              <w:t>Nautical mile.</w:t>
            </w:r>
          </w:p>
        </w:tc>
      </w:tr>
      <w:tr>
        <w:trPr/>
        <w:tc>
          <w:tcPr>
            <w:tcW w:w="1351" w:type="dxa"/>
            <w:tcBorders/>
            <w:vAlign w:val="center"/>
          </w:tcPr>
          <w:p>
            <w:pPr>
              <w:pStyle w:val="TableContents"/>
              <w:bidi w:val="0"/>
              <w:spacing w:before="0" w:after="283"/>
              <w:rPr/>
            </w:pPr>
            <w:r>
              <w:rPr/>
              <w:t>PA</w:t>
            </w:r>
          </w:p>
        </w:tc>
        <w:tc>
          <w:tcPr>
            <w:tcW w:w="8401" w:type="dxa"/>
            <w:tcBorders/>
            <w:vAlign w:val="center"/>
          </w:tcPr>
          <w:p>
            <w:pPr>
              <w:pStyle w:val="TableContents"/>
              <w:bidi w:val="0"/>
              <w:spacing w:before="0" w:after="283"/>
              <w:rPr/>
            </w:pPr>
            <w:r>
              <w:rPr/>
              <w:t>Parallax in Altitude.</w:t>
            </w:r>
          </w:p>
        </w:tc>
      </w:tr>
      <w:tr>
        <w:trPr/>
        <w:tc>
          <w:tcPr>
            <w:tcW w:w="1351" w:type="dxa"/>
            <w:tcBorders/>
            <w:vAlign w:val="center"/>
          </w:tcPr>
          <w:p>
            <w:pPr>
              <w:pStyle w:val="TableContents"/>
              <w:bidi w:val="0"/>
              <w:spacing w:before="0" w:after="283"/>
              <w:rPr/>
            </w:pPr>
            <w:r>
              <w:rPr/>
              <w:t>PCK</w:t>
            </w:r>
          </w:p>
        </w:tc>
        <w:tc>
          <w:tcPr>
            <w:tcW w:w="8401" w:type="dxa"/>
            <w:tcBorders/>
            <w:vAlign w:val="center"/>
          </w:tcPr>
          <w:p>
            <w:pPr>
              <w:pStyle w:val="TableContents"/>
              <w:bidi w:val="0"/>
              <w:spacing w:before="0" w:after="283"/>
              <w:rPr/>
            </w:pPr>
            <w:r>
              <w:rPr/>
              <w:t>Planetary Constants Kernel used for body orientation data.</w:t>
            </w:r>
          </w:p>
        </w:tc>
      </w:tr>
      <w:tr>
        <w:trPr/>
        <w:tc>
          <w:tcPr>
            <w:tcW w:w="1351" w:type="dxa"/>
            <w:tcBorders/>
            <w:vAlign w:val="center"/>
          </w:tcPr>
          <w:p>
            <w:pPr>
              <w:pStyle w:val="TableContents"/>
              <w:bidi w:val="0"/>
              <w:spacing w:before="0" w:after="283"/>
              <w:rPr/>
            </w:pPr>
            <w:r>
              <w:rPr/>
              <w:t>PDF</w:t>
            </w:r>
          </w:p>
        </w:tc>
        <w:tc>
          <w:tcPr>
            <w:tcW w:w="8401" w:type="dxa"/>
            <w:tcBorders/>
            <w:vAlign w:val="center"/>
          </w:tcPr>
          <w:p>
            <w:pPr>
              <w:pStyle w:val="TableContents"/>
              <w:bidi w:val="0"/>
              <w:spacing w:before="0" w:after="283"/>
              <w:rPr/>
            </w:pPr>
            <w:r>
              <w:rPr/>
              <w:t>Portable Document Format; the fixed-layout display and printable edition of this manual.</w:t>
            </w:r>
          </w:p>
        </w:tc>
      </w:tr>
      <w:tr>
        <w:trPr/>
        <w:tc>
          <w:tcPr>
            <w:tcW w:w="1351" w:type="dxa"/>
            <w:tcBorders/>
            <w:vAlign w:val="center"/>
          </w:tcPr>
          <w:p>
            <w:pPr>
              <w:pStyle w:val="TableContents"/>
              <w:bidi w:val="0"/>
              <w:spacing w:before="0" w:after="283"/>
              <w:rPr/>
            </w:pPr>
            <w:r>
              <w:rPr/>
              <w:t>RA</w:t>
            </w:r>
          </w:p>
        </w:tc>
        <w:tc>
          <w:tcPr>
            <w:tcW w:w="8401" w:type="dxa"/>
            <w:tcBorders/>
            <w:vAlign w:val="center"/>
          </w:tcPr>
          <w:p>
            <w:pPr>
              <w:pStyle w:val="TableContents"/>
              <w:bidi w:val="0"/>
              <w:spacing w:before="0" w:after="283"/>
              <w:rPr/>
            </w:pPr>
            <w:r>
              <w:rPr/>
              <w:t>Right Ascension.</w:t>
            </w:r>
          </w:p>
        </w:tc>
      </w:tr>
      <w:tr>
        <w:trPr/>
        <w:tc>
          <w:tcPr>
            <w:tcW w:w="1351" w:type="dxa"/>
            <w:tcBorders/>
            <w:vAlign w:val="center"/>
          </w:tcPr>
          <w:p>
            <w:pPr>
              <w:pStyle w:val="TableContents"/>
              <w:bidi w:val="0"/>
              <w:spacing w:before="0" w:after="283"/>
              <w:rPr/>
            </w:pPr>
            <w:r>
              <w:rPr/>
              <w:t>RMC</w:t>
            </w:r>
          </w:p>
        </w:tc>
        <w:tc>
          <w:tcPr>
            <w:tcW w:w="8401" w:type="dxa"/>
            <w:tcBorders/>
            <w:vAlign w:val="center"/>
          </w:tcPr>
          <w:p>
            <w:pPr>
              <w:pStyle w:val="TableContents"/>
              <w:bidi w:val="0"/>
              <w:spacing w:before="0" w:after="283"/>
              <w:rPr/>
            </w:pPr>
            <w:r>
              <w:rPr/>
              <w:t>NMEA Recommended Minimum Navigation Information sentence.</w:t>
            </w:r>
          </w:p>
        </w:tc>
      </w:tr>
      <w:tr>
        <w:trPr/>
        <w:tc>
          <w:tcPr>
            <w:tcW w:w="1351" w:type="dxa"/>
            <w:tcBorders/>
            <w:vAlign w:val="center"/>
          </w:tcPr>
          <w:p>
            <w:pPr>
              <w:pStyle w:val="TableContents"/>
              <w:bidi w:val="0"/>
              <w:spacing w:before="0" w:after="283"/>
              <w:rPr/>
            </w:pPr>
            <w:r>
              <w:rPr/>
              <w:t>RMS</w:t>
            </w:r>
          </w:p>
        </w:tc>
        <w:tc>
          <w:tcPr>
            <w:tcW w:w="8401"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351" w:type="dxa"/>
            <w:tcBorders/>
            <w:vAlign w:val="center"/>
          </w:tcPr>
          <w:p>
            <w:pPr>
              <w:pStyle w:val="TableContents"/>
              <w:bidi w:val="0"/>
              <w:spacing w:before="0" w:after="283"/>
              <w:rPr/>
            </w:pPr>
            <w:r>
              <w:rPr/>
              <w:t>SD</w:t>
            </w:r>
          </w:p>
        </w:tc>
        <w:tc>
          <w:tcPr>
            <w:tcW w:w="8401" w:type="dxa"/>
            <w:tcBorders/>
            <w:vAlign w:val="center"/>
          </w:tcPr>
          <w:p>
            <w:pPr>
              <w:pStyle w:val="TableContents"/>
              <w:bidi w:val="0"/>
              <w:spacing w:before="0" w:after="283"/>
              <w:rPr/>
            </w:pPr>
            <w:r>
              <w:rPr/>
              <w:t>Semidiameter.</w:t>
            </w:r>
          </w:p>
        </w:tc>
      </w:tr>
      <w:tr>
        <w:trPr/>
        <w:tc>
          <w:tcPr>
            <w:tcW w:w="1351" w:type="dxa"/>
            <w:tcBorders/>
            <w:vAlign w:val="center"/>
          </w:tcPr>
          <w:p>
            <w:pPr>
              <w:pStyle w:val="TableContents"/>
              <w:bidi w:val="0"/>
              <w:spacing w:before="0" w:after="283"/>
              <w:rPr/>
            </w:pPr>
            <w:r>
              <w:rPr/>
              <w:t>SHA</w:t>
            </w:r>
          </w:p>
        </w:tc>
        <w:tc>
          <w:tcPr>
            <w:tcW w:w="8401" w:type="dxa"/>
            <w:tcBorders/>
            <w:vAlign w:val="center"/>
          </w:tcPr>
          <w:p>
            <w:pPr>
              <w:pStyle w:val="TableContents"/>
              <w:bidi w:val="0"/>
              <w:spacing w:before="0" w:after="283"/>
              <w:rPr/>
            </w:pPr>
            <w:r>
              <w:rPr/>
              <w:t>Sidereal Hour Angle.</w:t>
            </w:r>
          </w:p>
        </w:tc>
      </w:tr>
      <w:tr>
        <w:trPr/>
        <w:tc>
          <w:tcPr>
            <w:tcW w:w="1351" w:type="dxa"/>
            <w:tcBorders/>
            <w:vAlign w:val="center"/>
          </w:tcPr>
          <w:p>
            <w:pPr>
              <w:pStyle w:val="TableContents"/>
              <w:bidi w:val="0"/>
              <w:spacing w:before="0" w:after="283"/>
              <w:rPr/>
            </w:pPr>
            <w:r>
              <w:rPr/>
              <w:t>SOG</w:t>
            </w:r>
          </w:p>
        </w:tc>
        <w:tc>
          <w:tcPr>
            <w:tcW w:w="8401" w:type="dxa"/>
            <w:tcBorders/>
            <w:vAlign w:val="center"/>
          </w:tcPr>
          <w:p>
            <w:pPr>
              <w:pStyle w:val="TableContents"/>
              <w:bidi w:val="0"/>
              <w:spacing w:before="0" w:after="283"/>
              <w:rPr/>
            </w:pPr>
            <w:r>
              <w:rPr/>
              <w:t>Speed Over Ground in knots.</w:t>
            </w:r>
          </w:p>
        </w:tc>
      </w:tr>
      <w:tr>
        <w:trPr/>
        <w:tc>
          <w:tcPr>
            <w:tcW w:w="1351" w:type="dxa"/>
            <w:tcBorders/>
            <w:vAlign w:val="center"/>
          </w:tcPr>
          <w:p>
            <w:pPr>
              <w:pStyle w:val="TableContents"/>
              <w:bidi w:val="0"/>
              <w:spacing w:before="0" w:after="283"/>
              <w:rPr/>
            </w:pPr>
            <w:r>
              <w:rPr/>
              <w:t>TAI</w:t>
            </w:r>
          </w:p>
        </w:tc>
        <w:tc>
          <w:tcPr>
            <w:tcW w:w="8401" w:type="dxa"/>
            <w:tcBorders/>
            <w:vAlign w:val="center"/>
          </w:tcPr>
          <w:p>
            <w:pPr>
              <w:pStyle w:val="TableContents"/>
              <w:bidi w:val="0"/>
              <w:spacing w:before="0" w:after="283"/>
              <w:rPr/>
            </w:pPr>
            <w:r>
              <w:rPr/>
              <w:t>International Atomic Time.</w:t>
            </w:r>
          </w:p>
        </w:tc>
      </w:tr>
      <w:tr>
        <w:trPr/>
        <w:tc>
          <w:tcPr>
            <w:tcW w:w="1351" w:type="dxa"/>
            <w:tcBorders/>
            <w:vAlign w:val="center"/>
          </w:tcPr>
          <w:p>
            <w:pPr>
              <w:pStyle w:val="TableContents"/>
              <w:bidi w:val="0"/>
              <w:spacing w:before="0" w:after="283"/>
              <w:rPr/>
            </w:pPr>
            <w:r>
              <w:rPr/>
              <w:t>TT</w:t>
            </w:r>
          </w:p>
        </w:tc>
        <w:tc>
          <w:tcPr>
            <w:tcW w:w="8401" w:type="dxa"/>
            <w:tcBorders/>
            <w:vAlign w:val="center"/>
          </w:tcPr>
          <w:p>
            <w:pPr>
              <w:pStyle w:val="TableContents"/>
              <w:bidi w:val="0"/>
              <w:spacing w:before="0" w:after="283"/>
              <w:rPr/>
            </w:pPr>
            <w:r>
              <w:rPr/>
              <w:t>Terrestrial Time, used in ephemeris calculations.</w:t>
            </w:r>
          </w:p>
        </w:tc>
      </w:tr>
      <w:tr>
        <w:trPr/>
        <w:tc>
          <w:tcPr>
            <w:tcW w:w="1351" w:type="dxa"/>
            <w:tcBorders/>
            <w:vAlign w:val="center"/>
          </w:tcPr>
          <w:p>
            <w:pPr>
              <w:pStyle w:val="TableContents"/>
              <w:bidi w:val="0"/>
              <w:spacing w:before="0" w:after="283"/>
              <w:rPr/>
            </w:pPr>
            <w:r>
              <w:rPr/>
              <w:t>UI</w:t>
            </w:r>
          </w:p>
        </w:tc>
        <w:tc>
          <w:tcPr>
            <w:tcW w:w="8401" w:type="dxa"/>
            <w:tcBorders/>
            <w:vAlign w:val="center"/>
          </w:tcPr>
          <w:p>
            <w:pPr>
              <w:pStyle w:val="TableContents"/>
              <w:bidi w:val="0"/>
              <w:spacing w:before="0" w:after="283"/>
              <w:rPr/>
            </w:pPr>
            <w:r>
              <w:rPr/>
              <w:t>User Interface.</w:t>
            </w:r>
          </w:p>
        </w:tc>
      </w:tr>
      <w:tr>
        <w:trPr/>
        <w:tc>
          <w:tcPr>
            <w:tcW w:w="1351" w:type="dxa"/>
            <w:tcBorders/>
            <w:vAlign w:val="center"/>
          </w:tcPr>
          <w:p>
            <w:pPr>
              <w:pStyle w:val="TableContents"/>
              <w:bidi w:val="0"/>
              <w:spacing w:before="0" w:after="283"/>
              <w:rPr/>
            </w:pPr>
            <w:r>
              <w:rPr/>
              <w:t>USNO</w:t>
            </w:r>
          </w:p>
        </w:tc>
        <w:tc>
          <w:tcPr>
            <w:tcW w:w="8401" w:type="dxa"/>
            <w:tcBorders/>
            <w:vAlign w:val="center"/>
          </w:tcPr>
          <w:p>
            <w:pPr>
              <w:pStyle w:val="TableContents"/>
              <w:bidi w:val="0"/>
              <w:spacing w:before="0" w:after="283"/>
              <w:rPr/>
            </w:pPr>
            <w:r>
              <w:rPr/>
              <w:t>United States Naval Observatory.</w:t>
            </w:r>
          </w:p>
        </w:tc>
      </w:tr>
      <w:tr>
        <w:trPr/>
        <w:tc>
          <w:tcPr>
            <w:tcW w:w="1351" w:type="dxa"/>
            <w:tcBorders/>
            <w:vAlign w:val="center"/>
          </w:tcPr>
          <w:p>
            <w:pPr>
              <w:pStyle w:val="TableContents"/>
              <w:bidi w:val="0"/>
              <w:spacing w:before="0" w:after="283"/>
              <w:rPr/>
            </w:pPr>
            <w:r>
              <w:rPr/>
              <w:t>UT</w:t>
            </w:r>
          </w:p>
        </w:tc>
        <w:tc>
          <w:tcPr>
            <w:tcW w:w="8401" w:type="dxa"/>
            <w:tcBorders/>
            <w:vAlign w:val="center"/>
          </w:tcPr>
          <w:p>
            <w:pPr>
              <w:pStyle w:val="TableContents"/>
              <w:bidi w:val="0"/>
              <w:spacing w:before="0" w:after="283"/>
              <w:rPr/>
            </w:pPr>
            <w:r>
              <w:rPr/>
              <w:t>Universal Time; use the specifically stated form where precision matters.</w:t>
            </w:r>
          </w:p>
        </w:tc>
      </w:tr>
      <w:tr>
        <w:trPr/>
        <w:tc>
          <w:tcPr>
            <w:tcW w:w="1351" w:type="dxa"/>
            <w:tcBorders/>
            <w:vAlign w:val="center"/>
          </w:tcPr>
          <w:p>
            <w:pPr>
              <w:pStyle w:val="TableContents"/>
              <w:bidi w:val="0"/>
              <w:spacing w:before="0" w:after="283"/>
              <w:rPr/>
            </w:pPr>
            <w:r>
              <w:rPr/>
              <w:t>UT1</w:t>
            </w:r>
          </w:p>
        </w:tc>
        <w:tc>
          <w:tcPr>
            <w:tcW w:w="8401" w:type="dxa"/>
            <w:tcBorders/>
            <w:vAlign w:val="center"/>
          </w:tcPr>
          <w:p>
            <w:pPr>
              <w:pStyle w:val="TableContents"/>
              <w:bidi w:val="0"/>
              <w:spacing w:before="0" w:after="283"/>
              <w:rPr/>
            </w:pPr>
            <w:r>
              <w:rPr/>
              <w:t>Universal Time derived from Earth rotation.</w:t>
            </w:r>
          </w:p>
        </w:tc>
      </w:tr>
      <w:tr>
        <w:trPr/>
        <w:tc>
          <w:tcPr>
            <w:tcW w:w="1351" w:type="dxa"/>
            <w:tcBorders/>
            <w:vAlign w:val="center"/>
          </w:tcPr>
          <w:p>
            <w:pPr>
              <w:pStyle w:val="TableContents"/>
              <w:bidi w:val="0"/>
              <w:spacing w:before="0" w:after="283"/>
              <w:rPr/>
            </w:pPr>
            <w:r>
              <w:rPr/>
              <w:t>UTC</w:t>
            </w:r>
          </w:p>
        </w:tc>
        <w:tc>
          <w:tcPr>
            <w:tcW w:w="8401" w:type="dxa"/>
            <w:tcBorders/>
            <w:vAlign w:val="center"/>
          </w:tcPr>
          <w:p>
            <w:pPr>
              <w:pStyle w:val="TableContents"/>
              <w:bidi w:val="0"/>
              <w:spacing w:before="0" w:after="283"/>
              <w:rPr/>
            </w:pPr>
            <w:r>
              <w:rPr/>
              <w:t>Coordinated Universal Time.</w:t>
            </w:r>
          </w:p>
        </w:tc>
      </w:tr>
      <w:tr>
        <w:trPr/>
        <w:tc>
          <w:tcPr>
            <w:tcW w:w="1351" w:type="dxa"/>
            <w:tcBorders/>
            <w:vAlign w:val="center"/>
          </w:tcPr>
          <w:p>
            <w:pPr>
              <w:pStyle w:val="TableContents"/>
              <w:bidi w:val="0"/>
              <w:spacing w:before="0" w:after="283"/>
              <w:rPr/>
            </w:pPr>
            <w:r>
              <w:rPr/>
              <w:t>WMM</w:t>
            </w:r>
          </w:p>
        </w:tc>
        <w:tc>
          <w:tcPr>
            <w:tcW w:w="8401" w:type="dxa"/>
            <w:tcBorders/>
            <w:vAlign w:val="center"/>
          </w:tcPr>
          <w:p>
            <w:pPr>
              <w:pStyle w:val="TableContents"/>
              <w:bidi w:val="0"/>
              <w:spacing w:before="0" w:after="283"/>
              <w:rPr/>
            </w:pPr>
            <w:r>
              <w:rPr/>
              <w:t>World Magnetic Model.</w:t>
            </w:r>
          </w:p>
        </w:tc>
      </w:tr>
      <w:tr>
        <w:trPr/>
        <w:tc>
          <w:tcPr>
            <w:tcW w:w="1351" w:type="dxa"/>
            <w:tcBorders/>
            <w:vAlign w:val="center"/>
          </w:tcPr>
          <w:p>
            <w:pPr>
              <w:pStyle w:val="TableContents"/>
              <w:bidi w:val="0"/>
              <w:spacing w:before="0" w:after="283"/>
              <w:rPr/>
            </w:pPr>
            <w:r>
              <w:rPr/>
              <w:t>ZD</w:t>
            </w:r>
          </w:p>
        </w:tc>
        <w:tc>
          <w:tcPr>
            <w:tcW w:w="8401" w:type="dxa"/>
            <w:tcBorders/>
            <w:vAlign w:val="center"/>
          </w:tcPr>
          <w:p>
            <w:pPr>
              <w:pStyle w:val="TableContents"/>
              <w:bidi w:val="0"/>
              <w:spacing w:before="0" w:after="283"/>
              <w:rPr/>
            </w:pPr>
            <w:r>
              <w:rPr/>
              <w:t>Zone Description in traditional nautical time notation; do not confuse with zenith distance z.</w:t>
            </w:r>
          </w:p>
        </w:tc>
      </w:tr>
      <w:tr>
        <w:trPr/>
        <w:tc>
          <w:tcPr>
            <w:tcW w:w="1351" w:type="dxa"/>
            <w:tcBorders/>
            <w:vAlign w:val="center"/>
          </w:tcPr>
          <w:p>
            <w:pPr>
              <w:pStyle w:val="TableContents"/>
              <w:bidi w:val="0"/>
              <w:spacing w:before="0" w:after="283"/>
              <w:rPr/>
            </w:pPr>
            <w:r>
              <w:rPr/>
              <w:t>ZDA</w:t>
            </w:r>
          </w:p>
        </w:tc>
        <w:tc>
          <w:tcPr>
            <w:tcW w:w="8401" w:type="dxa"/>
            <w:tcBorders/>
            <w:vAlign w:val="center"/>
          </w:tcPr>
          <w:p>
            <w:pPr>
              <w:pStyle w:val="TableContents"/>
              <w:bidi w:val="0"/>
              <w:spacing w:before="0" w:after="283"/>
              <w:rPr/>
            </w:pPr>
            <w:r>
              <w:rPr/>
              <w:t>NMEA Time &amp; Date sentence.</w:t>
            </w:r>
          </w:p>
        </w:tc>
      </w:tr>
      <w:tr>
        <w:trPr/>
        <w:tc>
          <w:tcPr>
            <w:tcW w:w="1351" w:type="dxa"/>
            <w:tcBorders/>
            <w:vAlign w:val="center"/>
          </w:tcPr>
          <w:p>
            <w:pPr>
              <w:pStyle w:val="TableContents"/>
              <w:bidi w:val="0"/>
              <w:spacing w:before="0" w:after="283"/>
              <w:rPr/>
            </w:pPr>
            <w:r>
              <w:rPr/>
              <w:t>Zn</w:t>
            </w:r>
          </w:p>
        </w:tc>
        <w:tc>
          <w:tcPr>
            <w:tcW w:w="8401" w:type="dxa"/>
            <w:tcBorders/>
            <w:vAlign w:val="center"/>
          </w:tcPr>
          <w:p>
            <w:pPr>
              <w:pStyle w:val="TableContents"/>
              <w:bidi w:val="0"/>
              <w:spacing w:before="0" w:after="283"/>
              <w:rPr/>
            </w:pPr>
            <w:r>
              <w:rPr/>
              <w:t>True azimuth, normally 000°–360° clockwise from true north.</w:t>
            </w:r>
          </w:p>
        </w:tc>
      </w:tr>
      <w:tr>
        <w:trPr/>
        <w:tc>
          <w:tcPr>
            <w:tcW w:w="1351" w:type="dxa"/>
            <w:tcBorders/>
            <w:vAlign w:val="center"/>
          </w:tcPr>
          <w:p>
            <w:pPr>
              <w:pStyle w:val="TableContents"/>
              <w:bidi w:val="0"/>
              <w:spacing w:before="0" w:after="283"/>
              <w:rPr/>
            </w:pPr>
            <w:r>
              <w:rPr/>
              <w:t>z</w:t>
            </w:r>
          </w:p>
        </w:tc>
        <w:tc>
          <w:tcPr>
            <w:tcW w:w="8401" w:type="dxa"/>
            <w:tcBorders/>
            <w:vAlign w:val="center"/>
          </w:tcPr>
          <w:p>
            <w:pPr>
              <w:pStyle w:val="TableContents"/>
              <w:bidi w:val="0"/>
              <w:spacing w:before="0" w:after="283"/>
              <w:rPr/>
            </w:pPr>
            <w:r>
              <w:rPr/>
              <w:t>Zenith distance, 90° − altitude.</w:t>
            </w:r>
          </w:p>
        </w:tc>
      </w:tr>
      <w:tr>
        <w:trPr/>
        <w:tc>
          <w:tcPr>
            <w:tcW w:w="1351" w:type="dxa"/>
            <w:tcBorders/>
            <w:vAlign w:val="center"/>
          </w:tcPr>
          <w:p>
            <w:pPr>
              <w:pStyle w:val="TableContents"/>
              <w:bidi w:val="0"/>
              <w:spacing w:before="0" w:after="283"/>
              <w:rPr/>
            </w:pPr>
            <w:r>
              <w:rPr/>
              <w:t>ΔT</w:t>
            </w:r>
          </w:p>
        </w:tc>
        <w:tc>
          <w:tcPr>
            <w:tcW w:w="8401"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9752" w:type="dxa"/>
        <w:jc w:val="start"/>
        <w:tblInd w:w="0" w:type="dxa"/>
        <w:tblLayout w:type="fixed"/>
        <w:tblCellMar>
          <w:top w:w="28" w:type="dxa"/>
          <w:start w:w="28" w:type="dxa"/>
          <w:bottom w:w="28" w:type="dxa"/>
          <w:end w:w="28" w:type="dxa"/>
        </w:tblCellMar>
      </w:tblPr>
      <w:tblGrid>
        <w:gridCol w:w="635"/>
        <w:gridCol w:w="9117"/>
      </w:tblGrid>
      <w:tr>
        <w:trPr/>
        <w:tc>
          <w:tcPr>
            <w:tcW w:w="635" w:type="dxa"/>
            <w:tcBorders/>
            <w:vAlign w:val="center"/>
          </w:tcPr>
          <w:p>
            <w:pPr>
              <w:pStyle w:val="TableHeading"/>
              <w:suppressLineNumbers/>
              <w:shd w:fill="17365D" w:val="clear"/>
              <w:bidi w:val="0"/>
              <w:spacing w:before="0" w:after="283"/>
              <w:jc w:val="start"/>
              <w:rPr/>
            </w:pPr>
            <w:r>
              <w:rPr/>
              <w:t>Scale</w:t>
            </w:r>
          </w:p>
        </w:tc>
        <w:tc>
          <w:tcPr>
            <w:tcW w:w="9117" w:type="dxa"/>
            <w:tcBorders/>
            <w:vAlign w:val="center"/>
          </w:tcPr>
          <w:p>
            <w:pPr>
              <w:pStyle w:val="TableHeading"/>
              <w:suppressLineNumbers/>
              <w:shd w:fill="17365D" w:val="clear"/>
              <w:bidi w:val="0"/>
              <w:spacing w:before="0" w:after="283"/>
              <w:jc w:val="start"/>
              <w:rPr/>
            </w:pPr>
            <w:r>
              <w:rPr/>
              <w:t>Role</w:t>
            </w:r>
          </w:p>
        </w:tc>
      </w:tr>
      <w:tr>
        <w:trPr/>
        <w:tc>
          <w:tcPr>
            <w:tcW w:w="635" w:type="dxa"/>
            <w:tcBorders/>
            <w:vAlign w:val="center"/>
          </w:tcPr>
          <w:p>
            <w:pPr>
              <w:pStyle w:val="TableContents"/>
              <w:bidi w:val="0"/>
              <w:spacing w:before="0" w:after="283"/>
              <w:rPr/>
            </w:pPr>
            <w:r>
              <w:rPr/>
              <w:t>UTC</w:t>
            </w:r>
          </w:p>
        </w:tc>
        <w:tc>
          <w:tcPr>
            <w:tcW w:w="9117"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35" w:type="dxa"/>
            <w:tcBorders/>
            <w:vAlign w:val="center"/>
          </w:tcPr>
          <w:p>
            <w:pPr>
              <w:pStyle w:val="TableContents"/>
              <w:bidi w:val="0"/>
              <w:spacing w:before="0" w:after="283"/>
              <w:rPr/>
            </w:pPr>
            <w:r>
              <w:rPr/>
              <w:t>UT1</w:t>
            </w:r>
          </w:p>
        </w:tc>
        <w:tc>
          <w:tcPr>
            <w:tcW w:w="9117" w:type="dxa"/>
            <w:tcBorders/>
            <w:vAlign w:val="center"/>
          </w:tcPr>
          <w:p>
            <w:pPr>
              <w:pStyle w:val="TableContents"/>
              <w:bidi w:val="0"/>
              <w:spacing w:before="0" w:after="283"/>
              <w:rPr/>
            </w:pPr>
            <w:r>
              <w:rPr/>
              <w:t>Earth-rotation time used for hour angle and stated eclipse circumstances.</w:t>
            </w:r>
          </w:p>
        </w:tc>
      </w:tr>
      <w:tr>
        <w:trPr/>
        <w:tc>
          <w:tcPr>
            <w:tcW w:w="635" w:type="dxa"/>
            <w:tcBorders/>
            <w:vAlign w:val="center"/>
          </w:tcPr>
          <w:p>
            <w:pPr>
              <w:pStyle w:val="TableContents"/>
              <w:bidi w:val="0"/>
              <w:spacing w:before="0" w:after="283"/>
              <w:rPr/>
            </w:pPr>
            <w:r>
              <w:rPr/>
              <w:t>TT</w:t>
            </w:r>
          </w:p>
        </w:tc>
        <w:tc>
          <w:tcPr>
            <w:tcW w:w="9117" w:type="dxa"/>
            <w:tcBorders/>
            <w:vAlign w:val="center"/>
          </w:tcPr>
          <w:p>
            <w:pPr>
              <w:pStyle w:val="TableContents"/>
              <w:bidi w:val="0"/>
              <w:spacing w:before="0" w:after="283"/>
              <w:rPr/>
            </w:pPr>
            <w:r>
              <w:rPr/>
              <w:t>Uniform terrestrial time used for ephemerides.</w:t>
            </w:r>
          </w:p>
        </w:tc>
      </w:tr>
      <w:tr>
        <w:trPr/>
        <w:tc>
          <w:tcPr>
            <w:tcW w:w="635" w:type="dxa"/>
            <w:tcBorders/>
            <w:vAlign w:val="center"/>
          </w:tcPr>
          <w:p>
            <w:pPr>
              <w:pStyle w:val="TableContents"/>
              <w:bidi w:val="0"/>
              <w:spacing w:before="0" w:after="283"/>
              <w:rPr/>
            </w:pPr>
            <w:r>
              <w:rPr/>
              <w:t>ΔT</w:t>
            </w:r>
          </w:p>
        </w:tc>
        <w:tc>
          <w:tcPr>
            <w:tcW w:w="9117"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3">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4">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5">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6">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7">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Noto 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Noto 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Noto 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style>
  <w:style w:type="paragraph" w:styleId="Caption">
    <w:name w:val="caption"/>
    <w:basedOn w:val="Normal"/>
    <w:qFormat/>
    <w:pPr>
      <w:suppressLineNumbers/>
      <w:spacing w:before="120" w:after="120"/>
    </w:pPr>
    <w:rPr>
      <w:i/>
      <w:iCs/>
      <w:sz w:val="24"/>
      <w:szCs w:val="24"/>
    </w:rPr>
  </w:style>
  <w:style w:type="paragraph" w:styleId="List">
    <w:name w:val="List"/>
    <w:basedOn w:val="BodyText"/>
    <w:pPr/>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aa.usno.navy.mil/faq/RST_defs" TargetMode="External"/><Relationship Id="rId12" Type="http://schemas.openxmlformats.org/officeDocument/2006/relationships/image" Target="media/image10.png"/><Relationship Id="rId13" Type="http://schemas.openxmlformats.org/officeDocument/2006/relationships/hyperlink" Target="https://msi.nga.mil/Publications/APN" TargetMode="External"/><Relationship Id="rId14" Type="http://schemas.openxmlformats.org/officeDocument/2006/relationships/hyperlink" Target="https://aa.usno.navy.mil/data/celnav" TargetMode="External"/><Relationship Id="rId15" Type="http://schemas.openxmlformats.org/officeDocument/2006/relationships/hyperlink" Target="https://aa.usno.navy.mil/faq/alt_az" TargetMode="External"/><Relationship Id="rId16" Type="http://schemas.openxmlformats.org/officeDocument/2006/relationships/hyperlink" Target="https://aa.usno.navy.mil/publications/na" TargetMode="External"/><Relationship Id="rId17" Type="http://schemas.openxmlformats.org/officeDocument/2006/relationships/hyperlink" Target="https://www.gov.uk/government/organisations/hm-nautical-almanac-office/about"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LibreOfficeDev/26.8.0.0.alpha0$Linux_X86_64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