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User manual</w:t>
      </w:r>
    </w:p>
    <w:p>
      <w:pPr>
        <w:pStyle w:val="BodyTextedition"/>
        <w:bidi w:val="0"/>
        <w:ind w:hanging="0" w:start="0" w:end="0"/>
        <w:jc w:val="center"/>
        <w:rPr/>
      </w:pPr>
      <w:r>
        <w:rPr/>
        <w:t>Celestial Navigation plugin 2.8.9</w:t>
        <w:br/>
        <w:t>Documentation revision 20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The plugin and this manual support celestial navigation and instruction.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BodyText"/>
        <w:bidi w:val="0"/>
        <w:rPr/>
      </w:pPr>
      <w:r>
        <w:rPr>
          <w:rStyle w:val="Strong"/>
        </w:rPr>
        <w:t>11 September numerical-audit update:</w:t>
      </w:r>
      <w:r>
        <w:rPr/>
        <w:t xml:space="preserve"> corrected UTC handling in generated almanacs (including daylight-saving transitions), ordinary sight azimuths, sextant-calibration longitude geometry, planetary parallax in the planner, and running-fix formal uncertainty. Find Body now uses the sight's effective corrected time, and estimated Hs is checked through the actual forward reduction. Iterative solvers reject unconverged results. Recorded observations are not rewritten. Formal uncertainty is not a guarantee of real-world accuracy.</w:t>
      </w:r>
    </w:p>
    <w:p>
      <w:pPr>
        <w:pStyle w:val="BodyText"/>
        <w:bidi w:val="0"/>
        <w:ind w:hanging="0" w:start="0" w:end="0"/>
        <w:rPr>
          <w:shd w:fill="FFF0F0" w:val="clear"/>
        </w:rPr>
      </w:pPr>
      <w:r>
        <w:rPr>
          <w:b/>
          <w:color w:val="17365D"/>
          <w:shd w:fill="FFF0F0" w:val="clear"/>
        </w:rPr>
        <w:t>Previously generated almanacs:</w:t>
      </w:r>
      <w:r>
        <w:rPr>
          <w:shd w:fill="FFF0F0" w:val="clear"/>
        </w:rPr>
        <w:t xml:space="preserve"> regenerate almanacs produced by earlier builds on computers using a non-UTC timezone. Their UTC-labelled astronomical tables and curves could use an incorrect epoch. Saved sightings themselves are unaffected.</w:t>
      </w:r>
    </w:p>
    <w:p>
      <w:pPr>
        <w:pStyle w:val="Heading2"/>
        <w:bidi w:val="0"/>
        <w:ind w:hanging="0" w:start="0" w:end="0"/>
        <w:rPr/>
      </w:pPr>
      <w:bookmarkStart w:id="1" w:name="how-to-use"/>
      <w:bookmarkEnd w:id="1"/>
      <w:r>
        <w:rPr/>
        <w:t>How to use the manual</w:t>
      </w:r>
    </w:p>
    <w:p>
      <w:pPr>
        <w:pStyle w:val="BodyText"/>
        <w:bidi w:val="0"/>
        <w:rPr/>
      </w:pPr>
      <w:r>
        <w:rPr>
          <w:rStyle w:val="Strong"/>
        </w:rPr>
        <w:t>Current release:</w:t>
      </w:r>
      <w:r>
        <w:rPr/>
        <w:t xml:space="preserve"> this edition covers the per-sight DR-shift running fix, Find position sources, measured lunar-pair guidance and corrected Horizon Event display. The descriptions below match the 2.8.9 controls.</w:t>
      </w:r>
    </w:p>
    <w:p>
      <w:pPr>
        <w:pStyle w:val="BodyText"/>
        <w:bidi w:val="0"/>
        <w:rPr/>
      </w:pPr>
      <w:r>
        <w:rPr>
          <w:rStyle w:val="Strong"/>
        </w:rPr>
        <w:t>2.8.5.4 Find popup:</w:t>
      </w:r>
      <w:r>
        <w:rPr/>
        <w:t xml:space="preserve"> </w:t>
      </w:r>
      <w:r>
        <w:rPr>
          <w:rStyle w:val="Strong"/>
        </w:rPr>
        <w:t>Close</w:t>
      </w:r>
      <w:r>
        <w:rPr/>
        <w:t xml:space="preserve"> keeps the edited DR position and returns to Sight Properties without changing the measured altitude. </w:t>
      </w:r>
      <w:r>
        <w:rPr>
          <w:rStyle w:val="Strong"/>
        </w:rPr>
        <w:t>Copy estimated Hs</w:t>
      </w:r>
      <w:r>
        <w:rPr/>
        <w:t xml:space="preserve"> deliberately replaces the appropriate altitude field and leaves Find open. </w:t>
      </w:r>
      <w:r>
        <w:rPr>
          <w:rStyle w:val="Strong"/>
        </w:rPr>
        <w:t>Reset position</w:t>
      </w:r>
      <w:r>
        <w:rPr/>
        <w:t xml:space="preserve"> restores the position and live-position setting shown when Find opened; it does not undo an explicit Hs copy and leaves Find open. </w:t>
      </w:r>
      <w:r>
        <w:rPr>
          <w:rStyle w:val="Strong"/>
        </w:rPr>
        <w:t>Cancel</w:t>
      </w:r>
      <w:r>
        <w:rPr/>
        <w:t xml:space="preserve"> restores the opening position and closes Find, without undoing an explicitly copied Hs. The window close control and Escape behave like Cancel, and Enter never implicitly copies Hs. Close remains available when no estimate can be calculated. Use </w:t>
      </w:r>
      <w:r>
        <w:rPr>
          <w:rStyle w:val="Strong"/>
        </w:rPr>
        <w:t>Save Changes</w:t>
      </w:r>
      <w:r>
        <w:rPr/>
        <w:t xml:space="preserve"> in Sight Properties to retain the edit, or its </w:t>
      </w:r>
      <w:r>
        <w:rPr>
          <w:rStyle w:val="Strong"/>
        </w:rPr>
        <w:t>Cancel</w:t>
      </w:r>
      <w:r>
        <w:rPr/>
        <w:t xml:space="preserve"> to discard it. A computed estimate is not a new observation: do not replace a real sextant reading unintentionally.</w:t>
      </w:r>
    </w:p>
    <w:p>
      <w:pPr>
        <w:pStyle w:val="BodyText"/>
        <w:bidi w:val="0"/>
        <w:rPr/>
      </w:pPr>
      <w:r>
        <w:rPr/>
        <w:t>For a bearing sight, Copy estimated Hs is disabled: an altitude must not replace the measured bearing. Position editing and Close still work.</w:t>
      </w:r>
    </w:p>
    <w:p>
      <w:pPr>
        <w:pStyle w:val="BodyText"/>
        <w:bidi w:val="0"/>
        <w:rPr/>
      </w:pPr>
      <w:r>
        <w:rPr>
          <w:rStyle w:val="Strong"/>
        </w:rPr>
        <w:t>Altitude (Ho)</w:t>
      </w:r>
      <w:r>
        <w:rPr/>
        <w:t>, below Hc, shows the reduced observed altitude in the same angle format as Hc. In a lunar Moon/body Find popup it is that body's reduced altitude, not the lunar distance. Copy estimated Hs is beside its estimate; Reset position is beside the coordinate controls. Neither Find Cancel nor Close writes the sights XML file directly.</w:t>
      </w:r>
    </w:p>
    <w:p>
      <w:pPr>
        <w:pStyle w:val="BodyText"/>
        <w:bidi w:val="0"/>
        <w:rPr/>
      </w:pPr>
      <w:r>
        <w:rPr/>
        <w:t xml:space="preserve">The Find position selector offers </w:t>
      </w:r>
      <w:r>
        <w:rPr>
          <w:rStyle w:val="Strong"/>
        </w:rPr>
        <w:t>Manual</w:t>
      </w:r>
      <w:r>
        <w:rPr/>
        <w:t xml:space="preserve">, </w:t>
      </w:r>
      <w:r>
        <w:rPr>
          <w:rStyle w:val="Strong"/>
        </w:rPr>
        <w:t>Current boat position (live)</w:t>
      </w:r>
      <w:r>
        <w:rPr/>
        <w:t xml:space="preserve">, </w:t>
      </w:r>
      <w:r>
        <w:rPr>
          <w:rStyle w:val="Strong"/>
        </w:rPr>
        <w:t>Chart cursor</w:t>
      </w:r>
      <w:r>
        <w:rPr/>
        <w:t xml:space="preserve">, </w:t>
      </w:r>
      <w:r>
        <w:rPr>
          <w:rStyle w:val="Strong"/>
        </w:rPr>
        <w:t>Last calculated fix</w:t>
      </w:r>
      <w:r>
        <w:rPr/>
        <w:t xml:space="preserve"> and </w:t>
      </w:r>
      <w:r>
        <w:rPr>
          <w:rStyle w:val="Strong"/>
        </w:rPr>
        <w:t>Waypoint or place...</w:t>
      </w:r>
      <w:r>
        <w:rPr/>
        <w:t>. Chart cursor and waypoint choices capture coordinates; only the live boat choice follows subsequent boat updates. The last-fix source shows its epoch when known. Select Manual to edit coordinates. An unavailable source or a cancelled waypoint selection preserves the previous position. These are position aids: always check that the position is appropriate to the sight's recorded UTC.</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9752" w:type="dxa"/>
        <w:jc w:val="start"/>
        <w:tblInd w:w="0" w:type="dxa"/>
        <w:tblLayout w:type="fixed"/>
        <w:tblCellMar>
          <w:top w:w="28" w:type="dxa"/>
          <w:start w:w="28" w:type="dxa"/>
          <w:bottom w:w="28" w:type="dxa"/>
          <w:end w:w="28" w:type="dxa"/>
        </w:tblCellMar>
      </w:tblPr>
      <w:tblGrid>
        <w:gridCol w:w="837"/>
        <w:gridCol w:w="8915"/>
      </w:tblGrid>
      <w:tr>
        <w:trPr/>
        <w:tc>
          <w:tcPr>
            <w:tcW w:w="837" w:type="dxa"/>
            <w:tcBorders/>
            <w:vAlign w:val="center"/>
          </w:tcPr>
          <w:p>
            <w:pPr>
              <w:pStyle w:val="TableHeading"/>
              <w:suppressLineNumbers/>
              <w:shd w:fill="17365D" w:val="clear"/>
              <w:bidi w:val="0"/>
              <w:spacing w:before="0" w:after="283"/>
              <w:jc w:val="start"/>
              <w:rPr/>
            </w:pPr>
            <w:r>
              <w:rPr/>
              <w:t>Symbol</w:t>
            </w:r>
          </w:p>
        </w:tc>
        <w:tc>
          <w:tcPr>
            <w:tcW w:w="8915" w:type="dxa"/>
            <w:tcBorders/>
            <w:vAlign w:val="center"/>
          </w:tcPr>
          <w:p>
            <w:pPr>
              <w:pStyle w:val="TableHeading"/>
              <w:suppressLineNumbers/>
              <w:shd w:fill="17365D" w:val="clear"/>
              <w:bidi w:val="0"/>
              <w:spacing w:before="0" w:after="283"/>
              <w:jc w:val="start"/>
              <w:rPr/>
            </w:pPr>
            <w:r>
              <w:rPr/>
              <w:t>Meaning</w:t>
            </w:r>
          </w:p>
        </w:tc>
      </w:tr>
      <w:tr>
        <w:trPr/>
        <w:tc>
          <w:tcPr>
            <w:tcW w:w="837" w:type="dxa"/>
            <w:tcBorders/>
            <w:vAlign w:val="center"/>
          </w:tcPr>
          <w:p>
            <w:pPr>
              <w:pStyle w:val="TableContents"/>
              <w:bidi w:val="0"/>
              <w:spacing w:before="0" w:after="283"/>
              <w:rPr/>
            </w:pPr>
            <w:r>
              <w:rPr/>
              <w:t>AP</w:t>
            </w:r>
          </w:p>
        </w:tc>
        <w:tc>
          <w:tcPr>
            <w:tcW w:w="8915" w:type="dxa"/>
            <w:tcBorders/>
            <w:vAlign w:val="center"/>
          </w:tcPr>
          <w:p>
            <w:pPr>
              <w:pStyle w:val="TableContents"/>
              <w:bidi w:val="0"/>
              <w:spacing w:before="0" w:after="283"/>
              <w:rPr/>
            </w:pPr>
            <w:r>
              <w:rPr/>
              <w:t>Assumed position used to calculate an expected altitude and azimuth.</w:t>
            </w:r>
          </w:p>
        </w:tc>
      </w:tr>
      <w:tr>
        <w:trPr/>
        <w:tc>
          <w:tcPr>
            <w:tcW w:w="837" w:type="dxa"/>
            <w:tcBorders/>
            <w:vAlign w:val="center"/>
          </w:tcPr>
          <w:p>
            <w:pPr>
              <w:pStyle w:val="TableContents"/>
              <w:bidi w:val="0"/>
              <w:spacing w:before="0" w:after="283"/>
              <w:rPr/>
            </w:pPr>
            <w:r>
              <w:rPr/>
              <w:t>DR</w:t>
            </w:r>
          </w:p>
        </w:tc>
        <w:tc>
          <w:tcPr>
            <w:tcW w:w="8915" w:type="dxa"/>
            <w:tcBorders/>
            <w:vAlign w:val="center"/>
          </w:tcPr>
          <w:p>
            <w:pPr>
              <w:pStyle w:val="TableContents"/>
              <w:bidi w:val="0"/>
              <w:spacing w:before="0" w:after="283"/>
              <w:rPr/>
            </w:pPr>
            <w:r>
              <w:rPr/>
              <w:t>Dead-reckoning position obtained from the previous position and estimated motion.</w:t>
            </w:r>
          </w:p>
        </w:tc>
      </w:tr>
      <w:tr>
        <w:trPr/>
        <w:tc>
          <w:tcPr>
            <w:tcW w:w="837" w:type="dxa"/>
            <w:tcBorders/>
            <w:vAlign w:val="center"/>
          </w:tcPr>
          <w:p>
            <w:pPr>
              <w:pStyle w:val="TableContents"/>
              <w:bidi w:val="0"/>
              <w:spacing w:before="0" w:after="283"/>
              <w:rPr/>
            </w:pPr>
            <w:r>
              <w:rPr/>
              <w:t>GP</w:t>
            </w:r>
          </w:p>
        </w:tc>
        <w:tc>
          <w:tcPr>
            <w:tcW w:w="8915" w:type="dxa"/>
            <w:tcBorders/>
            <w:vAlign w:val="center"/>
          </w:tcPr>
          <w:p>
            <w:pPr>
              <w:pStyle w:val="TableContents"/>
              <w:bidi w:val="0"/>
              <w:spacing w:before="0" w:after="283"/>
              <w:rPr/>
            </w:pPr>
            <w:r>
              <w:rPr/>
              <w:t>Geographic position: the point on Earth directly beneath a celestial body.</w:t>
            </w:r>
          </w:p>
        </w:tc>
      </w:tr>
      <w:tr>
        <w:trPr/>
        <w:tc>
          <w:tcPr>
            <w:tcW w:w="837" w:type="dxa"/>
            <w:tcBorders/>
            <w:vAlign w:val="center"/>
          </w:tcPr>
          <w:p>
            <w:pPr>
              <w:pStyle w:val="TableContents"/>
              <w:bidi w:val="0"/>
              <w:spacing w:before="0" w:after="283"/>
              <w:rPr/>
            </w:pPr>
            <w:r>
              <w:rPr/>
              <w:t>Hs</w:t>
            </w:r>
          </w:p>
        </w:tc>
        <w:tc>
          <w:tcPr>
            <w:tcW w:w="8915" w:type="dxa"/>
            <w:tcBorders/>
            <w:vAlign w:val="center"/>
          </w:tcPr>
          <w:p>
            <w:pPr>
              <w:pStyle w:val="TableContents"/>
              <w:bidi w:val="0"/>
              <w:spacing w:before="0" w:after="283"/>
              <w:rPr/>
            </w:pPr>
            <w:r>
              <w:rPr/>
              <w:t>Sextant altitude: the angle read from the sextant.</w:t>
            </w:r>
          </w:p>
        </w:tc>
      </w:tr>
      <w:tr>
        <w:trPr/>
        <w:tc>
          <w:tcPr>
            <w:tcW w:w="837" w:type="dxa"/>
            <w:tcBorders/>
            <w:vAlign w:val="center"/>
          </w:tcPr>
          <w:p>
            <w:pPr>
              <w:pStyle w:val="TableContents"/>
              <w:bidi w:val="0"/>
              <w:spacing w:before="0" w:after="283"/>
              <w:rPr/>
            </w:pPr>
            <w:r>
              <w:rPr/>
              <w:t>Ha</w:t>
            </w:r>
          </w:p>
        </w:tc>
        <w:tc>
          <w:tcPr>
            <w:tcW w:w="8915" w:type="dxa"/>
            <w:tcBorders/>
            <w:vAlign w:val="center"/>
          </w:tcPr>
          <w:p>
            <w:pPr>
              <w:pStyle w:val="TableContents"/>
              <w:bidi w:val="0"/>
              <w:spacing w:before="0" w:after="283"/>
              <w:rPr/>
            </w:pPr>
            <w:r>
              <w:rPr/>
              <w:t>Apparent altitude after index and horizon/dip corrections.</w:t>
            </w:r>
          </w:p>
        </w:tc>
      </w:tr>
      <w:tr>
        <w:trPr/>
        <w:tc>
          <w:tcPr>
            <w:tcW w:w="837" w:type="dxa"/>
            <w:tcBorders/>
            <w:vAlign w:val="center"/>
          </w:tcPr>
          <w:p>
            <w:pPr>
              <w:pStyle w:val="TableContents"/>
              <w:bidi w:val="0"/>
              <w:spacing w:before="0" w:after="283"/>
              <w:rPr/>
            </w:pPr>
            <w:r>
              <w:rPr/>
              <w:t>Ho</w:t>
            </w:r>
          </w:p>
        </w:tc>
        <w:tc>
          <w:tcPr>
            <w:tcW w:w="8915" w:type="dxa"/>
            <w:tcBorders/>
            <w:vAlign w:val="center"/>
          </w:tcPr>
          <w:p>
            <w:pPr>
              <w:pStyle w:val="TableContents"/>
              <w:bidi w:val="0"/>
              <w:spacing w:before="0" w:after="283"/>
              <w:rPr/>
            </w:pPr>
            <w:r>
              <w:rPr/>
              <w:t>Observed altitude: the fully corrected measured altitude used for navigation.</w:t>
            </w:r>
          </w:p>
        </w:tc>
      </w:tr>
      <w:tr>
        <w:trPr/>
        <w:tc>
          <w:tcPr>
            <w:tcW w:w="837" w:type="dxa"/>
            <w:tcBorders/>
            <w:vAlign w:val="center"/>
          </w:tcPr>
          <w:p>
            <w:pPr>
              <w:pStyle w:val="TableContents"/>
              <w:bidi w:val="0"/>
              <w:spacing w:before="0" w:after="283"/>
              <w:rPr/>
            </w:pPr>
            <w:r>
              <w:rPr/>
              <w:t>Hc</w:t>
            </w:r>
          </w:p>
        </w:tc>
        <w:tc>
          <w:tcPr>
            <w:tcW w:w="8915" w:type="dxa"/>
            <w:tcBorders/>
            <w:vAlign w:val="center"/>
          </w:tcPr>
          <w:p>
            <w:pPr>
              <w:pStyle w:val="TableContents"/>
              <w:bidi w:val="0"/>
              <w:spacing w:before="0" w:after="283"/>
              <w:rPr/>
            </w:pPr>
            <w:r>
              <w:rPr/>
              <w:t>Computed altitude predicted at the AP for the observation time.</w:t>
            </w:r>
          </w:p>
        </w:tc>
      </w:tr>
      <w:tr>
        <w:trPr/>
        <w:tc>
          <w:tcPr>
            <w:tcW w:w="837" w:type="dxa"/>
            <w:tcBorders/>
            <w:vAlign w:val="center"/>
          </w:tcPr>
          <w:p>
            <w:pPr>
              <w:pStyle w:val="TableContents"/>
              <w:bidi w:val="0"/>
              <w:spacing w:before="0" w:after="283"/>
              <w:rPr/>
            </w:pPr>
            <w:r>
              <w:rPr/>
              <w:t>Zn</w:t>
            </w:r>
          </w:p>
        </w:tc>
        <w:tc>
          <w:tcPr>
            <w:tcW w:w="8915" w:type="dxa"/>
            <w:tcBorders/>
            <w:vAlign w:val="center"/>
          </w:tcPr>
          <w:p>
            <w:pPr>
              <w:pStyle w:val="TableContents"/>
              <w:bidi w:val="0"/>
              <w:spacing w:before="0" w:after="283"/>
              <w:rPr/>
            </w:pPr>
            <w:r>
              <w:rPr/>
              <w:t>Calculated true azimuth of the body, conventionally 000°–360° from true north.</w:t>
            </w:r>
          </w:p>
        </w:tc>
      </w:tr>
      <w:tr>
        <w:trPr/>
        <w:tc>
          <w:tcPr>
            <w:tcW w:w="837" w:type="dxa"/>
            <w:tcBorders/>
            <w:vAlign w:val="center"/>
          </w:tcPr>
          <w:p>
            <w:pPr>
              <w:pStyle w:val="TableContents"/>
              <w:bidi w:val="0"/>
              <w:spacing w:before="0" w:after="283"/>
              <w:rPr/>
            </w:pPr>
            <w:r>
              <w:rPr/>
              <w:t>COP</w:t>
            </w:r>
          </w:p>
        </w:tc>
        <w:tc>
          <w:tcPr>
            <w:tcW w:w="8915" w:type="dxa"/>
            <w:tcBorders/>
            <w:vAlign w:val="center"/>
          </w:tcPr>
          <w:p>
            <w:pPr>
              <w:pStyle w:val="TableContents"/>
              <w:bidi w:val="0"/>
              <w:spacing w:before="0" w:after="283"/>
              <w:rPr/>
            </w:pPr>
            <w:r>
              <w:rPr/>
              <w:t>Circle of Position, here normally a Circle of Equal Altitude.</w:t>
            </w:r>
          </w:p>
        </w:tc>
      </w:tr>
      <w:tr>
        <w:trPr/>
        <w:tc>
          <w:tcPr>
            <w:tcW w:w="837" w:type="dxa"/>
            <w:tcBorders/>
            <w:vAlign w:val="center"/>
          </w:tcPr>
          <w:p>
            <w:pPr>
              <w:pStyle w:val="TableContents"/>
              <w:bidi w:val="0"/>
              <w:spacing w:before="0" w:after="283"/>
              <w:rPr/>
            </w:pPr>
            <w:r>
              <w:rPr/>
              <w:t>LOP</w:t>
            </w:r>
          </w:p>
        </w:tc>
        <w:tc>
          <w:tcPr>
            <w:tcW w:w="8915" w:type="dxa"/>
            <w:tcBorders/>
            <w:vAlign w:val="center"/>
          </w:tcPr>
          <w:p>
            <w:pPr>
              <w:pStyle w:val="TableContents"/>
              <w:bidi w:val="0"/>
              <w:spacing w:before="0" w:after="283"/>
              <w:rPr/>
            </w:pPr>
            <w:r>
              <w:rPr/>
              <w:t>Line of Position: the local straight-line approximation to a COP.</w:t>
            </w:r>
          </w:p>
        </w:tc>
      </w:tr>
      <w:tr>
        <w:trPr/>
        <w:tc>
          <w:tcPr>
            <w:tcW w:w="837" w:type="dxa"/>
            <w:tcBorders/>
            <w:vAlign w:val="center"/>
          </w:tcPr>
          <w:p>
            <w:pPr>
              <w:pStyle w:val="TableContents"/>
              <w:bidi w:val="0"/>
              <w:spacing w:before="0" w:after="283"/>
              <w:rPr/>
            </w:pPr>
            <w:r>
              <w:rPr/>
              <w:t>GHA</w:t>
            </w:r>
          </w:p>
        </w:tc>
        <w:tc>
          <w:tcPr>
            <w:tcW w:w="8915" w:type="dxa"/>
            <w:tcBorders/>
            <w:vAlign w:val="center"/>
          </w:tcPr>
          <w:p>
            <w:pPr>
              <w:pStyle w:val="TableContents"/>
              <w:bidi w:val="0"/>
              <w:spacing w:before="0" w:after="283"/>
              <w:rPr/>
            </w:pPr>
            <w:r>
              <w:rPr/>
              <w:t>Greenwich Hour Angle, measured westward from Greenwich to the body's hour circle.</w:t>
            </w:r>
          </w:p>
        </w:tc>
      </w:tr>
      <w:tr>
        <w:trPr/>
        <w:tc>
          <w:tcPr>
            <w:tcW w:w="837" w:type="dxa"/>
            <w:tcBorders/>
            <w:vAlign w:val="center"/>
          </w:tcPr>
          <w:p>
            <w:pPr>
              <w:pStyle w:val="TableContents"/>
              <w:bidi w:val="0"/>
              <w:spacing w:before="0" w:after="283"/>
              <w:rPr/>
            </w:pPr>
            <w:r>
              <w:rPr/>
              <w:t>LHA</w:t>
            </w:r>
          </w:p>
        </w:tc>
        <w:tc>
          <w:tcPr>
            <w:tcW w:w="8915" w:type="dxa"/>
            <w:tcBorders/>
            <w:vAlign w:val="center"/>
          </w:tcPr>
          <w:p>
            <w:pPr>
              <w:pStyle w:val="TableContents"/>
              <w:bidi w:val="0"/>
              <w:spacing w:before="0" w:after="283"/>
              <w:rPr/>
            </w:pPr>
            <w:r>
              <w:rPr/>
              <w:t>Local Hour Angle, the body's hour angle relative to the observer's meridian.</w:t>
            </w:r>
          </w:p>
        </w:tc>
      </w:tr>
      <w:tr>
        <w:trPr/>
        <w:tc>
          <w:tcPr>
            <w:tcW w:w="837" w:type="dxa"/>
            <w:tcBorders/>
            <w:vAlign w:val="center"/>
          </w:tcPr>
          <w:p>
            <w:pPr>
              <w:pStyle w:val="TableContents"/>
              <w:bidi w:val="0"/>
              <w:spacing w:before="0" w:after="283"/>
              <w:rPr/>
            </w:pPr>
            <w:r>
              <w:rPr/>
              <w:t>UTC / UT1</w:t>
            </w:r>
          </w:p>
        </w:tc>
        <w:tc>
          <w:tcPr>
            <w:tcW w:w="8915"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9752" w:type="dxa"/>
        <w:jc w:val="start"/>
        <w:tblInd w:w="0" w:type="dxa"/>
        <w:tblLayout w:type="fixed"/>
        <w:tblCellMar>
          <w:top w:w="28" w:type="dxa"/>
          <w:start w:w="28" w:type="dxa"/>
          <w:bottom w:w="28" w:type="dxa"/>
          <w:end w:w="28" w:type="dxa"/>
        </w:tblCellMar>
      </w:tblPr>
      <w:tblGrid>
        <w:gridCol w:w="1316"/>
        <w:gridCol w:w="8436"/>
      </w:tblGrid>
      <w:tr>
        <w:trPr/>
        <w:tc>
          <w:tcPr>
            <w:tcW w:w="1316" w:type="dxa"/>
            <w:tcBorders/>
            <w:vAlign w:val="center"/>
          </w:tcPr>
          <w:p>
            <w:pPr>
              <w:pStyle w:val="TableHeading"/>
              <w:suppressLineNumbers/>
              <w:shd w:fill="17365D" w:val="clear"/>
              <w:bidi w:val="0"/>
              <w:spacing w:before="0" w:after="283"/>
              <w:jc w:val="start"/>
              <w:rPr/>
            </w:pPr>
            <w:r>
              <w:rPr/>
              <w:t>Term</w:t>
            </w:r>
          </w:p>
        </w:tc>
        <w:tc>
          <w:tcPr>
            <w:tcW w:w="8436" w:type="dxa"/>
            <w:tcBorders/>
            <w:vAlign w:val="center"/>
          </w:tcPr>
          <w:p>
            <w:pPr>
              <w:pStyle w:val="TableHeading"/>
              <w:suppressLineNumbers/>
              <w:shd w:fill="17365D" w:val="clear"/>
              <w:bidi w:val="0"/>
              <w:spacing w:before="0" w:after="283"/>
              <w:jc w:val="start"/>
              <w:rPr/>
            </w:pPr>
            <w:r>
              <w:rPr/>
              <w:t>Purpose</w:t>
            </w:r>
          </w:p>
        </w:tc>
      </w:tr>
      <w:tr>
        <w:trPr/>
        <w:tc>
          <w:tcPr>
            <w:tcW w:w="1316" w:type="dxa"/>
            <w:tcBorders/>
            <w:vAlign w:val="center"/>
          </w:tcPr>
          <w:p>
            <w:pPr>
              <w:pStyle w:val="TableContents"/>
              <w:bidi w:val="0"/>
              <w:spacing w:before="0" w:after="283"/>
              <w:rPr/>
            </w:pPr>
            <w:r>
              <w:rPr/>
              <w:t>Index correction</w:t>
            </w:r>
          </w:p>
        </w:tc>
        <w:tc>
          <w:tcPr>
            <w:tcW w:w="8436"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316" w:type="dxa"/>
            <w:tcBorders/>
            <w:vAlign w:val="center"/>
          </w:tcPr>
          <w:p>
            <w:pPr>
              <w:pStyle w:val="TableContents"/>
              <w:bidi w:val="0"/>
              <w:spacing w:before="0" w:after="283"/>
              <w:rPr/>
            </w:pPr>
            <w:r>
              <w:rPr/>
              <w:t>Dip</w:t>
            </w:r>
          </w:p>
        </w:tc>
        <w:tc>
          <w:tcPr>
            <w:tcW w:w="8436"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316" w:type="dxa"/>
            <w:tcBorders/>
            <w:vAlign w:val="center"/>
          </w:tcPr>
          <w:p>
            <w:pPr>
              <w:pStyle w:val="TableContents"/>
              <w:bidi w:val="0"/>
              <w:spacing w:before="0" w:after="283"/>
              <w:rPr/>
            </w:pPr>
            <w:r>
              <w:rPr/>
              <w:t>Refraction</w:t>
            </w:r>
          </w:p>
        </w:tc>
        <w:tc>
          <w:tcPr>
            <w:tcW w:w="8436"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316" w:type="dxa"/>
            <w:tcBorders/>
            <w:vAlign w:val="center"/>
          </w:tcPr>
          <w:p>
            <w:pPr>
              <w:pStyle w:val="TableContents"/>
              <w:bidi w:val="0"/>
              <w:spacing w:before="0" w:after="283"/>
              <w:rPr/>
            </w:pPr>
            <w:r>
              <w:rPr/>
              <w:t>Semidiameter</w:t>
            </w:r>
          </w:p>
        </w:tc>
        <w:tc>
          <w:tcPr>
            <w:tcW w:w="8436" w:type="dxa"/>
            <w:tcBorders/>
            <w:vAlign w:val="center"/>
          </w:tcPr>
          <w:p>
            <w:pPr>
              <w:pStyle w:val="TableContents"/>
              <w:bidi w:val="0"/>
              <w:spacing w:before="0" w:after="283"/>
              <w:rPr/>
            </w:pPr>
            <w:r>
              <w:rPr/>
              <w:t>Converts a selected upper or lower limb of the Sun or Moon to the body's centre.</w:t>
            </w:r>
          </w:p>
        </w:tc>
      </w:tr>
      <w:tr>
        <w:trPr/>
        <w:tc>
          <w:tcPr>
            <w:tcW w:w="1316" w:type="dxa"/>
            <w:tcBorders/>
            <w:vAlign w:val="center"/>
          </w:tcPr>
          <w:p>
            <w:pPr>
              <w:pStyle w:val="TableContents"/>
              <w:bidi w:val="0"/>
              <w:spacing w:before="0" w:after="283"/>
              <w:rPr/>
            </w:pPr>
            <w:r>
              <w:rPr/>
              <w:t>Parallax in altitude</w:t>
            </w:r>
          </w:p>
        </w:tc>
        <w:tc>
          <w:tcPr>
            <w:tcW w:w="8436"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1302"/>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1302"/>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9752" w:type="dxa"/>
        <w:jc w:val="start"/>
        <w:tblInd w:w="0" w:type="dxa"/>
        <w:tblLayout w:type="fixed"/>
        <w:tblCellMar>
          <w:top w:w="28" w:type="dxa"/>
          <w:start w:w="28" w:type="dxa"/>
          <w:bottom w:w="28" w:type="dxa"/>
          <w:end w:w="28" w:type="dxa"/>
        </w:tblCellMar>
      </w:tblPr>
      <w:tblGrid>
        <w:gridCol w:w="1500"/>
        <w:gridCol w:w="8252"/>
      </w:tblGrid>
      <w:tr>
        <w:trPr/>
        <w:tc>
          <w:tcPr>
            <w:tcW w:w="1500" w:type="dxa"/>
            <w:tcBorders/>
            <w:vAlign w:val="center"/>
          </w:tcPr>
          <w:p>
            <w:pPr>
              <w:pStyle w:val="TableHeading"/>
              <w:suppressLineNumbers/>
              <w:shd w:fill="17365D" w:val="clear"/>
              <w:bidi w:val="0"/>
              <w:spacing w:before="0" w:after="283"/>
              <w:jc w:val="start"/>
              <w:rPr/>
            </w:pPr>
            <w:r>
              <w:rPr/>
              <w:t>Control</w:t>
            </w:r>
          </w:p>
        </w:tc>
        <w:tc>
          <w:tcPr>
            <w:tcW w:w="8252" w:type="dxa"/>
            <w:tcBorders/>
            <w:vAlign w:val="center"/>
          </w:tcPr>
          <w:p>
            <w:pPr>
              <w:pStyle w:val="TableHeading"/>
              <w:suppressLineNumbers/>
              <w:shd w:fill="17365D" w:val="clear"/>
              <w:bidi w:val="0"/>
              <w:spacing w:before="0" w:after="283"/>
              <w:jc w:val="start"/>
              <w:rPr/>
            </w:pPr>
            <w:r>
              <w:rPr/>
              <w:t>Purpose</w:t>
            </w:r>
          </w:p>
        </w:tc>
      </w:tr>
      <w:tr>
        <w:trPr/>
        <w:tc>
          <w:tcPr>
            <w:tcW w:w="1500" w:type="dxa"/>
            <w:tcBorders/>
            <w:vAlign w:val="center"/>
          </w:tcPr>
          <w:p>
            <w:pPr>
              <w:pStyle w:val="TableContents"/>
              <w:bidi w:val="0"/>
              <w:spacing w:before="0" w:after="283"/>
              <w:rPr/>
            </w:pPr>
            <w:r>
              <w:rPr/>
              <w:t>New</w:t>
            </w:r>
          </w:p>
        </w:tc>
        <w:tc>
          <w:tcPr>
            <w:tcW w:w="8252" w:type="dxa"/>
            <w:tcBorders/>
            <w:vAlign w:val="center"/>
          </w:tcPr>
          <w:p>
            <w:pPr>
              <w:pStyle w:val="TableContents"/>
              <w:bidi w:val="0"/>
              <w:spacing w:before="0" w:after="283"/>
              <w:rPr/>
            </w:pPr>
            <w:r>
              <w:rPr/>
              <w:t>Create an altitude, azimuth or lunar observation.</w:t>
            </w:r>
          </w:p>
        </w:tc>
      </w:tr>
      <w:tr>
        <w:trPr/>
        <w:tc>
          <w:tcPr>
            <w:tcW w:w="1500" w:type="dxa"/>
            <w:tcBorders/>
            <w:vAlign w:val="center"/>
          </w:tcPr>
          <w:p>
            <w:pPr>
              <w:pStyle w:val="TableContents"/>
              <w:bidi w:val="0"/>
              <w:spacing w:before="0" w:after="283"/>
              <w:rPr/>
            </w:pPr>
            <w:r>
              <w:rPr/>
              <w:t>Fix…</w:t>
            </w:r>
          </w:p>
        </w:tc>
        <w:tc>
          <w:tcPr>
            <w:tcW w:w="8252" w:type="dxa"/>
            <w:tcBorders/>
            <w:vAlign w:val="center"/>
          </w:tcPr>
          <w:p>
            <w:pPr>
              <w:pStyle w:val="TableContents"/>
              <w:bidi w:val="0"/>
              <w:spacing w:before="0" w:after="283"/>
              <w:rPr/>
            </w:pPr>
            <w:r>
              <w:rPr/>
              <w:t>Solve from suitable visible sights near a selected epoch.</w:t>
            </w:r>
          </w:p>
        </w:tc>
      </w:tr>
      <w:tr>
        <w:trPr/>
        <w:tc>
          <w:tcPr>
            <w:tcW w:w="1500" w:type="dxa"/>
            <w:tcBorders/>
            <w:vAlign w:val="center"/>
          </w:tcPr>
          <w:p>
            <w:pPr>
              <w:pStyle w:val="TableContents"/>
              <w:bidi w:val="0"/>
              <w:spacing w:before="0" w:after="283"/>
              <w:rPr/>
            </w:pPr>
            <w:r>
              <w:rPr/>
              <w:t>Horizon Event…</w:t>
            </w:r>
          </w:p>
        </w:tc>
        <w:tc>
          <w:tcPr>
            <w:tcW w:w="8252" w:type="dxa"/>
            <w:tcBorders/>
            <w:vAlign w:val="center"/>
          </w:tcPr>
          <w:p>
            <w:pPr>
              <w:pStyle w:val="TableContents"/>
              <w:bidi w:val="0"/>
              <w:spacing w:before="0" w:after="283"/>
              <w:rPr/>
            </w:pPr>
            <w:r>
              <w:rPr/>
              <w:t>Record observed sunrise or sunset timing and optional bearing.</w:t>
            </w:r>
          </w:p>
        </w:tc>
      </w:tr>
      <w:tr>
        <w:trPr/>
        <w:tc>
          <w:tcPr>
            <w:tcW w:w="1500" w:type="dxa"/>
            <w:tcBorders/>
            <w:vAlign w:val="center"/>
          </w:tcPr>
          <w:p>
            <w:pPr>
              <w:pStyle w:val="TableContents"/>
              <w:bidi w:val="0"/>
              <w:spacing w:before="0" w:after="283"/>
              <w:rPr/>
            </w:pPr>
            <w:r>
              <w:rPr/>
              <w:t>Sun &amp; Moon…</w:t>
            </w:r>
          </w:p>
        </w:tc>
        <w:tc>
          <w:tcPr>
            <w:tcW w:w="8252" w:type="dxa"/>
            <w:tcBorders/>
            <w:vAlign w:val="center"/>
          </w:tcPr>
          <w:p>
            <w:pPr>
              <w:pStyle w:val="TableContents"/>
              <w:bidi w:val="0"/>
              <w:spacing w:before="0" w:after="283"/>
              <w:rPr/>
            </w:pPr>
            <w:r>
              <w:rPr/>
              <w:t>Open the offline event, body, best-sight, almanac, noon and Polaris planner.</w:t>
            </w:r>
          </w:p>
        </w:tc>
      </w:tr>
      <w:tr>
        <w:trPr/>
        <w:tc>
          <w:tcPr>
            <w:tcW w:w="1500" w:type="dxa"/>
            <w:tcBorders/>
            <w:vAlign w:val="center"/>
          </w:tcPr>
          <w:p>
            <w:pPr>
              <w:pStyle w:val="TableContents"/>
              <w:bidi w:val="0"/>
              <w:spacing w:before="0" w:after="283"/>
              <w:rPr/>
            </w:pPr>
            <w:r>
              <w:rPr/>
              <w:t>Analyze Sights…</w:t>
            </w:r>
          </w:p>
        </w:tc>
        <w:tc>
          <w:tcPr>
            <w:tcW w:w="8252" w:type="dxa"/>
            <w:tcBorders/>
            <w:vAlign w:val="center"/>
          </w:tcPr>
          <w:p>
            <w:pPr>
              <w:pStyle w:val="TableContents"/>
              <w:bidi w:val="0"/>
              <w:spacing w:before="0" w:after="283"/>
              <w:rPr/>
            </w:pPr>
            <w:r>
              <w:rPr/>
              <w:t>Analyze residuals and repeat-observation behaviour.</w:t>
            </w:r>
          </w:p>
        </w:tc>
      </w:tr>
      <w:tr>
        <w:trPr/>
        <w:tc>
          <w:tcPr>
            <w:tcW w:w="1500" w:type="dxa"/>
            <w:tcBorders/>
            <w:vAlign w:val="center"/>
          </w:tcPr>
          <w:p>
            <w:pPr>
              <w:pStyle w:val="TableContents"/>
              <w:bidi w:val="0"/>
              <w:spacing w:before="0" w:after="283"/>
              <w:rPr/>
            </w:pPr>
            <w:r>
              <w:rPr/>
              <w:t>Lunar Tools…</w:t>
            </w:r>
          </w:p>
        </w:tc>
        <w:tc>
          <w:tcPr>
            <w:tcW w:w="8252"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1500" w:type="dxa"/>
            <w:tcBorders/>
            <w:vAlign w:val="center"/>
          </w:tcPr>
          <w:p>
            <w:pPr>
              <w:pStyle w:val="TableContents"/>
              <w:bidi w:val="0"/>
              <w:spacing w:before="0" w:after="283"/>
              <w:rPr/>
            </w:pPr>
            <w:r>
              <w:rPr/>
              <w:t>Generate Almanac…</w:t>
            </w:r>
          </w:p>
        </w:tc>
        <w:tc>
          <w:tcPr>
            <w:tcW w:w="8252"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1500" w:type="dxa"/>
            <w:tcBorders/>
            <w:vAlign w:val="center"/>
          </w:tcPr>
          <w:p>
            <w:pPr>
              <w:pStyle w:val="TableContents"/>
              <w:bidi w:val="0"/>
              <w:spacing w:before="0" w:after="283"/>
              <w:rPr/>
            </w:pPr>
            <w:r>
              <w:rPr/>
              <w:t>Eclipses…</w:t>
            </w:r>
          </w:p>
        </w:tc>
        <w:tc>
          <w:tcPr>
            <w:tcW w:w="8252" w:type="dxa"/>
            <w:tcBorders/>
            <w:vAlign w:val="center"/>
          </w:tcPr>
          <w:p>
            <w:pPr>
              <w:pStyle w:val="TableContents"/>
              <w:bidi w:val="0"/>
              <w:spacing w:before="0" w:after="283"/>
              <w:rPr/>
            </w:pPr>
            <w:r>
              <w:rPr/>
              <w:t>Search, plot and calculate offline solar-eclipse circumstances.</w:t>
            </w:r>
          </w:p>
        </w:tc>
      </w:tr>
      <w:tr>
        <w:trPr/>
        <w:tc>
          <w:tcPr>
            <w:tcW w:w="1500" w:type="dxa"/>
            <w:tcBorders/>
            <w:vAlign w:val="center"/>
          </w:tcPr>
          <w:p>
            <w:pPr>
              <w:pStyle w:val="TableContents"/>
              <w:bidi w:val="0"/>
              <w:spacing w:before="0" w:after="283"/>
              <w:rPr/>
            </w:pPr>
            <w:r>
              <w:rPr/>
              <w:t>Coastal Sextant…</w:t>
            </w:r>
          </w:p>
        </w:tc>
        <w:tc>
          <w:tcPr>
            <w:tcW w:w="8252" w:type="dxa"/>
            <w:tcBorders/>
            <w:vAlign w:val="center"/>
          </w:tcPr>
          <w:p>
            <w:pPr>
              <w:pStyle w:val="TableContents"/>
              <w:bidi w:val="0"/>
              <w:spacing w:before="0" w:after="283"/>
              <w:rPr/>
            </w:pPr>
            <w:r>
              <w:rPr/>
              <w:t>Use vertical-angle ranging or horizontal-sextant-angle fixing.</w:t>
            </w:r>
          </w:p>
        </w:tc>
      </w:tr>
      <w:tr>
        <w:trPr/>
        <w:tc>
          <w:tcPr>
            <w:tcW w:w="1500" w:type="dxa"/>
            <w:tcBorders/>
            <w:vAlign w:val="center"/>
          </w:tcPr>
          <w:p>
            <w:pPr>
              <w:pStyle w:val="TableContents"/>
              <w:bidi w:val="0"/>
              <w:spacing w:before="0" w:after="283"/>
              <w:rPr/>
            </w:pPr>
            <w:r>
              <w:rPr/>
              <w:t>Duplicate / Edit / Delete</w:t>
            </w:r>
          </w:p>
        </w:tc>
        <w:tc>
          <w:tcPr>
            <w:tcW w:w="8252" w:type="dxa"/>
            <w:tcBorders/>
            <w:vAlign w:val="center"/>
          </w:tcPr>
          <w:p>
            <w:pPr>
              <w:pStyle w:val="TableContents"/>
              <w:bidi w:val="0"/>
              <w:spacing w:before="0" w:after="283"/>
              <w:rPr/>
            </w:pPr>
            <w:r>
              <w:rPr/>
              <w:t>Manage a selected stored sight. Duplicate is useful for a run of sights.</w:t>
            </w:r>
          </w:p>
        </w:tc>
      </w:tr>
      <w:tr>
        <w:trPr/>
        <w:tc>
          <w:tcPr>
            <w:tcW w:w="1500" w:type="dxa"/>
            <w:tcBorders/>
            <w:vAlign w:val="center"/>
          </w:tcPr>
          <w:p>
            <w:pPr>
              <w:pStyle w:val="TableContents"/>
              <w:bidi w:val="0"/>
              <w:spacing w:before="0" w:after="283"/>
              <w:rPr/>
            </w:pPr>
            <w:r>
              <w:rPr/>
              <w:t>Clock Offset</w:t>
            </w:r>
          </w:p>
        </w:tc>
        <w:tc>
          <w:tcPr>
            <w:tcW w:w="8252" w:type="dxa"/>
            <w:tcBorders/>
            <w:vAlign w:val="center"/>
          </w:tcPr>
          <w:p>
            <w:pPr>
              <w:pStyle w:val="TableContents"/>
              <w:bidi w:val="0"/>
              <w:spacing w:before="0" w:after="283"/>
              <w:rPr/>
            </w:pPr>
            <w:r>
              <w:rPr/>
              <w:t>Apply a common correction to stored sight times.</w:t>
            </w:r>
          </w:p>
        </w:tc>
      </w:tr>
      <w:tr>
        <w:trPr/>
        <w:tc>
          <w:tcPr>
            <w:tcW w:w="1500" w:type="dxa"/>
            <w:tcBorders/>
            <w:vAlign w:val="center"/>
          </w:tcPr>
          <w:p>
            <w:pPr>
              <w:pStyle w:val="TableContents"/>
              <w:bidi w:val="0"/>
              <w:spacing w:before="0" w:after="283"/>
              <w:rPr/>
            </w:pPr>
            <w:r>
              <w:rPr/>
              <w:t>Hide Sights / Show Sights</w:t>
            </w:r>
          </w:p>
        </w:tc>
        <w:tc>
          <w:tcPr>
            <w:tcW w:w="8252" w:type="dxa"/>
            <w:tcBorders/>
            <w:vAlign w:val="center"/>
          </w:tcPr>
          <w:p>
            <w:pPr>
              <w:pStyle w:val="TableContents"/>
              <w:bidi w:val="0"/>
              <w:spacing w:before="0" w:after="283"/>
              <w:rPr/>
            </w:pPr>
            <w:r>
              <w:rPr/>
              <w:t>Collapse or restore the sight list and controls.</w:t>
            </w:r>
          </w:p>
        </w:tc>
      </w:tr>
      <w:tr>
        <w:trPr/>
        <w:tc>
          <w:tcPr>
            <w:tcW w:w="1500" w:type="dxa"/>
            <w:tcBorders/>
            <w:vAlign w:val="center"/>
          </w:tcPr>
          <w:p>
            <w:pPr>
              <w:pStyle w:val="TableContents"/>
              <w:bidi w:val="0"/>
              <w:spacing w:before="0" w:after="283"/>
              <w:rPr/>
            </w:pPr>
            <w:r>
              <w:rPr/>
              <w:t>Documentation</w:t>
            </w:r>
          </w:p>
        </w:tc>
        <w:tc>
          <w:tcPr>
            <w:tcW w:w="8252" w:type="dxa"/>
            <w:tcBorders/>
            <w:vAlign w:val="center"/>
          </w:tcPr>
          <w:p>
            <w:pPr>
              <w:pStyle w:val="TableContents"/>
              <w:bidi w:val="0"/>
              <w:spacing w:before="0" w:after="283"/>
              <w:rPr/>
            </w:pPr>
            <w:r>
              <w:rPr/>
              <w:t>Open this completely offline manual in the plugin's internal viewer.</w:t>
            </w:r>
          </w:p>
        </w:tc>
      </w:tr>
      <w:tr>
        <w:trPr/>
        <w:tc>
          <w:tcPr>
            <w:tcW w:w="1500" w:type="dxa"/>
            <w:tcBorders/>
            <w:vAlign w:val="center"/>
          </w:tcPr>
          <w:p>
            <w:pPr>
              <w:pStyle w:val="TableContents"/>
              <w:bidi w:val="0"/>
              <w:spacing w:before="0" w:after="283"/>
              <w:rPr/>
            </w:pPr>
            <w:r>
              <w:rPr/>
              <w:t>PDF Documentation</w:t>
            </w:r>
          </w:p>
        </w:tc>
        <w:tc>
          <w:tcPr>
            <w:tcW w:w="8252"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 xml:space="preserve">Editors use task-specific actions: </w:t>
      </w:r>
      <w:r>
        <w:rPr>
          <w:rStyle w:val="Strong"/>
        </w:rPr>
        <w:t>Create Sight</w:t>
      </w:r>
      <w:r>
        <w:rPr/>
        <w:t xml:space="preserve"> or </w:t>
      </w:r>
      <w:r>
        <w:rPr>
          <w:rStyle w:val="Strong"/>
        </w:rPr>
        <w:t>Create Event</w:t>
      </w:r>
      <w:r>
        <w:rPr/>
        <w:t xml:space="preserve"> for new records, and </w:t>
      </w:r>
      <w:r>
        <w:rPr>
          <w:rStyle w:val="Strong"/>
        </w:rPr>
        <w:t>Save Changes</w:t>
      </w:r>
      <w:r>
        <w:rPr/>
        <w:t xml:space="preserve"> when editing an existing record. </w:t>
      </w:r>
      <w:r>
        <w:rPr>
          <w:rStyle w:val="Strong"/>
        </w:rPr>
        <w:t>Cancel</w:t>
      </w:r>
      <w:r>
        <w:rPr/>
        <w:t xml:space="preserve"> discards edits. If an editor contains unsaved changes, closing it with the window close button asks for confirmation before discarding them. Read-only and workbench windows use </w:t>
      </w:r>
      <w:r>
        <w:rPr>
          <w:rStyle w:val="Strong"/>
        </w:rPr>
        <w:t>Close</w:t>
      </w:r>
      <w:r>
        <w:rPr/>
        <w:t>. Substantial resizable tool windows remember their size and position, and are brought back onto a visible display if the monitor layout later changes.</w:t>
      </w:r>
    </w:p>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 xml:space="preserve">Use the panel to decide how much confidence to place in a captured time and to synchronise a deck watch. Use </w:t>
      </w:r>
      <w:r>
        <w:rPr>
          <w:rStyle w:val="Strong"/>
        </w:rPr>
        <w:t>Hide Time</w:t>
      </w:r>
      <w:r>
        <w:rPr/>
        <w:t xml:space="preserve"> and </w:t>
      </w:r>
      <w:r>
        <w:rPr>
          <w:rStyle w:val="Strong"/>
        </w:rPr>
        <w:t>Show Time</w:t>
      </w:r>
      <w:r>
        <w:rPr/>
        <w:t xml:space="preserve"> to hide or restore the Time integrity panel when screen space is limited; this does not change the solver's time corrections.</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 The zone controls are enabled only when ship-zone input or fixed-offset display uses them. A temporarily blank or invalid offset retains the last valid value rather than silently becoming the western limit.</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 The bold </w:t>
      </w:r>
      <w:r>
        <w:rPr>
          <w:rStyle w:val="Strong"/>
        </w:rPr>
        <w:t>Resolved UTC</w:t>
      </w:r>
      <w:r>
        <w:rPr/>
        <w:t xml:space="preserve"> line is the authoritative instant shared by every planner tab, independent of entry or display format.</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 The schedule always covers the UTC civil day containing the resolved planning instant; local display dates may therefore differ near the date line.</w:t>
      </w:r>
    </w:p>
    <w:p>
      <w:pPr>
        <w:pStyle w:val="Heading2"/>
        <w:bidi w:val="0"/>
        <w:rPr/>
      </w:pPr>
      <w:r>
        <w:rPr/>
        <w:t>9.3 Bodies &amp; Best Sights</w:t>
      </w:r>
    </w:p>
    <w:p>
      <w:pPr>
        <w:pStyle w:val="BodyText"/>
        <w:bidi w:val="0"/>
        <w:rPr/>
      </w:pPr>
      <w:r>
        <w:rPr/>
        <w:t xml:space="preserve">The body list shows every catalogued body whose geometric Hc is at or above the horizon. Click any column heading to sort the table; click it again to reverse the order. </w:t>
      </w:r>
      <w:r>
        <w:rPr>
          <w:rStyle w:val="Strong"/>
        </w:rPr>
        <w:t>Limit recommendations by Hc</w:t>
      </w:r>
      <w:r>
        <w:rPr/>
        <w:t xml:space="preserve"> optionally applies the adjacent, editable minimum and maximum only to suggested pairs and triads. The initial preferred range is 10°–75°. Bodies outside it remain in the table and are marked below or above the preferred Hc; disabling the option makes every listed body eligible for recommendations.</w:t>
      </w:r>
    </w:p>
    <w:p>
      <w:pPr>
        <w:pStyle w:val="BodyText"/>
        <w:bidi w:val="0"/>
        <w:rPr/>
      </w:pPr>
      <w:r>
        <w:rPr/>
        <w:t>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favour the brightest bodies and share the available label allowance across the four compass quadrants. The allowance adapts to the plot size, and labels are still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body GHA, SHA, declination, GHA Aries, local hour angle of Aries, Hc and true Zn for the selected position/time context. Longitude is signed east-positive, so local hour angle is </w:t>
      </w:r>
      <w:r>
        <w:rPr>
          <w:rStyle w:val="SourceText"/>
        </w:rPr>
        <w:t>GHA + longitude</w:t>
      </w:r>
      <w:r>
        <w:rPr/>
        <w:t xml:space="preserve">, wrapped to 0–360°. </w:t>
      </w:r>
      <w:r>
        <w:rPr>
          <w:rStyle w:val="Strong"/>
        </w:rPr>
        <w:t>Export CSV…</w:t>
      </w:r>
      <w:r>
        <w:rPr/>
        <w:t xml:space="preserve"> creates the same columns in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and show the sights to include. </w:t>
      </w:r>
    </w:p>
    <w:p>
      <w:pPr>
        <w:pStyle w:val="BodyText"/>
        <w:numPr>
          <w:ilvl w:val="0"/>
          <w:numId w:val="11"/>
        </w:numPr>
        <w:tabs>
          <w:tab w:val="clear" w:pos="1134"/>
          <w:tab w:val="left" w:pos="709" w:leader="none"/>
        </w:tabs>
        <w:bidi w:val="0"/>
        <w:spacing w:before="0" w:after="0"/>
        <w:ind w:hanging="283" w:start="709"/>
        <w:rPr/>
      </w:pPr>
      <w:r>
        <w:rPr/>
        <w:t xml:space="preserve">Open </w:t>
      </w:r>
      <w:r>
        <w:rPr>
          <w:rStyle w:val="Strong"/>
        </w:rPr>
        <w:t>Fix…</w:t>
      </w:r>
      <w:r>
        <w:rPr/>
        <w:t xml:space="preserve"> and enable </w:t>
      </w:r>
      <w:r>
        <w:rPr>
          <w:rStyle w:val="Strong"/>
        </w:rPr>
        <w:t>Propagate every sight to a common epoch</w:t>
      </w:r>
      <w:r>
        <w:rPr/>
        <w:t xml:space="preserve">. </w:t>
      </w:r>
    </w:p>
    <w:p>
      <w:pPr>
        <w:pStyle w:val="BodyText"/>
        <w:numPr>
          <w:ilvl w:val="0"/>
          <w:numId w:val="11"/>
        </w:numPr>
        <w:tabs>
          <w:tab w:val="clear" w:pos="1134"/>
          <w:tab w:val="left" w:pos="709" w:leader="none"/>
        </w:tabs>
        <w:bidi w:val="0"/>
        <w:spacing w:before="0" w:after="0"/>
        <w:ind w:hanging="283" w:start="709"/>
        <w:rPr/>
      </w:pPr>
      <w:r>
        <w:rPr/>
        <w:t xml:space="preserve">Choose the reference epoch with its date, time and UTC or computer-local time basis. Normally this is the latest observation's corrected UTC. </w:t>
      </w:r>
    </w:p>
    <w:p>
      <w:pPr>
        <w:pStyle w:val="BodyText"/>
        <w:numPr>
          <w:ilvl w:val="0"/>
          <w:numId w:val="11"/>
        </w:numPr>
        <w:tabs>
          <w:tab w:val="clear" w:pos="1134"/>
          <w:tab w:val="left" w:pos="709" w:leader="none"/>
        </w:tabs>
        <w:bidi w:val="0"/>
        <w:spacing w:before="0" w:after="0"/>
        <w:ind w:hanging="283" w:start="709"/>
        <w:rPr/>
      </w:pPr>
      <w:r>
        <w:rPr/>
        <w:t xml:space="preserve">Select </w:t>
      </w:r>
      <w:r>
        <w:rPr>
          <w:rStyle w:val="Strong"/>
        </w:rPr>
        <w:t>One COG and SOG</w:t>
      </w:r>
      <w:r>
        <w:rPr/>
        <w:t xml:space="preserve"> for constant vessel motion, or </w:t>
      </w:r>
      <w:r>
        <w:rPr>
          <w:rStyle w:val="Strong"/>
        </w:rPr>
        <w:t>Each sight's DR Shift</w:t>
      </w:r>
      <w:r>
        <w:rPr/>
        <w:t xml:space="preserve"> for individually recorded displacements. </w:t>
      </w:r>
    </w:p>
    <w:p>
      <w:pPr>
        <w:pStyle w:val="BodyText"/>
        <w:numPr>
          <w:ilvl w:val="0"/>
          <w:numId w:val="11"/>
        </w:numPr>
        <w:tabs>
          <w:tab w:val="clear" w:pos="1134"/>
          <w:tab w:val="left" w:pos="709" w:leader="none"/>
        </w:tabs>
        <w:bidi w:val="0"/>
        <w:ind w:hanging="283" w:start="709"/>
        <w:rPr/>
      </w:pPr>
      <w:r>
        <w:rPr/>
        <w:t xml:space="preserve">Solve and inspect the included inputs, residuals, RMS and formal uncertainty ellipse. </w:t>
      </w:r>
    </w:p>
    <w:p>
      <w:pPr>
        <w:pStyle w:val="BodyText"/>
        <w:bidi w:val="0"/>
        <w:rPr/>
      </w:pPr>
      <w:r>
        <w:rPr/>
        <w:t xml:space="preserve">With </w:t>
      </w:r>
      <w:r>
        <w:rPr>
          <w:rStyle w:val="Strong"/>
        </w:rPr>
        <w:t>One COG and SOG</w:t>
      </w:r>
      <w:r>
        <w:rPr/>
        <w:t xml:space="preserve">, enter the best available true course and speed; the solver ignores saved per-sight shifts. With </w:t>
      </w:r>
      <w:r>
        <w:rPr>
          <w:rStyle w:val="Strong"/>
        </w:rPr>
        <w:t>Each sight's DR Shift</w:t>
      </w:r>
      <w:r>
        <w:rPr/>
        <w:t>, enter each sight's distance and bearing travelled from that observation to the chosen epoch, using its DR Shift tab. The latest sight normally has zero shift. This supports changes of course or speed; the common COG/SOG controls are disabled and are not added again.</w:t>
      </w:r>
    </w:p>
    <w:p>
      <w:pPr>
        <w:pStyle w:val="BodyText"/>
        <w:bidi w:val="0"/>
        <w:rPr/>
      </w:pPr>
      <w:r>
        <w:rPr/>
        <w:t>If any visible altitude or horizon sight has a non-zero saved shift, opening Fix automatically selects the per-sight mode and the latest visible sight's corrected UTC. Confirm that all shifts actually refer to that epoch, especially after changing the epoch. The results table shows the saved distance, whether the bearing is magnetic or true, and the true bearing used. These inputs stay visible even if the solution fails. With no saved shifts, the dialog retains its stationary default. Stationary plane/sphere/cone algorithms exclude shifted sights and report that exclusion; enable the running-fix option to use them.</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BodyText"/>
        <w:bidi w:val="0"/>
        <w:rPr/>
      </w:pPr>
      <w:r>
        <w:rPr/>
        <w:t>In stationary mode each sight retains its own saved DR position. In moving observer mode one COG/SOG track is fitted across the selected observations. The analyzer warns when that constant-motion model spans more than 24 hours; split unrelated sessions rather than treating months of observations as one continuous vessel track.</w:t>
      </w:r>
    </w:p>
    <w:p>
      <w:pPr>
        <w:pStyle w:val="Heading2"/>
        <w:bidi w:val="0"/>
        <w:rPr/>
      </w:pPr>
      <w:r>
        <w:rPr/>
        <w:t>11.2 Local apparent noon</w:t>
      </w:r>
    </w:p>
    <w:p>
      <w:pPr>
        <w:pStyle w:val="BodyText"/>
        <w:bidi w:val="0"/>
        <w:rPr/>
      </w:pPr>
      <w:r>
        <w:rPr/>
        <w:t xml:space="preserve">The planner predicts meridian passage by solving for solar local hour angle zero at the time-dependent observer position; it does not merely sample for the highest displayed altitude.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It displays the predicted Hc and does not offer a solution when Polaris is below the geometric horizon.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For a Moon–Sun calculation, the solver uses the checksum-verified local JPL DE440s kernel when it has already been imported for the eclipse module. A Moon–planet or Moon–star calculation, or any installation without DE440s, uses the bundled analytical ephemeris. The result identifies the ephemeris source used. DE440s is optional for ordinary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bidi w:val="0"/>
        <w:rPr/>
      </w:pPr>
      <w:r>
        <w:rPr>
          <w:rStyle w:val="Strong"/>
        </w:rPr>
        <w:t>2.8.5.2 precision update:</w:t>
      </w:r>
      <w:r>
        <w:rPr/>
        <w:t xml:space="preserve"> the DE440 Sun–Moon solver now uses observer-specific light time and annual/diurnal aberration. Bundled IERS Earth-rotation data (DUT1, the difference between UT1 and UTC) already supports high-accuracy offline calculations. Under </w:t>
      </w:r>
      <w:r>
        <w:rPr>
          <w:rStyle w:val="Strong"/>
        </w:rPr>
        <w:t>Lunar Tools → Advanced</w:t>
      </w:r>
      <w:r>
        <w:rPr/>
        <w:t xml:space="preserve">, </w:t>
      </w:r>
      <w:r>
        <w:rPr>
          <w:rStyle w:val="Strong"/>
        </w:rPr>
        <w:t>Check / download update…</w:t>
      </w:r>
      <w:r>
        <w:rPr/>
        <w:t xml:space="preserve"> optionally retrieves and validates the latest official table; </w:t>
      </w:r>
      <w:r>
        <w:rPr>
          <w:rStyle w:val="Strong"/>
        </w:rPr>
        <w:t>Import local file…</w:t>
      </w:r>
      <w:r>
        <w:rPr/>
        <w:t xml:space="preserve"> accepts the same </w:t>
      </w:r>
      <w:r>
        <w:rPr>
          <w:rStyle w:val="SourceText"/>
        </w:rPr>
        <w:t>finals2000A.all</w:t>
      </w:r>
      <w:r>
        <w:rPr/>
        <w:t xml:space="preserve"> file transferred from another computer. No compiler or restart is required. Startup and solving never download data.</w:t>
      </w:r>
    </w:p>
    <w:p>
      <w:pPr>
        <w:pStyle w:val="BodyText"/>
        <w:bidi w:val="0"/>
        <w:rPr/>
      </w:pPr>
      <w:r>
        <w:rPr/>
        <w:t xml:space="preserve">The Advanced tab shows coverage. Each sight uses its own date. Beyond all available data, calculations continue using UT1 = UTC with a reduced-accuracy warning: </w:t>
      </w:r>
      <w:r>
        <w:rPr>
          <w:rStyle w:val="Strong"/>
        </w:rPr>
        <w:t>there is no expiry lockout</w:t>
      </w:r>
      <w:r>
        <w:rPr/>
        <w:t>. Failed updates retain existing data. The bundled September 2027 endpoint is not a plugin end date. Recorded observations remain unchanged.</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Use </w:t>
      </w:r>
      <w:r>
        <w:rPr>
          <w:rStyle w:val="Strong"/>
        </w:rPr>
        <w:t>Results</w:t>
      </w:r>
      <w:r>
        <w:rPr/>
        <w:t xml:space="preserve"> for the operational candidates and </w:t>
      </w:r>
      <w:r>
        <w:rPr>
          <w:rStyle w:val="Strong"/>
        </w:rPr>
        <w:t>Calculations</w:t>
      </w:r>
      <w:r>
        <w:rPr/>
        <w:t xml:space="preserve"> for the complete auditable working.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rPr/>
      </w:pPr>
      <w:r>
        <w:rPr/>
        <w:t xml:space="preserve">The lunar result window deliberately has two pages. </w:t>
      </w:r>
      <w:r>
        <w:rPr>
          <w:rStyle w:val="Strong"/>
        </w:rPr>
        <w:t>Results</w:t>
      </w:r>
      <w:r>
        <w:rPr/>
        <w:t xml:space="preserve"> is the concise operational view: possible UTC values, watch correction, lunar-distance rate, estimated UTC uncertainty, position candidates and warnings. </w:t>
      </w:r>
      <w:r>
        <w:rPr>
          <w:rStyle w:val="Strong"/>
        </w:rPr>
        <w:t>Calculations</w:t>
      </w:r>
      <w:r>
        <w:rPr/>
        <w:t xml:space="preserve"> preserves the educational and auditable working. In simultaneous mode it shows the raw observations and conventions; index and dip arithmetic; every limb/contact and semidiameter correction; refraction, parallax and corrected altitudes; both direct spherical-triangle formulae with their numerical substitutions; every coarse UTC scan point; every bisection refinement; converged roots; uncertainty components; altitude- circle construction, position candidates and warnings. It records the calculations actually used by the modern solver rather than the former two-endpoint interpolation.</w:t>
      </w:r>
    </w:p>
    <w:p>
      <w:pPr>
        <w:pStyle w:val="BodyText"/>
        <w:bidi w:val="0"/>
        <w:rPr/>
      </w:pPr>
      <w:r>
        <w:rPr/>
        <w:t>Entered one-sigma angle uncertainties are shown separately: they are propagated through the clearing geometry and local lunar-distance rate to estimate UTC uncertainty, not applied as additional corrections.</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Highlight one of the sights in the main list, then select </w:t>
      </w:r>
      <w:r>
        <w:rPr>
          <w:rStyle w:val="Strong"/>
        </w:rPr>
        <w:t>Lunar Tools… → Lunar sequence</w:t>
      </w:r>
      <w:r>
        <w:rPr/>
        <w:t xml:space="preserve">. The highlighted sight and observations within six hours are initially ticked; adjust the selection so it contains only one watch/session. </w:t>
      </w:r>
      <w:r>
        <w:rPr>
          <w:rStyle w:val="Strong"/>
        </w:rPr>
        <w:t>Select visible sights</w:t>
      </w:r>
      <w:r>
        <w:rPr/>
        <w:t xml:space="preserve"> is an explicit convenience, not an assertion that every visible sight belongs to one 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The initial position comes from the earliest selected sight's DR and can be edited or restored with </w:t>
      </w:r>
      <w:r>
        <w:rPr>
          <w:rStyle w:val="Strong"/>
        </w:rPr>
        <w:t>Use earliest selected DR</w:t>
      </w:r>
      <w:r>
        <w:rPr/>
        <w:t xml:space="preserve">. Do not replace a useful DR with 0° N, 0° E: the triple includes two altitude constraints and the position is also the joint solver's convergence seed. </w:t>
      </w:r>
    </w:p>
    <w:p>
      <w:pPr>
        <w:pStyle w:val="BodyText"/>
        <w:numPr>
          <w:ilvl w:val="0"/>
          <w:numId w:val="14"/>
        </w:numPr>
        <w:tabs>
          <w:tab w:val="clear" w:pos="1134"/>
          <w:tab w:val="left" w:pos="709" w:leader="none"/>
        </w:tabs>
        <w:bidi w:val="0"/>
        <w:spacing w:before="0" w:after="0"/>
        <w:ind w:hanging="283" w:start="709"/>
        <w:rPr/>
      </w:pPr>
      <w:r>
        <w:rPr/>
        <w:t xml:space="preserve">Enter a physically justified </w:t>
      </w:r>
      <w:r>
        <w:rPr>
          <w:rStyle w:val="Strong"/>
        </w:rPr>
        <w:t>Additional watch correction search ±</w:t>
      </w:r>
      <w:r>
        <w:rPr/>
        <w:t xml:space="preserve">. Every row already retains its own recorded UTC; this control searches a correction either side of the correction already applied, rather than defining a new observation start time.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The bounded multi-start fit runs away from the GUI thread and has progress and cancellation. </w:t>
      </w:r>
    </w:p>
    <w:p>
      <w:pPr>
        <w:pStyle w:val="BodyText"/>
        <w:bidi w:val="0"/>
        <w:rPr/>
      </w:pPr>
      <w:r>
        <w:rPr/>
        <w:t>A sequence is limited to 12 observations spanning no more than 24 hours. These are deliberate session-integrity and fail-safe limits: split a historic archive into the watches during which one clock correction and one motion model were physically meaningful.</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orders pairs by the approximate UTC change corresponding to 0.1′ of lunar distance, shortest first, with below-horizon pairs last. It shows centre separation, signed distance rate in arcminutes per hour, Moon/body altitude and true azimuth, Moon illumination, body magnitude and which body is below the geometric horizon. A small time value indicates greater timing sensitivity. There is no combined quality score: use the measured quantities to assess visibility, sextant range and whether the pair is practical to observe.</w:t>
      </w:r>
    </w:p>
    <w:p>
      <w:pPr>
        <w:pStyle w:val="BodyText"/>
        <w:bidi w:val="0"/>
        <w:rPr/>
      </w:pPr>
      <w:r>
        <w:rPr/>
        <w:t xml:space="preserve">Lunar Tools defaults to </w:t>
      </w:r>
      <w:r>
        <w:rPr>
          <w:rStyle w:val="Strong"/>
        </w:rPr>
        <w:t>Nautical: YYYY-MM-DD, 24-hour</w:t>
      </w:r>
      <w:r>
        <w:rPr/>
        <w:t xml:space="preserve"> UTC entry for an unambiguous cross-platform display. Select </w:t>
      </w:r>
      <w:r>
        <w:rPr>
          <w:rStyle w:val="Strong"/>
        </w:rPr>
        <w:t>OpenCPN / platform format</w:t>
      </w:r>
      <w:r>
        <w:rPr/>
        <w:t xml:space="preserve"> when the native operating-system date/time controls are preferred. Changing presentation preserves the entered instant.</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raw sextant readings, their independently measured index error, uncertainty and any shade/note. The displayed residual is </w:t>
      </w:r>
      <w:r>
        <w:rPr>
          <w:rStyle w:val="Emphasis"/>
        </w:rPr>
        <w:t>predicted apparent minus index-corrected observed</w:t>
      </w:r>
      <w:r>
        <w:rPr/>
        <w:t>: add it only after applying index error.</w:t>
      </w:r>
    </w:p>
    <w:p>
      <w:pPr>
        <w:pStyle w:val="BodyText"/>
        <w:bidi w:val="0"/>
        <w:rPr/>
      </w:pPr>
      <w:r>
        <w:rPr/>
        <w:t xml:space="preserve">The editable </w:t>
      </w:r>
      <w:r>
        <w:rPr>
          <w:rStyle w:val="Strong"/>
        </w:rPr>
        <w:t>Measured IE (on arc +)</w:t>
      </w:r>
      <w:r>
        <w:rPr/>
        <w:t xml:space="preserve"> field starts with the current sight default. Enter an independently measured index error for the session. The raw observation is retained and the index-corrected apparent angle is </w:t>
      </w:r>
      <w:r>
        <w:rPr>
          <w:rStyle w:val="Emphasis"/>
        </w:rPr>
        <w:t>raw minus IE</w:t>
      </w:r>
      <w:r>
        <w:rPr/>
        <w:t>. The residual shown and saved in a new profile therefore describes scale/centering behaviour after index error, preventing the same index correction from being applied twice.</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residual correction points, uncertainty, repeatability, instrument name and serial number in the plugin configuration. Select a saved profile to display its interpolated correction after the entered index error.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 Profiles saved by older versions remain labelled as legacy total corrections: apply those directly to raw readings and do not apply index error separately.</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bidi w:val="0"/>
        <w:rPr/>
      </w:pPr>
      <w:r>
        <w:rPr/>
        <w:t>The UTC observation schedule remains fixed at the top of the dialog. On a short display, scroll only the lower bearing, horizon-condition and result section, so the event date and 24-hour UTC time remain visible.</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rStyle w:val="Strong"/>
        </w:rPr>
        <w:t>Reading the chart:</w:t>
      </w:r>
      <w:r>
        <w:rPr/>
        <w:t xml:space="preserve"> the event time supplies an altitude line of position (LOP), with a band for the entered time and horizon uncertainty. An optional bearing adds nominal candidate markers along that LOP. There can be two valid positions, often in different hemispheres: use dead reckoning or other sights to distinguish them. Neither marker is a fix or a confidence area. The Fix dialog uses the time-based altitude constraint, not the optional bearing. A bearing uncertainty in degrees cannot be converted into a fixed nautical-mile radius; near weak geometry, small bearing changes can move a candidate hundreds of miles. The former filled circular estimate has been removed because it did not represent that uncertainty.</w:t>
      </w:r>
    </w:p>
    <w:p>
      <w:pPr>
        <w:pStyle w:val="BodyText"/>
        <w:bidi w:val="0"/>
        <w:rPr/>
      </w:pPr>
      <w:r>
        <w:rPr>
          <w:rStyle w:val="Strong"/>
        </w:rPr>
        <w:t>UTC dates and a moving vessel:</w:t>
      </w:r>
      <w:r>
        <w:rPr/>
        <w:t xml:space="preserve"> order observations by their full UTC date and time. Near Hawaii, a sunset at 05:55 UTC on 16 July is the previous local evening, before a sunrise at 16:51 UTC on 16 July. The sunset after that sunrise normally has the next UTC date. When combining events on a moving vessel, enable a running fix and enter the vessel's course and speed to propagate each observation to a common epoch. The observed Sun bearing is an azimuth constraint to a distant celestial body, not a straight terrestrial bearing line drawn through an assumed boat position.</w:t>
      </w:r>
    </w:p>
    <w:p>
      <w:pPr>
        <w:pStyle w:val="BodyText"/>
        <w:bidi w:val="0"/>
        <w:rPr/>
      </w:pPr>
      <w:r>
        <w:rPr>
          <w:rStyle w:val="Strong"/>
        </w:rPr>
        <w:t>Basis of the method:</w:t>
      </w:r>
      <w:r>
        <w:rPr/>
        <w:t xml:space="preserve"> this is an equal-altitude observation at upper-limb contact with the visible sea horizon. It uses the usual astronomical triangle with dip, refraction, solar semidiameter and parallax corrections. It is not a separate precision-fix method. The </w:t>
      </w:r>
      <w:hyperlink r:id="rId11">
        <w:r>
          <w:rPr>
            <w:rStyle w:val="Hyperlink"/>
          </w:rPr>
          <w:t>US Naval Observatory's rise/set definitions</w:t>
        </w:r>
      </w:hyperlink>
      <w:r>
        <w:rPr/>
        <w:t xml:space="preserve"> explain upper-limb contact and the conventional near-horizon refraction. Actual refraction varies; a sub-arcminute horizon uncertainty is usually too optimistic.</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2"/>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BodyText"/>
        <w:bidi w:val="0"/>
        <w:rPr/>
      </w:pPr>
      <w:r>
        <w:rPr>
          <w:rStyle w:val="Strong"/>
        </w:rPr>
        <w:t>2.8.5.3:</w:t>
      </w:r>
      <w:r>
        <w:rPr/>
        <w:t xml:space="preserve"> sea-horizon mode accepts zero or negative dip-corrected angles, while requiring the index-corrected observed top to be on or above the visible horizon. Waterline mode still requires a positive angle. Choose the baseline actually measured; modes and raw readings are never changed automatically. Both range methods require the target top above the observer; waterline mode also requires positive eye height. Lower targets with potentially ambiguous ranges are not supported.</w:t>
      </w:r>
    </w:p>
    <w:p>
      <w:pPr>
        <w:pStyle w:val="BodyText"/>
        <w:bidi w:val="0"/>
        <w:rPr/>
      </w:pPr>
      <w:r>
        <w:rPr/>
        <w:t>The visibility guide estimates the observer's horizon, the target's geographic range, and the waterline-to-top angle at the waterline horizon. These standard-refraction estimates are not a guarantee of visibility or a light's luminous range. A zero dip-corrected angle is not the maximum visibility distance. Use the height of the feature actually sighted (for example, focal height rather than tower height), and express water level relative to the same height datum. Negative water levels are allowed.</w:t>
      </w:r>
    </w:p>
    <w:p>
      <w:pPr>
        <w:pStyle w:val="BodyText"/>
        <w:bidi w:val="0"/>
        <w:rPr/>
      </w:pPr>
      <w:r>
        <w:rPr>
          <w:rStyle w:val="Strong"/>
        </w:rPr>
        <w:t>Select target waypoint...</w:t>
      </w:r>
      <w:r>
        <w:rPr/>
        <w:t xml:space="preserve"> copies coordinates from the searchable OpenCPN waypoint/mark list. They remain editable; target height must be checked separately. Cancelling leaves the observation unchanged.</w:t>
      </w:r>
    </w:p>
    <w:p>
      <w:pPr>
        <w:pStyle w:val="BodyText"/>
        <w:bidi w:val="0"/>
        <w:rPr/>
      </w:pPr>
      <w:r>
        <w:rPr/>
        <w:t xml:space="preserve">Observation coordinates and measured angles start blank. Closing the window temporarily retains an unfinished observation; the window says so. Select </w:t>
      </w:r>
      <w:r>
        <w:rPr>
          <w:rStyle w:val="Strong"/>
        </w:rPr>
        <w:t>New / clear observation</w:t>
      </w:r>
      <w:r>
        <w:rPr/>
        <w:t xml:space="preserve"> before a different observation to clear all entries, results and plots and reload the current central index- error and eye-height defaults.</w:t>
      </w:r>
    </w:p>
    <w:p>
      <w:pPr>
        <w:pStyle w:val="BodyText"/>
        <w:bidi w:val="0"/>
        <w:rPr/>
      </w:pPr>
      <w:r>
        <w:rPr/>
        <w:t xml:space="preserve">For a true bearing, magnetic variation and compass deviation are disabled and ignored. For a magnetic compass bearing they remain editable. </w:t>
      </w:r>
      <w:r>
        <w:rPr>
          <w:rStyle w:val="Strong"/>
        </w:rPr>
        <w:t>Use WMM at current boat/time</w:t>
      </w:r>
      <w:r>
        <w:rPr/>
        <w:t xml:space="preserve"> obtains a clearly labelled estimate for the current boat position and UTC; compass deviation always remains a manual instrument/vessel input.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measurements. Landmark coordinates and the two measurements start blank so plausible-looking defaults cannot be mistaken for observations. The central sextant index-error default is applied to both angle measurements and remains editable. Enter uncertainty and an approximate vessel position to choose among ambiguous solutions. Select </w:t>
      </w:r>
      <w:r>
        <w:rPr>
          <w:rStyle w:val="Strong"/>
        </w:rPr>
        <w:t>Solve and plot HSA fix</w:t>
      </w:r>
      <w:r>
        <w:rPr/>
        <w:t>.</w:t>
      </w:r>
    </w:p>
    <w:p>
      <w:pPr>
        <w:pStyle w:val="BodyText"/>
        <w:bidi w:val="0"/>
        <w:rPr/>
      </w:pPr>
      <w:r>
        <w:rPr/>
        <w:t xml:space="preserve">The left, centre and right waypoint buttons fill the corresponding coordinates. Check coordinates when names repeat. Angular uncertainty is entered in </w:t>
      </w:r>
      <w:r>
        <w:rPr>
          <w:rStyle w:val="Strong"/>
        </w:rPr>
        <w:t>arcminutes</w:t>
      </w:r>
      <w:r>
        <w:rPr/>
        <w:t xml:space="preserve"> (60 arcminutes = 1 degree). The result is formal angular-input uncertainty, not total fix accuracy: it excludes landmark-coordinate errors, misidentification, shared instrument errors and unmodelled motion. Increasing this uncertainty changes the estimate, not the best-fit position. Dedicated radar-bearing/range entry is not implemented; a radar range is not a vertical-angle observation.</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70"/>
        <w:gridCol w:w="6780"/>
      </w:tblGrid>
      <w:tr>
        <w:trPr/>
        <w:tc>
          <w:tcPr>
            <w:tcW w:w="2970" w:type="dxa"/>
            <w:tcBorders/>
            <w:vAlign w:val="center"/>
          </w:tcPr>
          <w:p>
            <w:pPr>
              <w:pStyle w:val="TableHeading"/>
              <w:suppressLineNumbers/>
              <w:shd w:fill="17365D" w:val="clear"/>
              <w:bidi w:val="0"/>
              <w:spacing w:before="0" w:after="283"/>
              <w:jc w:val="start"/>
              <w:rPr/>
            </w:pPr>
            <w:r>
              <w:rPr/>
              <w:t>Symptom</w:t>
            </w:r>
          </w:p>
        </w:tc>
        <w:tc>
          <w:tcPr>
            <w:tcW w:w="6780" w:type="dxa"/>
            <w:tcBorders/>
            <w:vAlign w:val="center"/>
          </w:tcPr>
          <w:p>
            <w:pPr>
              <w:pStyle w:val="TableHeading"/>
              <w:suppressLineNumbers/>
              <w:shd w:fill="17365D" w:val="clear"/>
              <w:bidi w:val="0"/>
              <w:spacing w:before="0" w:after="283"/>
              <w:jc w:val="start"/>
              <w:rPr/>
            </w:pPr>
            <w:r>
              <w:rPr/>
              <w:t>Checks</w:t>
            </w:r>
          </w:p>
        </w:tc>
      </w:tr>
      <w:tr>
        <w:trPr/>
        <w:tc>
          <w:tcPr>
            <w:tcW w:w="2970" w:type="dxa"/>
            <w:tcBorders/>
            <w:vAlign w:val="center"/>
          </w:tcPr>
          <w:p>
            <w:pPr>
              <w:pStyle w:val="TableContents"/>
              <w:bidi w:val="0"/>
              <w:spacing w:before="0" w:after="283"/>
              <w:rPr/>
            </w:pPr>
            <w:r>
              <w:rPr/>
              <w:t>No COP is visible</w:t>
            </w:r>
          </w:p>
        </w:tc>
        <w:tc>
          <w:tcPr>
            <w:tcW w:w="6780"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70" w:type="dxa"/>
            <w:tcBorders/>
            <w:vAlign w:val="center"/>
          </w:tcPr>
          <w:p>
            <w:pPr>
              <w:pStyle w:val="TableContents"/>
              <w:bidi w:val="0"/>
              <w:spacing w:before="0" w:after="283"/>
              <w:rPr/>
            </w:pPr>
            <w:r>
              <w:rPr/>
              <w:t>Hc or Zn is implausible</w:t>
            </w:r>
          </w:p>
        </w:tc>
        <w:tc>
          <w:tcPr>
            <w:tcW w:w="6780"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70" w:type="dxa"/>
            <w:tcBorders/>
            <w:vAlign w:val="center"/>
          </w:tcPr>
          <w:p>
            <w:pPr>
              <w:pStyle w:val="TableContents"/>
              <w:bidi w:val="0"/>
              <w:spacing w:before="0" w:after="283"/>
              <w:rPr/>
            </w:pPr>
            <w:r>
              <w:rPr/>
              <w:t>Intercept is enormous</w:t>
            </w:r>
          </w:p>
        </w:tc>
        <w:tc>
          <w:tcPr>
            <w:tcW w:w="6780"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70" w:type="dxa"/>
            <w:tcBorders/>
            <w:vAlign w:val="center"/>
          </w:tcPr>
          <w:p>
            <w:pPr>
              <w:pStyle w:val="TableContents"/>
              <w:bidi w:val="0"/>
              <w:spacing w:before="0" w:after="283"/>
              <w:rPr/>
            </w:pPr>
            <w:r>
              <w:rPr/>
              <w:t>Sunrise/sunset differs by about an hour</w:t>
            </w:r>
          </w:p>
        </w:tc>
        <w:tc>
          <w:tcPr>
            <w:tcW w:w="6780"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70" w:type="dxa"/>
            <w:tcBorders/>
            <w:vAlign w:val="center"/>
          </w:tcPr>
          <w:p>
            <w:pPr>
              <w:pStyle w:val="TableContents"/>
              <w:bidi w:val="0"/>
              <w:spacing w:before="0" w:after="283"/>
              <w:rPr/>
            </w:pPr>
            <w:r>
              <w:rPr/>
              <w:t>Planner or Lunar Tools date appears in an unexpected order or uses AM/PM</w:t>
            </w:r>
          </w:p>
        </w:tc>
        <w:tc>
          <w:tcPr>
            <w:tcW w:w="6780"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70" w:type="dxa"/>
            <w:tcBorders/>
            <w:vAlign w:val="center"/>
          </w:tcPr>
          <w:p>
            <w:pPr>
              <w:pStyle w:val="TableContents"/>
              <w:bidi w:val="0"/>
              <w:spacing w:before="0" w:after="283"/>
              <w:rPr/>
            </w:pPr>
            <w:r>
              <w:rPr/>
              <w:t>Editing a live position or “Now” time stops following it</w:t>
            </w:r>
          </w:p>
        </w:tc>
        <w:tc>
          <w:tcPr>
            <w:tcW w:w="6780"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70" w:type="dxa"/>
            <w:tcBorders/>
            <w:vAlign w:val="center"/>
          </w:tcPr>
          <w:p>
            <w:pPr>
              <w:pStyle w:val="TableContents"/>
              <w:bidi w:val="0"/>
              <w:spacing w:before="0" w:after="283"/>
              <w:rPr/>
            </w:pPr>
            <w:r>
              <w:rPr/>
              <w:t>A body dot has no sky-plot label</w:t>
            </w:r>
          </w:p>
        </w:tc>
        <w:tc>
          <w:tcPr>
            <w:tcW w:w="6780" w:type="dxa"/>
            <w:tcBorders/>
            <w:vAlign w:val="center"/>
          </w:tcPr>
          <w:p>
            <w:pPr>
              <w:pStyle w:val="TableContents"/>
              <w:bidi w:val="0"/>
              <w:spacing w:before="0" w:after="283"/>
              <w:rPr/>
            </w:pPr>
            <w:r>
              <w:rPr/>
              <w:t>Labels favour bright bodies, are shared across compass quadrants and are suppressed when they would overlap. Enlarge the planner or use the sortable body table to identify and inspect every listed body.</w:t>
            </w:r>
          </w:p>
        </w:tc>
      </w:tr>
      <w:tr>
        <w:trPr/>
        <w:tc>
          <w:tcPr>
            <w:tcW w:w="2970" w:type="dxa"/>
            <w:tcBorders/>
            <w:vAlign w:val="center"/>
          </w:tcPr>
          <w:p>
            <w:pPr>
              <w:pStyle w:val="TableContents"/>
              <w:bidi w:val="0"/>
              <w:spacing w:before="0" w:after="283"/>
              <w:rPr/>
            </w:pPr>
            <w:r>
              <w:rPr/>
              <w:t>A body is listed but absent from the recommended pairs or triads</w:t>
            </w:r>
          </w:p>
        </w:tc>
        <w:tc>
          <w:tcPr>
            <w:tcW w:w="6780" w:type="dxa"/>
            <w:tcBorders/>
            <w:vAlign w:val="center"/>
          </w:tcPr>
          <w:p>
            <w:pPr>
              <w:pStyle w:val="TableContents"/>
              <w:bidi w:val="0"/>
              <w:spacing w:before="0" w:after="283"/>
              <w:rPr/>
            </w:pPr>
            <w:r>
              <w:rPr/>
              <w:t xml:space="preserve">Check </w:t>
            </w:r>
            <w:r>
              <w:rPr>
                <w:rStyle w:val="Strong"/>
              </w:rPr>
              <w:t>Limit recommendations by Hc</w:t>
            </w:r>
            <w:r>
              <w:rPr/>
              <w:t xml:space="preserve"> and its preferred minimum and maximum. Bodies outside the range remain available in the table but are deliberately excluded from recommendations while the limit is enabled.</w:t>
            </w:r>
          </w:p>
        </w:tc>
      </w:tr>
      <w:tr>
        <w:trPr/>
        <w:tc>
          <w:tcPr>
            <w:tcW w:w="2970" w:type="dxa"/>
            <w:tcBorders/>
            <w:vAlign w:val="center"/>
          </w:tcPr>
          <w:p>
            <w:pPr>
              <w:pStyle w:val="TableContents"/>
              <w:bidi w:val="0"/>
              <w:spacing w:before="0" w:after="283"/>
              <w:rPr/>
            </w:pPr>
            <w:r>
              <w:rPr/>
              <w:t>An invalid planner date or time leaves no results</w:t>
            </w:r>
          </w:p>
        </w:tc>
        <w:tc>
          <w:tcPr>
            <w:tcW w:w="6780" w:type="dxa"/>
            <w:tcBorders/>
            <w:vAlign w:val="center"/>
          </w:tcPr>
          <w:p>
            <w:pPr>
              <w:pStyle w:val="TableContents"/>
              <w:bidi w:val="0"/>
              <w:spacing w:before="0" w:after="283"/>
              <w:rPr/>
            </w:pPr>
            <w:r>
              <w:rPr/>
              <w:t>This is intentional: the plugin clears previously calculated events, bodies, almanac and helper results so stale output cannot be mistaken for the invalid planning context. Correct the entry using YYYY-MM-DD and HH:MM:SS.</w:t>
            </w:r>
          </w:p>
        </w:tc>
      </w:tr>
      <w:tr>
        <w:trPr/>
        <w:tc>
          <w:tcPr>
            <w:tcW w:w="2970" w:type="dxa"/>
            <w:tcBorders/>
            <w:vAlign w:val="center"/>
          </w:tcPr>
          <w:p>
            <w:pPr>
              <w:pStyle w:val="TableContents"/>
              <w:bidi w:val="0"/>
              <w:spacing w:before="0" w:after="283"/>
              <w:rPr/>
            </w:pPr>
            <w:r>
              <w:rPr/>
              <w:t>GNSS UTC unavailable</w:t>
            </w:r>
          </w:p>
        </w:tc>
        <w:tc>
          <w:tcPr>
            <w:tcW w:w="6780"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70" w:type="dxa"/>
            <w:tcBorders/>
            <w:vAlign w:val="center"/>
          </w:tcPr>
          <w:p>
            <w:pPr>
              <w:pStyle w:val="TableContents"/>
              <w:bidi w:val="0"/>
              <w:spacing w:before="0" w:after="283"/>
              <w:rPr/>
            </w:pPr>
            <w:r>
              <w:rPr/>
              <w:t>Chrony status unavailable</w:t>
            </w:r>
          </w:p>
        </w:tc>
        <w:tc>
          <w:tcPr>
            <w:tcW w:w="6780"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70" w:type="dxa"/>
            <w:tcBorders/>
            <w:vAlign w:val="center"/>
          </w:tcPr>
          <w:p>
            <w:pPr>
              <w:pStyle w:val="TableContents"/>
              <w:bidi w:val="0"/>
              <w:spacing w:before="0" w:after="283"/>
              <w:rPr/>
            </w:pPr>
            <w:r>
              <w:rPr/>
              <w:t>Lunar solver finds several times</w:t>
            </w:r>
          </w:p>
        </w:tc>
        <w:tc>
          <w:tcPr>
            <w:tcW w:w="6780"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70" w:type="dxa"/>
            <w:tcBorders/>
            <w:vAlign w:val="center"/>
          </w:tcPr>
          <w:p>
            <w:pPr>
              <w:pStyle w:val="TableContents"/>
              <w:bidi w:val="0"/>
              <w:spacing w:before="0" w:after="283"/>
              <w:rPr/>
            </w:pPr>
            <w:r>
              <w:rPr/>
              <w:t>Lunar solution is unstable</w:t>
            </w:r>
          </w:p>
        </w:tc>
        <w:tc>
          <w:tcPr>
            <w:tcW w:w="6780"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70" w:type="dxa"/>
            <w:tcBorders/>
            <w:vAlign w:val="center"/>
          </w:tcPr>
          <w:p>
            <w:pPr>
              <w:pStyle w:val="TableContents"/>
              <w:bidi w:val="0"/>
              <w:spacing w:before="0" w:after="283"/>
              <w:rPr/>
            </w:pPr>
            <w:r>
              <w:rPr/>
              <w:t>Joint lunar solution has alternates</w:t>
            </w:r>
          </w:p>
        </w:tc>
        <w:tc>
          <w:tcPr>
            <w:tcW w:w="6780"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70" w:type="dxa"/>
            <w:tcBorders/>
            <w:vAlign w:val="center"/>
          </w:tcPr>
          <w:p>
            <w:pPr>
              <w:pStyle w:val="TableContents"/>
              <w:bidi w:val="0"/>
              <w:spacing w:before="0" w:after="283"/>
              <w:rPr/>
            </w:pPr>
            <w:r>
              <w:rPr/>
              <w:t>Joint lunar residual is flagged</w:t>
            </w:r>
          </w:p>
        </w:tc>
        <w:tc>
          <w:tcPr>
            <w:tcW w:w="6780"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70" w:type="dxa"/>
            <w:tcBorders/>
            <w:vAlign w:val="center"/>
          </w:tcPr>
          <w:p>
            <w:pPr>
              <w:pStyle w:val="TableContents"/>
              <w:bidi w:val="0"/>
              <w:spacing w:before="0" w:after="283"/>
              <w:rPr/>
            </w:pPr>
            <w:r>
              <w:rPr/>
              <w:t>Sextant check predicts “unavailable”</w:t>
            </w:r>
          </w:p>
        </w:tc>
        <w:tc>
          <w:tcPr>
            <w:tcW w:w="6780"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70" w:type="dxa"/>
            <w:tcBorders/>
            <w:vAlign w:val="center"/>
          </w:tcPr>
          <w:p>
            <w:pPr>
              <w:pStyle w:val="TableContents"/>
              <w:bidi w:val="0"/>
              <w:spacing w:before="0" w:after="283"/>
              <w:rPr/>
            </w:pPr>
            <w:r>
              <w:rPr/>
              <w:t>Correction profile varies unexpectedly</w:t>
            </w:r>
          </w:p>
        </w:tc>
        <w:tc>
          <w:tcPr>
            <w:tcW w:w="6780"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70" w:type="dxa"/>
            <w:tcBorders/>
            <w:vAlign w:val="center"/>
          </w:tcPr>
          <w:p>
            <w:pPr>
              <w:pStyle w:val="TableContents"/>
              <w:bidi w:val="0"/>
              <w:spacing w:before="0" w:after="283"/>
              <w:rPr/>
            </w:pPr>
            <w:r>
              <w:rPr/>
              <w:t>Running fix is poor</w:t>
            </w:r>
          </w:p>
        </w:tc>
        <w:tc>
          <w:tcPr>
            <w:tcW w:w="6780"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70" w:type="dxa"/>
            <w:tcBorders/>
            <w:vAlign w:val="center"/>
          </w:tcPr>
          <w:p>
            <w:pPr>
              <w:pStyle w:val="TableContents"/>
              <w:bidi w:val="0"/>
              <w:spacing w:before="0" w:after="283"/>
              <w:rPr/>
            </w:pPr>
            <w:r>
              <w:rPr/>
              <w:t>Eclipse controls unavailable</w:t>
            </w:r>
          </w:p>
        </w:tc>
        <w:tc>
          <w:tcPr>
            <w:tcW w:w="6780"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9752" w:type="dxa"/>
        <w:jc w:val="start"/>
        <w:tblInd w:w="0" w:type="dxa"/>
        <w:tblLayout w:type="fixed"/>
        <w:tblCellMar>
          <w:top w:w="28" w:type="dxa"/>
          <w:start w:w="28" w:type="dxa"/>
          <w:bottom w:w="28" w:type="dxa"/>
          <w:end w:w="28" w:type="dxa"/>
        </w:tblCellMar>
      </w:tblPr>
      <w:tblGrid>
        <w:gridCol w:w="1351"/>
        <w:gridCol w:w="8401"/>
      </w:tblGrid>
      <w:tr>
        <w:trPr/>
        <w:tc>
          <w:tcPr>
            <w:tcW w:w="1351" w:type="dxa"/>
            <w:tcBorders/>
            <w:vAlign w:val="center"/>
          </w:tcPr>
          <w:p>
            <w:pPr>
              <w:pStyle w:val="TableHeading"/>
              <w:suppressLineNumbers/>
              <w:shd w:fill="17365D" w:val="clear"/>
              <w:bidi w:val="0"/>
              <w:spacing w:before="0" w:after="283"/>
              <w:jc w:val="start"/>
              <w:rPr/>
            </w:pPr>
            <w:r>
              <w:rPr/>
              <w:t>Abbreviation</w:t>
            </w:r>
          </w:p>
        </w:tc>
        <w:tc>
          <w:tcPr>
            <w:tcW w:w="8401" w:type="dxa"/>
            <w:tcBorders/>
            <w:vAlign w:val="center"/>
          </w:tcPr>
          <w:p>
            <w:pPr>
              <w:pStyle w:val="TableHeading"/>
              <w:suppressLineNumbers/>
              <w:shd w:fill="17365D" w:val="clear"/>
              <w:bidi w:val="0"/>
              <w:spacing w:before="0" w:after="283"/>
              <w:jc w:val="start"/>
              <w:rPr/>
            </w:pPr>
            <w:r>
              <w:rPr/>
              <w:t>Expansion and use</w:t>
            </w:r>
          </w:p>
        </w:tc>
      </w:tr>
      <w:tr>
        <w:trPr/>
        <w:tc>
          <w:tcPr>
            <w:tcW w:w="1351" w:type="dxa"/>
            <w:tcBorders/>
            <w:vAlign w:val="center"/>
          </w:tcPr>
          <w:p>
            <w:pPr>
              <w:pStyle w:val="TableContents"/>
              <w:bidi w:val="0"/>
              <w:spacing w:before="0" w:after="283"/>
              <w:rPr/>
            </w:pPr>
            <w:r>
              <w:rPr/>
              <w:t>A4</w:t>
            </w:r>
          </w:p>
        </w:tc>
        <w:tc>
          <w:tcPr>
            <w:tcW w:w="8401" w:type="dxa"/>
            <w:tcBorders/>
            <w:vAlign w:val="center"/>
          </w:tcPr>
          <w:p>
            <w:pPr>
              <w:pStyle w:val="TableContents"/>
              <w:bidi w:val="0"/>
              <w:spacing w:before="0" w:after="283"/>
              <w:rPr/>
            </w:pPr>
            <w:r>
              <w:rPr/>
              <w:t>International standard paper size used for the printable manual.</w:t>
            </w:r>
          </w:p>
        </w:tc>
      </w:tr>
      <w:tr>
        <w:trPr/>
        <w:tc>
          <w:tcPr>
            <w:tcW w:w="1351" w:type="dxa"/>
            <w:tcBorders/>
            <w:vAlign w:val="center"/>
          </w:tcPr>
          <w:p>
            <w:pPr>
              <w:pStyle w:val="TableContents"/>
              <w:bidi w:val="0"/>
              <w:spacing w:before="0" w:after="283"/>
              <w:rPr/>
            </w:pPr>
            <w:r>
              <w:rPr/>
              <w:t>AP</w:t>
            </w:r>
          </w:p>
        </w:tc>
        <w:tc>
          <w:tcPr>
            <w:tcW w:w="8401" w:type="dxa"/>
            <w:tcBorders/>
            <w:vAlign w:val="center"/>
          </w:tcPr>
          <w:p>
            <w:pPr>
              <w:pStyle w:val="TableContents"/>
              <w:bidi w:val="0"/>
              <w:spacing w:before="0" w:after="283"/>
              <w:rPr/>
            </w:pPr>
            <w:r>
              <w:rPr/>
              <w:t>Assumed Position.</w:t>
            </w:r>
          </w:p>
        </w:tc>
      </w:tr>
      <w:tr>
        <w:trPr/>
        <w:tc>
          <w:tcPr>
            <w:tcW w:w="1351" w:type="dxa"/>
            <w:tcBorders/>
            <w:vAlign w:val="center"/>
          </w:tcPr>
          <w:p>
            <w:pPr>
              <w:pStyle w:val="TableContents"/>
              <w:bidi w:val="0"/>
              <w:spacing w:before="0" w:after="283"/>
              <w:rPr/>
            </w:pPr>
            <w:r>
              <w:rPr/>
              <w:t>BIPM</w:t>
            </w:r>
          </w:p>
        </w:tc>
        <w:tc>
          <w:tcPr>
            <w:tcW w:w="8401" w:type="dxa"/>
            <w:tcBorders/>
            <w:vAlign w:val="center"/>
          </w:tcPr>
          <w:p>
            <w:pPr>
              <w:pStyle w:val="TableContents"/>
              <w:bidi w:val="0"/>
              <w:spacing w:before="0" w:after="283"/>
              <w:rPr/>
            </w:pPr>
            <w:r>
              <w:rPr/>
              <w:t>International Bureau of Weights and Measures; maintains international atomic time scales.</w:t>
            </w:r>
          </w:p>
        </w:tc>
      </w:tr>
      <w:tr>
        <w:trPr/>
        <w:tc>
          <w:tcPr>
            <w:tcW w:w="1351" w:type="dxa"/>
            <w:tcBorders/>
            <w:vAlign w:val="center"/>
          </w:tcPr>
          <w:p>
            <w:pPr>
              <w:pStyle w:val="TableContents"/>
              <w:bidi w:val="0"/>
              <w:spacing w:before="0" w:after="283"/>
              <w:rPr/>
            </w:pPr>
            <w:r>
              <w:rPr/>
              <w:t>C1–C4</w:t>
            </w:r>
          </w:p>
        </w:tc>
        <w:tc>
          <w:tcPr>
            <w:tcW w:w="8401" w:type="dxa"/>
            <w:tcBorders/>
            <w:vAlign w:val="center"/>
          </w:tcPr>
          <w:p>
            <w:pPr>
              <w:pStyle w:val="TableContents"/>
              <w:bidi w:val="0"/>
              <w:spacing w:before="0" w:after="283"/>
              <w:rPr/>
            </w:pPr>
            <w:r>
              <w:rPr/>
              <w:t>First through fourth local eclipse contacts.</w:t>
            </w:r>
          </w:p>
        </w:tc>
      </w:tr>
      <w:tr>
        <w:trPr/>
        <w:tc>
          <w:tcPr>
            <w:tcW w:w="1351" w:type="dxa"/>
            <w:tcBorders/>
            <w:vAlign w:val="center"/>
          </w:tcPr>
          <w:p>
            <w:pPr>
              <w:pStyle w:val="TableContents"/>
              <w:bidi w:val="0"/>
              <w:spacing w:before="0" w:after="283"/>
              <w:rPr/>
            </w:pPr>
            <w:r>
              <w:rPr/>
              <w:t>COG</w:t>
            </w:r>
          </w:p>
        </w:tc>
        <w:tc>
          <w:tcPr>
            <w:tcW w:w="8401" w:type="dxa"/>
            <w:tcBorders/>
            <w:vAlign w:val="center"/>
          </w:tcPr>
          <w:p>
            <w:pPr>
              <w:pStyle w:val="TableContents"/>
              <w:bidi w:val="0"/>
              <w:spacing w:before="0" w:after="283"/>
              <w:rPr/>
            </w:pPr>
            <w:r>
              <w:rPr/>
              <w:t>Course Over Ground; use true degrees where the plugin says COG true.</w:t>
            </w:r>
          </w:p>
        </w:tc>
      </w:tr>
      <w:tr>
        <w:trPr/>
        <w:tc>
          <w:tcPr>
            <w:tcW w:w="1351" w:type="dxa"/>
            <w:tcBorders/>
            <w:vAlign w:val="center"/>
          </w:tcPr>
          <w:p>
            <w:pPr>
              <w:pStyle w:val="TableContents"/>
              <w:bidi w:val="0"/>
              <w:spacing w:before="0" w:after="283"/>
              <w:rPr/>
            </w:pPr>
            <w:r>
              <w:rPr/>
              <w:t>COP</w:t>
            </w:r>
          </w:p>
        </w:tc>
        <w:tc>
          <w:tcPr>
            <w:tcW w:w="8401" w:type="dxa"/>
            <w:tcBorders/>
            <w:vAlign w:val="center"/>
          </w:tcPr>
          <w:p>
            <w:pPr>
              <w:pStyle w:val="TableContents"/>
              <w:bidi w:val="0"/>
              <w:spacing w:before="0" w:after="283"/>
              <w:rPr/>
            </w:pPr>
            <w:r>
              <w:rPr/>
              <w:t>Circle of Position.</w:t>
            </w:r>
          </w:p>
        </w:tc>
      </w:tr>
      <w:tr>
        <w:trPr/>
        <w:tc>
          <w:tcPr>
            <w:tcW w:w="1351" w:type="dxa"/>
            <w:tcBorders/>
            <w:vAlign w:val="center"/>
          </w:tcPr>
          <w:p>
            <w:pPr>
              <w:pStyle w:val="TableContents"/>
              <w:bidi w:val="0"/>
              <w:spacing w:before="0" w:after="283"/>
              <w:rPr/>
            </w:pPr>
            <w:r>
              <w:rPr/>
              <w:t>CSV</w:t>
            </w:r>
          </w:p>
        </w:tc>
        <w:tc>
          <w:tcPr>
            <w:tcW w:w="8401" w:type="dxa"/>
            <w:tcBorders/>
            <w:vAlign w:val="center"/>
          </w:tcPr>
          <w:p>
            <w:pPr>
              <w:pStyle w:val="TableContents"/>
              <w:bidi w:val="0"/>
              <w:spacing w:before="0" w:after="283"/>
              <w:rPr/>
            </w:pPr>
            <w:r>
              <w:rPr/>
              <w:t>Comma-Separated Values file.</w:t>
            </w:r>
          </w:p>
        </w:tc>
      </w:tr>
      <w:tr>
        <w:trPr/>
        <w:tc>
          <w:tcPr>
            <w:tcW w:w="1351" w:type="dxa"/>
            <w:tcBorders/>
            <w:vAlign w:val="center"/>
          </w:tcPr>
          <w:p>
            <w:pPr>
              <w:pStyle w:val="TableContents"/>
              <w:bidi w:val="0"/>
              <w:spacing w:before="0" w:after="283"/>
              <w:rPr/>
            </w:pPr>
            <w:r>
              <w:rPr/>
              <w:t>DE440 / DE440s</w:t>
            </w:r>
          </w:p>
        </w:tc>
        <w:tc>
          <w:tcPr>
            <w:tcW w:w="8401" w:type="dxa"/>
            <w:tcBorders/>
            <w:vAlign w:val="center"/>
          </w:tcPr>
          <w:p>
            <w:pPr>
              <w:pStyle w:val="TableContents"/>
              <w:bidi w:val="0"/>
              <w:spacing w:before="0" w:after="283"/>
              <w:rPr/>
            </w:pPr>
            <w:r>
              <w:rPr/>
              <w:t>JPL Development Ephemeris 440 and its compact short-span kernel.</w:t>
            </w:r>
          </w:p>
        </w:tc>
      </w:tr>
      <w:tr>
        <w:trPr/>
        <w:tc>
          <w:tcPr>
            <w:tcW w:w="1351" w:type="dxa"/>
            <w:tcBorders/>
            <w:vAlign w:val="center"/>
          </w:tcPr>
          <w:p>
            <w:pPr>
              <w:pStyle w:val="TableContents"/>
              <w:bidi w:val="0"/>
              <w:spacing w:before="0" w:after="283"/>
              <w:rPr/>
            </w:pPr>
            <w:r>
              <w:rPr/>
              <w:t>Dec, δ</w:t>
            </w:r>
          </w:p>
        </w:tc>
        <w:tc>
          <w:tcPr>
            <w:tcW w:w="8401" w:type="dxa"/>
            <w:tcBorders/>
            <w:vAlign w:val="center"/>
          </w:tcPr>
          <w:p>
            <w:pPr>
              <w:pStyle w:val="TableContents"/>
              <w:bidi w:val="0"/>
              <w:spacing w:before="0" w:after="283"/>
              <w:rPr/>
            </w:pPr>
            <w:r>
              <w:rPr/>
              <w:t>Declination; celestial latitude north or south of the celestial equator.</w:t>
            </w:r>
          </w:p>
        </w:tc>
      </w:tr>
      <w:tr>
        <w:trPr/>
        <w:tc>
          <w:tcPr>
            <w:tcW w:w="1351" w:type="dxa"/>
            <w:tcBorders/>
            <w:vAlign w:val="center"/>
          </w:tcPr>
          <w:p>
            <w:pPr>
              <w:pStyle w:val="TableContents"/>
              <w:bidi w:val="0"/>
              <w:spacing w:before="0" w:after="283"/>
              <w:rPr/>
            </w:pPr>
            <w:r>
              <w:rPr/>
              <w:t>DOCX</w:t>
            </w:r>
          </w:p>
        </w:tc>
        <w:tc>
          <w:tcPr>
            <w:tcW w:w="8401" w:type="dxa"/>
            <w:tcBorders/>
            <w:vAlign w:val="center"/>
          </w:tcPr>
          <w:p>
            <w:pPr>
              <w:pStyle w:val="TableContents"/>
              <w:bidi w:val="0"/>
              <w:spacing w:before="0" w:after="283"/>
              <w:rPr/>
            </w:pPr>
            <w:r>
              <w:rPr/>
              <w:t>Office Open XML word-processing document; the editable contributor edition of this manual.</w:t>
            </w:r>
          </w:p>
        </w:tc>
      </w:tr>
      <w:tr>
        <w:trPr/>
        <w:tc>
          <w:tcPr>
            <w:tcW w:w="1351" w:type="dxa"/>
            <w:tcBorders/>
            <w:vAlign w:val="center"/>
          </w:tcPr>
          <w:p>
            <w:pPr>
              <w:pStyle w:val="TableContents"/>
              <w:bidi w:val="0"/>
              <w:spacing w:before="0" w:after="283"/>
              <w:rPr/>
            </w:pPr>
            <w:r>
              <w:rPr/>
              <w:t>DR</w:t>
            </w:r>
          </w:p>
        </w:tc>
        <w:tc>
          <w:tcPr>
            <w:tcW w:w="8401" w:type="dxa"/>
            <w:tcBorders/>
            <w:vAlign w:val="center"/>
          </w:tcPr>
          <w:p>
            <w:pPr>
              <w:pStyle w:val="TableContents"/>
              <w:bidi w:val="0"/>
              <w:spacing w:before="0" w:after="283"/>
              <w:rPr/>
            </w:pPr>
            <w:r>
              <w:rPr/>
              <w:t>Dead Reckoning (historically also “deduced reckoning”).</w:t>
            </w:r>
          </w:p>
        </w:tc>
      </w:tr>
      <w:tr>
        <w:trPr/>
        <w:tc>
          <w:tcPr>
            <w:tcW w:w="1351" w:type="dxa"/>
            <w:tcBorders/>
            <w:vAlign w:val="center"/>
          </w:tcPr>
          <w:p>
            <w:pPr>
              <w:pStyle w:val="TableContents"/>
              <w:bidi w:val="0"/>
              <w:spacing w:before="0" w:after="283"/>
              <w:rPr/>
            </w:pPr>
            <w:r>
              <w:rPr/>
              <w:t>DUT1</w:t>
            </w:r>
          </w:p>
        </w:tc>
        <w:tc>
          <w:tcPr>
            <w:tcW w:w="8401" w:type="dxa"/>
            <w:tcBorders/>
            <w:vAlign w:val="center"/>
          </w:tcPr>
          <w:p>
            <w:pPr>
              <w:pStyle w:val="TableContents"/>
              <w:bidi w:val="0"/>
              <w:spacing w:before="0" w:after="283"/>
              <w:rPr/>
            </w:pPr>
            <w:r>
              <w:rPr/>
              <w:t>UT1 − UTC.</w:t>
            </w:r>
          </w:p>
        </w:tc>
      </w:tr>
      <w:tr>
        <w:trPr/>
        <w:tc>
          <w:tcPr>
            <w:tcW w:w="1351" w:type="dxa"/>
            <w:tcBorders/>
            <w:vAlign w:val="center"/>
          </w:tcPr>
          <w:p>
            <w:pPr>
              <w:pStyle w:val="TableContents"/>
              <w:bidi w:val="0"/>
              <w:spacing w:before="0" w:after="283"/>
              <w:rPr/>
            </w:pPr>
            <w:r>
              <w:rPr/>
              <w:t>GHA</w:t>
            </w:r>
          </w:p>
        </w:tc>
        <w:tc>
          <w:tcPr>
            <w:tcW w:w="8401" w:type="dxa"/>
            <w:tcBorders/>
            <w:vAlign w:val="center"/>
          </w:tcPr>
          <w:p>
            <w:pPr>
              <w:pStyle w:val="TableContents"/>
              <w:bidi w:val="0"/>
              <w:spacing w:before="0" w:after="283"/>
              <w:rPr/>
            </w:pPr>
            <w:r>
              <w:rPr/>
              <w:t>Greenwich Hour Angle.</w:t>
            </w:r>
          </w:p>
        </w:tc>
      </w:tr>
      <w:tr>
        <w:trPr/>
        <w:tc>
          <w:tcPr>
            <w:tcW w:w="1351" w:type="dxa"/>
            <w:tcBorders/>
            <w:vAlign w:val="center"/>
          </w:tcPr>
          <w:p>
            <w:pPr>
              <w:pStyle w:val="TableContents"/>
              <w:bidi w:val="0"/>
              <w:spacing w:before="0" w:after="283"/>
              <w:rPr/>
            </w:pPr>
            <w:r>
              <w:rPr/>
              <w:t>GNSS</w:t>
            </w:r>
          </w:p>
        </w:tc>
        <w:tc>
          <w:tcPr>
            <w:tcW w:w="8401" w:type="dxa"/>
            <w:tcBorders/>
            <w:vAlign w:val="center"/>
          </w:tcPr>
          <w:p>
            <w:pPr>
              <w:pStyle w:val="TableContents"/>
              <w:bidi w:val="0"/>
              <w:spacing w:before="0" w:after="283"/>
              <w:rPr/>
            </w:pPr>
            <w:r>
              <w:rPr/>
              <w:t>Global Navigation Satellite System.</w:t>
            </w:r>
          </w:p>
        </w:tc>
      </w:tr>
      <w:tr>
        <w:trPr/>
        <w:tc>
          <w:tcPr>
            <w:tcW w:w="1351" w:type="dxa"/>
            <w:tcBorders/>
            <w:vAlign w:val="center"/>
          </w:tcPr>
          <w:p>
            <w:pPr>
              <w:pStyle w:val="TableContents"/>
              <w:bidi w:val="0"/>
              <w:spacing w:before="0" w:after="283"/>
              <w:rPr/>
            </w:pPr>
            <w:r>
              <w:rPr/>
              <w:t>GP</w:t>
            </w:r>
          </w:p>
        </w:tc>
        <w:tc>
          <w:tcPr>
            <w:tcW w:w="8401" w:type="dxa"/>
            <w:tcBorders/>
            <w:vAlign w:val="center"/>
          </w:tcPr>
          <w:p>
            <w:pPr>
              <w:pStyle w:val="TableContents"/>
              <w:bidi w:val="0"/>
              <w:spacing w:before="0" w:after="283"/>
              <w:rPr/>
            </w:pPr>
            <w:r>
              <w:rPr/>
              <w:t>Geographic Position of a celestial body.</w:t>
            </w:r>
          </w:p>
        </w:tc>
      </w:tr>
      <w:tr>
        <w:trPr/>
        <w:tc>
          <w:tcPr>
            <w:tcW w:w="1351" w:type="dxa"/>
            <w:tcBorders/>
            <w:vAlign w:val="center"/>
          </w:tcPr>
          <w:p>
            <w:pPr>
              <w:pStyle w:val="TableContents"/>
              <w:bidi w:val="0"/>
              <w:spacing w:before="0" w:after="283"/>
              <w:rPr/>
            </w:pPr>
            <w:r>
              <w:rPr/>
              <w:t>GPS</w:t>
            </w:r>
          </w:p>
        </w:tc>
        <w:tc>
          <w:tcPr>
            <w:tcW w:w="8401"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351" w:type="dxa"/>
            <w:tcBorders/>
            <w:vAlign w:val="center"/>
          </w:tcPr>
          <w:p>
            <w:pPr>
              <w:pStyle w:val="TableContents"/>
              <w:bidi w:val="0"/>
              <w:spacing w:before="0" w:after="283"/>
              <w:rPr/>
            </w:pPr>
            <w:r>
              <w:rPr/>
              <w:t>Ha</w:t>
            </w:r>
          </w:p>
        </w:tc>
        <w:tc>
          <w:tcPr>
            <w:tcW w:w="8401" w:type="dxa"/>
            <w:tcBorders/>
            <w:vAlign w:val="center"/>
          </w:tcPr>
          <w:p>
            <w:pPr>
              <w:pStyle w:val="TableContents"/>
              <w:bidi w:val="0"/>
              <w:spacing w:before="0" w:after="283"/>
              <w:rPr/>
            </w:pPr>
            <w:r>
              <w:rPr/>
              <w:t>Apparent altitude after index and dip/horizon corrections.</w:t>
            </w:r>
          </w:p>
        </w:tc>
      </w:tr>
      <w:tr>
        <w:trPr/>
        <w:tc>
          <w:tcPr>
            <w:tcW w:w="1351" w:type="dxa"/>
            <w:tcBorders/>
            <w:vAlign w:val="center"/>
          </w:tcPr>
          <w:p>
            <w:pPr>
              <w:pStyle w:val="TableContents"/>
              <w:bidi w:val="0"/>
              <w:spacing w:before="0" w:after="283"/>
              <w:rPr/>
            </w:pPr>
            <w:r>
              <w:rPr/>
              <w:t>Hc</w:t>
            </w:r>
          </w:p>
        </w:tc>
        <w:tc>
          <w:tcPr>
            <w:tcW w:w="8401" w:type="dxa"/>
            <w:tcBorders/>
            <w:vAlign w:val="center"/>
          </w:tcPr>
          <w:p>
            <w:pPr>
              <w:pStyle w:val="TableContents"/>
              <w:bidi w:val="0"/>
              <w:spacing w:before="0" w:after="283"/>
              <w:rPr/>
            </w:pPr>
            <w:r>
              <w:rPr/>
              <w:t>Computed altitude at the AP.</w:t>
            </w:r>
          </w:p>
        </w:tc>
      </w:tr>
      <w:tr>
        <w:trPr/>
        <w:tc>
          <w:tcPr>
            <w:tcW w:w="1351" w:type="dxa"/>
            <w:tcBorders/>
            <w:vAlign w:val="center"/>
          </w:tcPr>
          <w:p>
            <w:pPr>
              <w:pStyle w:val="TableContents"/>
              <w:bidi w:val="0"/>
              <w:spacing w:before="0" w:after="283"/>
              <w:rPr/>
            </w:pPr>
            <w:r>
              <w:rPr/>
              <w:t>Ho</w:t>
            </w:r>
          </w:p>
        </w:tc>
        <w:tc>
          <w:tcPr>
            <w:tcW w:w="8401" w:type="dxa"/>
            <w:tcBorders/>
            <w:vAlign w:val="center"/>
          </w:tcPr>
          <w:p>
            <w:pPr>
              <w:pStyle w:val="TableContents"/>
              <w:bidi w:val="0"/>
              <w:spacing w:before="0" w:after="283"/>
              <w:rPr/>
            </w:pPr>
            <w:r>
              <w:rPr/>
              <w:t>Observed, fully corrected altitude.</w:t>
            </w:r>
          </w:p>
        </w:tc>
      </w:tr>
      <w:tr>
        <w:trPr/>
        <w:tc>
          <w:tcPr>
            <w:tcW w:w="1351" w:type="dxa"/>
            <w:tcBorders/>
            <w:vAlign w:val="center"/>
          </w:tcPr>
          <w:p>
            <w:pPr>
              <w:pStyle w:val="TableContents"/>
              <w:bidi w:val="0"/>
              <w:spacing w:before="0" w:after="283"/>
              <w:rPr/>
            </w:pPr>
            <w:r>
              <w:rPr/>
              <w:t>HP</w:t>
            </w:r>
          </w:p>
        </w:tc>
        <w:tc>
          <w:tcPr>
            <w:tcW w:w="8401" w:type="dxa"/>
            <w:tcBorders/>
            <w:vAlign w:val="center"/>
          </w:tcPr>
          <w:p>
            <w:pPr>
              <w:pStyle w:val="TableContents"/>
              <w:bidi w:val="0"/>
              <w:spacing w:before="0" w:after="283"/>
              <w:rPr/>
            </w:pPr>
            <w:r>
              <w:rPr/>
              <w:t>Horizontal parallax.</w:t>
            </w:r>
          </w:p>
        </w:tc>
      </w:tr>
      <w:tr>
        <w:trPr/>
        <w:tc>
          <w:tcPr>
            <w:tcW w:w="1351" w:type="dxa"/>
            <w:tcBorders/>
            <w:vAlign w:val="center"/>
          </w:tcPr>
          <w:p>
            <w:pPr>
              <w:pStyle w:val="TableContents"/>
              <w:bidi w:val="0"/>
              <w:spacing w:before="0" w:after="283"/>
              <w:rPr/>
            </w:pPr>
            <w:r>
              <w:rPr/>
              <w:t>Hs</w:t>
            </w:r>
          </w:p>
        </w:tc>
        <w:tc>
          <w:tcPr>
            <w:tcW w:w="8401" w:type="dxa"/>
            <w:tcBorders/>
            <w:vAlign w:val="center"/>
          </w:tcPr>
          <w:p>
            <w:pPr>
              <w:pStyle w:val="TableContents"/>
              <w:bidi w:val="0"/>
              <w:spacing w:before="0" w:after="283"/>
              <w:rPr/>
            </w:pPr>
            <w:r>
              <w:rPr/>
              <w:t>Sextant altitude.</w:t>
            </w:r>
          </w:p>
        </w:tc>
      </w:tr>
      <w:tr>
        <w:trPr/>
        <w:tc>
          <w:tcPr>
            <w:tcW w:w="1351" w:type="dxa"/>
            <w:tcBorders/>
            <w:vAlign w:val="center"/>
          </w:tcPr>
          <w:p>
            <w:pPr>
              <w:pStyle w:val="TableContents"/>
              <w:bidi w:val="0"/>
              <w:spacing w:before="0" w:after="283"/>
              <w:rPr/>
            </w:pPr>
            <w:r>
              <w:rPr/>
              <w:t>HSA</w:t>
            </w:r>
          </w:p>
        </w:tc>
        <w:tc>
          <w:tcPr>
            <w:tcW w:w="8401" w:type="dxa"/>
            <w:tcBorders/>
            <w:vAlign w:val="center"/>
          </w:tcPr>
          <w:p>
            <w:pPr>
              <w:pStyle w:val="TableContents"/>
              <w:bidi w:val="0"/>
              <w:spacing w:before="0" w:after="283"/>
              <w:rPr/>
            </w:pPr>
            <w:r>
              <w:rPr/>
              <w:t>Horizontal Sextant Angle.</w:t>
            </w:r>
          </w:p>
        </w:tc>
      </w:tr>
      <w:tr>
        <w:trPr/>
        <w:tc>
          <w:tcPr>
            <w:tcW w:w="1351" w:type="dxa"/>
            <w:tcBorders/>
            <w:vAlign w:val="center"/>
          </w:tcPr>
          <w:p>
            <w:pPr>
              <w:pStyle w:val="TableContents"/>
              <w:bidi w:val="0"/>
              <w:spacing w:before="0" w:after="283"/>
              <w:rPr/>
            </w:pPr>
            <w:r>
              <w:rPr/>
              <w:t>HTML</w:t>
            </w:r>
          </w:p>
        </w:tc>
        <w:tc>
          <w:tcPr>
            <w:tcW w:w="8401" w:type="dxa"/>
            <w:tcBorders/>
            <w:vAlign w:val="center"/>
          </w:tcPr>
          <w:p>
            <w:pPr>
              <w:pStyle w:val="TableContents"/>
              <w:bidi w:val="0"/>
              <w:spacing w:before="0" w:after="283"/>
              <w:rPr/>
            </w:pPr>
            <w:r>
              <w:rPr/>
              <w:t>HyperText Markup Language; the offline edition opened by the plugin's Documentation button.</w:t>
            </w:r>
          </w:p>
        </w:tc>
      </w:tr>
      <w:tr>
        <w:trPr/>
        <w:tc>
          <w:tcPr>
            <w:tcW w:w="1351" w:type="dxa"/>
            <w:tcBorders/>
            <w:vAlign w:val="center"/>
          </w:tcPr>
          <w:p>
            <w:pPr>
              <w:pStyle w:val="TableContents"/>
              <w:bidi w:val="0"/>
              <w:spacing w:before="0" w:after="283"/>
              <w:rPr/>
            </w:pPr>
            <w:r>
              <w:rPr/>
              <w:t>IC</w:t>
            </w:r>
          </w:p>
        </w:tc>
        <w:tc>
          <w:tcPr>
            <w:tcW w:w="8401" w:type="dxa"/>
            <w:tcBorders/>
            <w:vAlign w:val="center"/>
          </w:tcPr>
          <w:p>
            <w:pPr>
              <w:pStyle w:val="TableContents"/>
              <w:bidi w:val="0"/>
              <w:spacing w:before="0" w:after="283"/>
              <w:rPr/>
            </w:pPr>
            <w:r>
              <w:rPr/>
              <w:t>Index Correction.</w:t>
            </w:r>
          </w:p>
        </w:tc>
      </w:tr>
      <w:tr>
        <w:trPr/>
        <w:tc>
          <w:tcPr>
            <w:tcW w:w="1351" w:type="dxa"/>
            <w:tcBorders/>
            <w:vAlign w:val="center"/>
          </w:tcPr>
          <w:p>
            <w:pPr>
              <w:pStyle w:val="TableContents"/>
              <w:bidi w:val="0"/>
              <w:spacing w:before="0" w:after="283"/>
              <w:rPr/>
            </w:pPr>
            <w:r>
              <w:rPr/>
              <w:t>IE</w:t>
            </w:r>
          </w:p>
        </w:tc>
        <w:tc>
          <w:tcPr>
            <w:tcW w:w="8401" w:type="dxa"/>
            <w:tcBorders/>
            <w:vAlign w:val="center"/>
          </w:tcPr>
          <w:p>
            <w:pPr>
              <w:pStyle w:val="TableContents"/>
              <w:bidi w:val="0"/>
              <w:spacing w:before="0" w:after="283"/>
              <w:rPr/>
            </w:pPr>
            <w:r>
              <w:rPr/>
              <w:t>Index Error.</w:t>
            </w:r>
          </w:p>
        </w:tc>
      </w:tr>
      <w:tr>
        <w:trPr/>
        <w:tc>
          <w:tcPr>
            <w:tcW w:w="1351" w:type="dxa"/>
            <w:tcBorders/>
            <w:vAlign w:val="center"/>
          </w:tcPr>
          <w:p>
            <w:pPr>
              <w:pStyle w:val="TableContents"/>
              <w:bidi w:val="0"/>
              <w:spacing w:before="0" w:after="283"/>
              <w:rPr/>
            </w:pPr>
            <w:r>
              <w:rPr/>
              <w:t>IERS</w:t>
            </w:r>
          </w:p>
        </w:tc>
        <w:tc>
          <w:tcPr>
            <w:tcW w:w="8401" w:type="dxa"/>
            <w:tcBorders/>
            <w:vAlign w:val="center"/>
          </w:tcPr>
          <w:p>
            <w:pPr>
              <w:pStyle w:val="TableContents"/>
              <w:bidi w:val="0"/>
              <w:spacing w:before="0" w:after="283"/>
              <w:rPr/>
            </w:pPr>
            <w:r>
              <w:rPr/>
              <w:t>International Earth Rotation and Reference Systems Service.</w:t>
            </w:r>
          </w:p>
        </w:tc>
      </w:tr>
      <w:tr>
        <w:trPr/>
        <w:tc>
          <w:tcPr>
            <w:tcW w:w="1351" w:type="dxa"/>
            <w:tcBorders/>
            <w:vAlign w:val="center"/>
          </w:tcPr>
          <w:p>
            <w:pPr>
              <w:pStyle w:val="TableContents"/>
              <w:bidi w:val="0"/>
              <w:spacing w:before="0" w:after="283"/>
              <w:rPr/>
            </w:pPr>
            <w:r>
              <w:rPr/>
              <w:t>JPL</w:t>
            </w:r>
          </w:p>
        </w:tc>
        <w:tc>
          <w:tcPr>
            <w:tcW w:w="8401" w:type="dxa"/>
            <w:tcBorders/>
            <w:vAlign w:val="center"/>
          </w:tcPr>
          <w:p>
            <w:pPr>
              <w:pStyle w:val="TableContents"/>
              <w:bidi w:val="0"/>
              <w:spacing w:before="0" w:after="283"/>
              <w:rPr/>
            </w:pPr>
            <w:r>
              <w:rPr/>
              <w:t>Jet Propulsion Laboratory.</w:t>
            </w:r>
          </w:p>
        </w:tc>
      </w:tr>
      <w:tr>
        <w:trPr/>
        <w:tc>
          <w:tcPr>
            <w:tcW w:w="1351" w:type="dxa"/>
            <w:tcBorders/>
            <w:vAlign w:val="center"/>
          </w:tcPr>
          <w:p>
            <w:pPr>
              <w:pStyle w:val="TableContents"/>
              <w:bidi w:val="0"/>
              <w:spacing w:before="0" w:after="283"/>
              <w:rPr/>
            </w:pPr>
            <w:r>
              <w:rPr/>
              <w:t>LAN</w:t>
            </w:r>
          </w:p>
        </w:tc>
        <w:tc>
          <w:tcPr>
            <w:tcW w:w="8401" w:type="dxa"/>
            <w:tcBorders/>
            <w:vAlign w:val="center"/>
          </w:tcPr>
          <w:p>
            <w:pPr>
              <w:pStyle w:val="TableContents"/>
              <w:bidi w:val="0"/>
              <w:spacing w:before="0" w:after="283"/>
              <w:rPr/>
            </w:pPr>
            <w:r>
              <w:rPr/>
              <w:t>Local Apparent Noon.</w:t>
            </w:r>
          </w:p>
        </w:tc>
      </w:tr>
      <w:tr>
        <w:trPr/>
        <w:tc>
          <w:tcPr>
            <w:tcW w:w="1351" w:type="dxa"/>
            <w:tcBorders/>
            <w:vAlign w:val="center"/>
          </w:tcPr>
          <w:p>
            <w:pPr>
              <w:pStyle w:val="TableContents"/>
              <w:bidi w:val="0"/>
              <w:spacing w:before="0" w:after="283"/>
              <w:rPr/>
            </w:pPr>
            <w:r>
              <w:rPr/>
              <w:t>LD / LDOpc</w:t>
            </w:r>
          </w:p>
        </w:tc>
        <w:tc>
          <w:tcPr>
            <w:tcW w:w="8401" w:type="dxa"/>
            <w:tcBorders/>
            <w:vAlign w:val="center"/>
          </w:tcPr>
          <w:p>
            <w:pPr>
              <w:pStyle w:val="TableContents"/>
              <w:bidi w:val="0"/>
              <w:spacing w:before="0" w:after="283"/>
              <w:rPr/>
            </w:pPr>
            <w:r>
              <w:rPr/>
              <w:t>Lunar Distance / observed raw lunar-distance measurement with selected contact.</w:t>
            </w:r>
          </w:p>
        </w:tc>
      </w:tr>
      <w:tr>
        <w:trPr/>
        <w:tc>
          <w:tcPr>
            <w:tcW w:w="1351" w:type="dxa"/>
            <w:tcBorders/>
            <w:vAlign w:val="center"/>
          </w:tcPr>
          <w:p>
            <w:pPr>
              <w:pStyle w:val="TableContents"/>
              <w:bidi w:val="0"/>
              <w:spacing w:before="0" w:after="283"/>
              <w:rPr/>
            </w:pPr>
            <w:r>
              <w:rPr/>
              <w:t>LDc</w:t>
            </w:r>
          </w:p>
        </w:tc>
        <w:tc>
          <w:tcPr>
            <w:tcW w:w="8401" w:type="dxa"/>
            <w:tcBorders/>
            <w:vAlign w:val="center"/>
          </w:tcPr>
          <w:p>
            <w:pPr>
              <w:pStyle w:val="TableContents"/>
              <w:bidi w:val="0"/>
              <w:spacing w:before="0" w:after="283"/>
              <w:rPr/>
            </w:pPr>
            <w:r>
              <w:rPr/>
              <w:t>Cleared lunar distance.</w:t>
            </w:r>
          </w:p>
        </w:tc>
      </w:tr>
      <w:tr>
        <w:trPr/>
        <w:tc>
          <w:tcPr>
            <w:tcW w:w="1351" w:type="dxa"/>
            <w:tcBorders/>
            <w:vAlign w:val="center"/>
          </w:tcPr>
          <w:p>
            <w:pPr>
              <w:pStyle w:val="TableContents"/>
              <w:bidi w:val="0"/>
              <w:spacing w:before="0" w:after="283"/>
              <w:rPr/>
            </w:pPr>
            <w:r>
              <w:rPr/>
              <w:t>LHA</w:t>
            </w:r>
          </w:p>
        </w:tc>
        <w:tc>
          <w:tcPr>
            <w:tcW w:w="8401" w:type="dxa"/>
            <w:tcBorders/>
            <w:vAlign w:val="center"/>
          </w:tcPr>
          <w:p>
            <w:pPr>
              <w:pStyle w:val="TableContents"/>
              <w:bidi w:val="0"/>
              <w:spacing w:before="0" w:after="283"/>
              <w:rPr/>
            </w:pPr>
            <w:r>
              <w:rPr/>
              <w:t>Local Hour Angle.</w:t>
            </w:r>
          </w:p>
        </w:tc>
      </w:tr>
      <w:tr>
        <w:trPr/>
        <w:tc>
          <w:tcPr>
            <w:tcW w:w="1351" w:type="dxa"/>
            <w:tcBorders/>
            <w:vAlign w:val="center"/>
          </w:tcPr>
          <w:p>
            <w:pPr>
              <w:pStyle w:val="TableContents"/>
              <w:bidi w:val="0"/>
              <w:spacing w:before="0" w:after="283"/>
              <w:rPr/>
            </w:pPr>
            <w:r>
              <w:rPr/>
              <w:t>LOLA</w:t>
            </w:r>
          </w:p>
        </w:tc>
        <w:tc>
          <w:tcPr>
            <w:tcW w:w="8401" w:type="dxa"/>
            <w:tcBorders/>
            <w:vAlign w:val="center"/>
          </w:tcPr>
          <w:p>
            <w:pPr>
              <w:pStyle w:val="TableContents"/>
              <w:bidi w:val="0"/>
              <w:spacing w:before="0" w:after="283"/>
              <w:rPr/>
            </w:pPr>
            <w:r>
              <w:rPr/>
              <w:t>Lunar Orbiter Laser Altimeter.</w:t>
            </w:r>
          </w:p>
        </w:tc>
      </w:tr>
      <w:tr>
        <w:trPr/>
        <w:tc>
          <w:tcPr>
            <w:tcW w:w="1351" w:type="dxa"/>
            <w:tcBorders/>
            <w:vAlign w:val="center"/>
          </w:tcPr>
          <w:p>
            <w:pPr>
              <w:pStyle w:val="TableContents"/>
              <w:bidi w:val="0"/>
              <w:spacing w:before="0" w:after="283"/>
              <w:rPr/>
            </w:pPr>
            <w:r>
              <w:rPr/>
              <w:t>LOP</w:t>
            </w:r>
          </w:p>
        </w:tc>
        <w:tc>
          <w:tcPr>
            <w:tcW w:w="8401" w:type="dxa"/>
            <w:tcBorders/>
            <w:vAlign w:val="center"/>
          </w:tcPr>
          <w:p>
            <w:pPr>
              <w:pStyle w:val="TableContents"/>
              <w:bidi w:val="0"/>
              <w:spacing w:before="0" w:after="283"/>
              <w:rPr/>
            </w:pPr>
            <w:r>
              <w:rPr/>
              <w:t>Line of Position.</w:t>
            </w:r>
          </w:p>
        </w:tc>
      </w:tr>
      <w:tr>
        <w:trPr/>
        <w:tc>
          <w:tcPr>
            <w:tcW w:w="1351" w:type="dxa"/>
            <w:tcBorders/>
            <w:vAlign w:val="center"/>
          </w:tcPr>
          <w:p>
            <w:pPr>
              <w:pStyle w:val="TableContents"/>
              <w:bidi w:val="0"/>
              <w:spacing w:before="0" w:after="283"/>
              <w:rPr/>
            </w:pPr>
            <w:r>
              <w:rPr/>
              <w:t>NMEA</w:t>
            </w:r>
          </w:p>
        </w:tc>
        <w:tc>
          <w:tcPr>
            <w:tcW w:w="8401"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351" w:type="dxa"/>
            <w:tcBorders/>
            <w:vAlign w:val="center"/>
          </w:tcPr>
          <w:p>
            <w:pPr>
              <w:pStyle w:val="TableContents"/>
              <w:bidi w:val="0"/>
              <w:spacing w:before="0" w:after="283"/>
              <w:rPr/>
            </w:pPr>
            <w:r>
              <w:rPr/>
              <w:t>NM</w:t>
            </w:r>
          </w:p>
        </w:tc>
        <w:tc>
          <w:tcPr>
            <w:tcW w:w="8401" w:type="dxa"/>
            <w:tcBorders/>
            <w:vAlign w:val="center"/>
          </w:tcPr>
          <w:p>
            <w:pPr>
              <w:pStyle w:val="TableContents"/>
              <w:bidi w:val="0"/>
              <w:spacing w:before="0" w:after="283"/>
              <w:rPr/>
            </w:pPr>
            <w:r>
              <w:rPr/>
              <w:t>Nautical mile.</w:t>
            </w:r>
          </w:p>
        </w:tc>
      </w:tr>
      <w:tr>
        <w:trPr/>
        <w:tc>
          <w:tcPr>
            <w:tcW w:w="1351" w:type="dxa"/>
            <w:tcBorders/>
            <w:vAlign w:val="center"/>
          </w:tcPr>
          <w:p>
            <w:pPr>
              <w:pStyle w:val="TableContents"/>
              <w:bidi w:val="0"/>
              <w:spacing w:before="0" w:after="283"/>
              <w:rPr/>
            </w:pPr>
            <w:r>
              <w:rPr/>
              <w:t>PA</w:t>
            </w:r>
          </w:p>
        </w:tc>
        <w:tc>
          <w:tcPr>
            <w:tcW w:w="8401" w:type="dxa"/>
            <w:tcBorders/>
            <w:vAlign w:val="center"/>
          </w:tcPr>
          <w:p>
            <w:pPr>
              <w:pStyle w:val="TableContents"/>
              <w:bidi w:val="0"/>
              <w:spacing w:before="0" w:after="283"/>
              <w:rPr/>
            </w:pPr>
            <w:r>
              <w:rPr/>
              <w:t>Parallax in Altitude.</w:t>
            </w:r>
          </w:p>
        </w:tc>
      </w:tr>
      <w:tr>
        <w:trPr/>
        <w:tc>
          <w:tcPr>
            <w:tcW w:w="1351" w:type="dxa"/>
            <w:tcBorders/>
            <w:vAlign w:val="center"/>
          </w:tcPr>
          <w:p>
            <w:pPr>
              <w:pStyle w:val="TableContents"/>
              <w:bidi w:val="0"/>
              <w:spacing w:before="0" w:after="283"/>
              <w:rPr/>
            </w:pPr>
            <w:r>
              <w:rPr/>
              <w:t>PCK</w:t>
            </w:r>
          </w:p>
        </w:tc>
        <w:tc>
          <w:tcPr>
            <w:tcW w:w="8401" w:type="dxa"/>
            <w:tcBorders/>
            <w:vAlign w:val="center"/>
          </w:tcPr>
          <w:p>
            <w:pPr>
              <w:pStyle w:val="TableContents"/>
              <w:bidi w:val="0"/>
              <w:spacing w:before="0" w:after="283"/>
              <w:rPr/>
            </w:pPr>
            <w:r>
              <w:rPr/>
              <w:t>Planetary Constants Kernel used for body orientation data.</w:t>
            </w:r>
          </w:p>
        </w:tc>
      </w:tr>
      <w:tr>
        <w:trPr/>
        <w:tc>
          <w:tcPr>
            <w:tcW w:w="1351" w:type="dxa"/>
            <w:tcBorders/>
            <w:vAlign w:val="center"/>
          </w:tcPr>
          <w:p>
            <w:pPr>
              <w:pStyle w:val="TableContents"/>
              <w:bidi w:val="0"/>
              <w:spacing w:before="0" w:after="283"/>
              <w:rPr/>
            </w:pPr>
            <w:r>
              <w:rPr/>
              <w:t>PDF</w:t>
            </w:r>
          </w:p>
        </w:tc>
        <w:tc>
          <w:tcPr>
            <w:tcW w:w="8401" w:type="dxa"/>
            <w:tcBorders/>
            <w:vAlign w:val="center"/>
          </w:tcPr>
          <w:p>
            <w:pPr>
              <w:pStyle w:val="TableContents"/>
              <w:bidi w:val="0"/>
              <w:spacing w:before="0" w:after="283"/>
              <w:rPr/>
            </w:pPr>
            <w:r>
              <w:rPr/>
              <w:t>Portable Document Format; the fixed-layout display and printable edition of this manual.</w:t>
            </w:r>
          </w:p>
        </w:tc>
      </w:tr>
      <w:tr>
        <w:trPr/>
        <w:tc>
          <w:tcPr>
            <w:tcW w:w="1351" w:type="dxa"/>
            <w:tcBorders/>
            <w:vAlign w:val="center"/>
          </w:tcPr>
          <w:p>
            <w:pPr>
              <w:pStyle w:val="TableContents"/>
              <w:bidi w:val="0"/>
              <w:spacing w:before="0" w:after="283"/>
              <w:rPr/>
            </w:pPr>
            <w:r>
              <w:rPr/>
              <w:t>RA</w:t>
            </w:r>
          </w:p>
        </w:tc>
        <w:tc>
          <w:tcPr>
            <w:tcW w:w="8401" w:type="dxa"/>
            <w:tcBorders/>
            <w:vAlign w:val="center"/>
          </w:tcPr>
          <w:p>
            <w:pPr>
              <w:pStyle w:val="TableContents"/>
              <w:bidi w:val="0"/>
              <w:spacing w:before="0" w:after="283"/>
              <w:rPr/>
            </w:pPr>
            <w:r>
              <w:rPr/>
              <w:t>Right Ascension.</w:t>
            </w:r>
          </w:p>
        </w:tc>
      </w:tr>
      <w:tr>
        <w:trPr/>
        <w:tc>
          <w:tcPr>
            <w:tcW w:w="1351" w:type="dxa"/>
            <w:tcBorders/>
            <w:vAlign w:val="center"/>
          </w:tcPr>
          <w:p>
            <w:pPr>
              <w:pStyle w:val="TableContents"/>
              <w:bidi w:val="0"/>
              <w:spacing w:before="0" w:after="283"/>
              <w:rPr/>
            </w:pPr>
            <w:r>
              <w:rPr/>
              <w:t>RMC</w:t>
            </w:r>
          </w:p>
        </w:tc>
        <w:tc>
          <w:tcPr>
            <w:tcW w:w="8401" w:type="dxa"/>
            <w:tcBorders/>
            <w:vAlign w:val="center"/>
          </w:tcPr>
          <w:p>
            <w:pPr>
              <w:pStyle w:val="TableContents"/>
              <w:bidi w:val="0"/>
              <w:spacing w:before="0" w:after="283"/>
              <w:rPr/>
            </w:pPr>
            <w:r>
              <w:rPr/>
              <w:t>NMEA Recommended Minimum Navigation Information sentence.</w:t>
            </w:r>
          </w:p>
        </w:tc>
      </w:tr>
      <w:tr>
        <w:trPr/>
        <w:tc>
          <w:tcPr>
            <w:tcW w:w="1351" w:type="dxa"/>
            <w:tcBorders/>
            <w:vAlign w:val="center"/>
          </w:tcPr>
          <w:p>
            <w:pPr>
              <w:pStyle w:val="TableContents"/>
              <w:bidi w:val="0"/>
              <w:spacing w:before="0" w:after="283"/>
              <w:rPr/>
            </w:pPr>
            <w:r>
              <w:rPr/>
              <w:t>RMS</w:t>
            </w:r>
          </w:p>
        </w:tc>
        <w:tc>
          <w:tcPr>
            <w:tcW w:w="8401"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351" w:type="dxa"/>
            <w:tcBorders/>
            <w:vAlign w:val="center"/>
          </w:tcPr>
          <w:p>
            <w:pPr>
              <w:pStyle w:val="TableContents"/>
              <w:bidi w:val="0"/>
              <w:spacing w:before="0" w:after="283"/>
              <w:rPr/>
            </w:pPr>
            <w:r>
              <w:rPr/>
              <w:t>SD</w:t>
            </w:r>
          </w:p>
        </w:tc>
        <w:tc>
          <w:tcPr>
            <w:tcW w:w="8401" w:type="dxa"/>
            <w:tcBorders/>
            <w:vAlign w:val="center"/>
          </w:tcPr>
          <w:p>
            <w:pPr>
              <w:pStyle w:val="TableContents"/>
              <w:bidi w:val="0"/>
              <w:spacing w:before="0" w:after="283"/>
              <w:rPr/>
            </w:pPr>
            <w:r>
              <w:rPr/>
              <w:t>Semidiameter.</w:t>
            </w:r>
          </w:p>
        </w:tc>
      </w:tr>
      <w:tr>
        <w:trPr/>
        <w:tc>
          <w:tcPr>
            <w:tcW w:w="1351" w:type="dxa"/>
            <w:tcBorders/>
            <w:vAlign w:val="center"/>
          </w:tcPr>
          <w:p>
            <w:pPr>
              <w:pStyle w:val="TableContents"/>
              <w:bidi w:val="0"/>
              <w:spacing w:before="0" w:after="283"/>
              <w:rPr/>
            </w:pPr>
            <w:r>
              <w:rPr/>
              <w:t>SHA</w:t>
            </w:r>
          </w:p>
        </w:tc>
        <w:tc>
          <w:tcPr>
            <w:tcW w:w="8401" w:type="dxa"/>
            <w:tcBorders/>
            <w:vAlign w:val="center"/>
          </w:tcPr>
          <w:p>
            <w:pPr>
              <w:pStyle w:val="TableContents"/>
              <w:bidi w:val="0"/>
              <w:spacing w:before="0" w:after="283"/>
              <w:rPr/>
            </w:pPr>
            <w:r>
              <w:rPr/>
              <w:t>Sidereal Hour Angle.</w:t>
            </w:r>
          </w:p>
        </w:tc>
      </w:tr>
      <w:tr>
        <w:trPr/>
        <w:tc>
          <w:tcPr>
            <w:tcW w:w="1351" w:type="dxa"/>
            <w:tcBorders/>
            <w:vAlign w:val="center"/>
          </w:tcPr>
          <w:p>
            <w:pPr>
              <w:pStyle w:val="TableContents"/>
              <w:bidi w:val="0"/>
              <w:spacing w:before="0" w:after="283"/>
              <w:rPr/>
            </w:pPr>
            <w:r>
              <w:rPr/>
              <w:t>SOG</w:t>
            </w:r>
          </w:p>
        </w:tc>
        <w:tc>
          <w:tcPr>
            <w:tcW w:w="8401" w:type="dxa"/>
            <w:tcBorders/>
            <w:vAlign w:val="center"/>
          </w:tcPr>
          <w:p>
            <w:pPr>
              <w:pStyle w:val="TableContents"/>
              <w:bidi w:val="0"/>
              <w:spacing w:before="0" w:after="283"/>
              <w:rPr/>
            </w:pPr>
            <w:r>
              <w:rPr/>
              <w:t>Speed Over Ground in knots.</w:t>
            </w:r>
          </w:p>
        </w:tc>
      </w:tr>
      <w:tr>
        <w:trPr/>
        <w:tc>
          <w:tcPr>
            <w:tcW w:w="1351" w:type="dxa"/>
            <w:tcBorders/>
            <w:vAlign w:val="center"/>
          </w:tcPr>
          <w:p>
            <w:pPr>
              <w:pStyle w:val="TableContents"/>
              <w:bidi w:val="0"/>
              <w:spacing w:before="0" w:after="283"/>
              <w:rPr/>
            </w:pPr>
            <w:r>
              <w:rPr/>
              <w:t>TAI</w:t>
            </w:r>
          </w:p>
        </w:tc>
        <w:tc>
          <w:tcPr>
            <w:tcW w:w="8401" w:type="dxa"/>
            <w:tcBorders/>
            <w:vAlign w:val="center"/>
          </w:tcPr>
          <w:p>
            <w:pPr>
              <w:pStyle w:val="TableContents"/>
              <w:bidi w:val="0"/>
              <w:spacing w:before="0" w:after="283"/>
              <w:rPr/>
            </w:pPr>
            <w:r>
              <w:rPr/>
              <w:t>International Atomic Time.</w:t>
            </w:r>
          </w:p>
        </w:tc>
      </w:tr>
      <w:tr>
        <w:trPr/>
        <w:tc>
          <w:tcPr>
            <w:tcW w:w="1351" w:type="dxa"/>
            <w:tcBorders/>
            <w:vAlign w:val="center"/>
          </w:tcPr>
          <w:p>
            <w:pPr>
              <w:pStyle w:val="TableContents"/>
              <w:bidi w:val="0"/>
              <w:spacing w:before="0" w:after="283"/>
              <w:rPr/>
            </w:pPr>
            <w:r>
              <w:rPr/>
              <w:t>TT</w:t>
            </w:r>
          </w:p>
        </w:tc>
        <w:tc>
          <w:tcPr>
            <w:tcW w:w="8401" w:type="dxa"/>
            <w:tcBorders/>
            <w:vAlign w:val="center"/>
          </w:tcPr>
          <w:p>
            <w:pPr>
              <w:pStyle w:val="TableContents"/>
              <w:bidi w:val="0"/>
              <w:spacing w:before="0" w:after="283"/>
              <w:rPr/>
            </w:pPr>
            <w:r>
              <w:rPr/>
              <w:t>Terrestrial Time, used in ephemeris calculations.</w:t>
            </w:r>
          </w:p>
        </w:tc>
      </w:tr>
      <w:tr>
        <w:trPr/>
        <w:tc>
          <w:tcPr>
            <w:tcW w:w="1351" w:type="dxa"/>
            <w:tcBorders/>
            <w:vAlign w:val="center"/>
          </w:tcPr>
          <w:p>
            <w:pPr>
              <w:pStyle w:val="TableContents"/>
              <w:bidi w:val="0"/>
              <w:spacing w:before="0" w:after="283"/>
              <w:rPr/>
            </w:pPr>
            <w:r>
              <w:rPr/>
              <w:t>UI</w:t>
            </w:r>
          </w:p>
        </w:tc>
        <w:tc>
          <w:tcPr>
            <w:tcW w:w="8401" w:type="dxa"/>
            <w:tcBorders/>
            <w:vAlign w:val="center"/>
          </w:tcPr>
          <w:p>
            <w:pPr>
              <w:pStyle w:val="TableContents"/>
              <w:bidi w:val="0"/>
              <w:spacing w:before="0" w:after="283"/>
              <w:rPr/>
            </w:pPr>
            <w:r>
              <w:rPr/>
              <w:t>User Interface.</w:t>
            </w:r>
          </w:p>
        </w:tc>
      </w:tr>
      <w:tr>
        <w:trPr/>
        <w:tc>
          <w:tcPr>
            <w:tcW w:w="1351" w:type="dxa"/>
            <w:tcBorders/>
            <w:vAlign w:val="center"/>
          </w:tcPr>
          <w:p>
            <w:pPr>
              <w:pStyle w:val="TableContents"/>
              <w:bidi w:val="0"/>
              <w:spacing w:before="0" w:after="283"/>
              <w:rPr/>
            </w:pPr>
            <w:r>
              <w:rPr/>
              <w:t>USNO</w:t>
            </w:r>
          </w:p>
        </w:tc>
        <w:tc>
          <w:tcPr>
            <w:tcW w:w="8401" w:type="dxa"/>
            <w:tcBorders/>
            <w:vAlign w:val="center"/>
          </w:tcPr>
          <w:p>
            <w:pPr>
              <w:pStyle w:val="TableContents"/>
              <w:bidi w:val="0"/>
              <w:spacing w:before="0" w:after="283"/>
              <w:rPr/>
            </w:pPr>
            <w:r>
              <w:rPr/>
              <w:t>United States Naval Observatory.</w:t>
            </w:r>
          </w:p>
        </w:tc>
      </w:tr>
      <w:tr>
        <w:trPr/>
        <w:tc>
          <w:tcPr>
            <w:tcW w:w="1351" w:type="dxa"/>
            <w:tcBorders/>
            <w:vAlign w:val="center"/>
          </w:tcPr>
          <w:p>
            <w:pPr>
              <w:pStyle w:val="TableContents"/>
              <w:bidi w:val="0"/>
              <w:spacing w:before="0" w:after="283"/>
              <w:rPr/>
            </w:pPr>
            <w:r>
              <w:rPr/>
              <w:t>UT</w:t>
            </w:r>
          </w:p>
        </w:tc>
        <w:tc>
          <w:tcPr>
            <w:tcW w:w="8401" w:type="dxa"/>
            <w:tcBorders/>
            <w:vAlign w:val="center"/>
          </w:tcPr>
          <w:p>
            <w:pPr>
              <w:pStyle w:val="TableContents"/>
              <w:bidi w:val="0"/>
              <w:spacing w:before="0" w:after="283"/>
              <w:rPr/>
            </w:pPr>
            <w:r>
              <w:rPr/>
              <w:t>Universal Time; use the specifically stated form where precision matters.</w:t>
            </w:r>
          </w:p>
        </w:tc>
      </w:tr>
      <w:tr>
        <w:trPr/>
        <w:tc>
          <w:tcPr>
            <w:tcW w:w="1351" w:type="dxa"/>
            <w:tcBorders/>
            <w:vAlign w:val="center"/>
          </w:tcPr>
          <w:p>
            <w:pPr>
              <w:pStyle w:val="TableContents"/>
              <w:bidi w:val="0"/>
              <w:spacing w:before="0" w:after="283"/>
              <w:rPr/>
            </w:pPr>
            <w:r>
              <w:rPr/>
              <w:t>UT1</w:t>
            </w:r>
          </w:p>
        </w:tc>
        <w:tc>
          <w:tcPr>
            <w:tcW w:w="8401" w:type="dxa"/>
            <w:tcBorders/>
            <w:vAlign w:val="center"/>
          </w:tcPr>
          <w:p>
            <w:pPr>
              <w:pStyle w:val="TableContents"/>
              <w:bidi w:val="0"/>
              <w:spacing w:before="0" w:after="283"/>
              <w:rPr/>
            </w:pPr>
            <w:r>
              <w:rPr/>
              <w:t>Universal Time derived from Earth rotation.</w:t>
            </w:r>
          </w:p>
        </w:tc>
      </w:tr>
      <w:tr>
        <w:trPr/>
        <w:tc>
          <w:tcPr>
            <w:tcW w:w="1351" w:type="dxa"/>
            <w:tcBorders/>
            <w:vAlign w:val="center"/>
          </w:tcPr>
          <w:p>
            <w:pPr>
              <w:pStyle w:val="TableContents"/>
              <w:bidi w:val="0"/>
              <w:spacing w:before="0" w:after="283"/>
              <w:rPr/>
            </w:pPr>
            <w:r>
              <w:rPr/>
              <w:t>UTC</w:t>
            </w:r>
          </w:p>
        </w:tc>
        <w:tc>
          <w:tcPr>
            <w:tcW w:w="8401" w:type="dxa"/>
            <w:tcBorders/>
            <w:vAlign w:val="center"/>
          </w:tcPr>
          <w:p>
            <w:pPr>
              <w:pStyle w:val="TableContents"/>
              <w:bidi w:val="0"/>
              <w:spacing w:before="0" w:after="283"/>
              <w:rPr/>
            </w:pPr>
            <w:r>
              <w:rPr/>
              <w:t>Coordinated Universal Time.</w:t>
            </w:r>
          </w:p>
        </w:tc>
      </w:tr>
      <w:tr>
        <w:trPr/>
        <w:tc>
          <w:tcPr>
            <w:tcW w:w="1351" w:type="dxa"/>
            <w:tcBorders/>
            <w:vAlign w:val="center"/>
          </w:tcPr>
          <w:p>
            <w:pPr>
              <w:pStyle w:val="TableContents"/>
              <w:bidi w:val="0"/>
              <w:spacing w:before="0" w:after="283"/>
              <w:rPr/>
            </w:pPr>
            <w:r>
              <w:rPr/>
              <w:t>WMM</w:t>
            </w:r>
          </w:p>
        </w:tc>
        <w:tc>
          <w:tcPr>
            <w:tcW w:w="8401" w:type="dxa"/>
            <w:tcBorders/>
            <w:vAlign w:val="center"/>
          </w:tcPr>
          <w:p>
            <w:pPr>
              <w:pStyle w:val="TableContents"/>
              <w:bidi w:val="0"/>
              <w:spacing w:before="0" w:after="283"/>
              <w:rPr/>
            </w:pPr>
            <w:r>
              <w:rPr/>
              <w:t>World Magnetic Model.</w:t>
            </w:r>
          </w:p>
        </w:tc>
      </w:tr>
      <w:tr>
        <w:trPr/>
        <w:tc>
          <w:tcPr>
            <w:tcW w:w="1351" w:type="dxa"/>
            <w:tcBorders/>
            <w:vAlign w:val="center"/>
          </w:tcPr>
          <w:p>
            <w:pPr>
              <w:pStyle w:val="TableContents"/>
              <w:bidi w:val="0"/>
              <w:spacing w:before="0" w:after="283"/>
              <w:rPr/>
            </w:pPr>
            <w:r>
              <w:rPr/>
              <w:t>ZD</w:t>
            </w:r>
          </w:p>
        </w:tc>
        <w:tc>
          <w:tcPr>
            <w:tcW w:w="8401" w:type="dxa"/>
            <w:tcBorders/>
            <w:vAlign w:val="center"/>
          </w:tcPr>
          <w:p>
            <w:pPr>
              <w:pStyle w:val="TableContents"/>
              <w:bidi w:val="0"/>
              <w:spacing w:before="0" w:after="283"/>
              <w:rPr/>
            </w:pPr>
            <w:r>
              <w:rPr/>
              <w:t>Zone Description in traditional nautical time notation; do not confuse with zenith distance z.</w:t>
            </w:r>
          </w:p>
        </w:tc>
      </w:tr>
      <w:tr>
        <w:trPr/>
        <w:tc>
          <w:tcPr>
            <w:tcW w:w="1351" w:type="dxa"/>
            <w:tcBorders/>
            <w:vAlign w:val="center"/>
          </w:tcPr>
          <w:p>
            <w:pPr>
              <w:pStyle w:val="TableContents"/>
              <w:bidi w:val="0"/>
              <w:spacing w:before="0" w:after="283"/>
              <w:rPr/>
            </w:pPr>
            <w:r>
              <w:rPr/>
              <w:t>ZDA</w:t>
            </w:r>
          </w:p>
        </w:tc>
        <w:tc>
          <w:tcPr>
            <w:tcW w:w="8401" w:type="dxa"/>
            <w:tcBorders/>
            <w:vAlign w:val="center"/>
          </w:tcPr>
          <w:p>
            <w:pPr>
              <w:pStyle w:val="TableContents"/>
              <w:bidi w:val="0"/>
              <w:spacing w:before="0" w:after="283"/>
              <w:rPr/>
            </w:pPr>
            <w:r>
              <w:rPr/>
              <w:t>NMEA Time &amp; Date sentence.</w:t>
            </w:r>
          </w:p>
        </w:tc>
      </w:tr>
      <w:tr>
        <w:trPr/>
        <w:tc>
          <w:tcPr>
            <w:tcW w:w="1351" w:type="dxa"/>
            <w:tcBorders/>
            <w:vAlign w:val="center"/>
          </w:tcPr>
          <w:p>
            <w:pPr>
              <w:pStyle w:val="TableContents"/>
              <w:bidi w:val="0"/>
              <w:spacing w:before="0" w:after="283"/>
              <w:rPr/>
            </w:pPr>
            <w:r>
              <w:rPr/>
              <w:t>Zn</w:t>
            </w:r>
          </w:p>
        </w:tc>
        <w:tc>
          <w:tcPr>
            <w:tcW w:w="8401" w:type="dxa"/>
            <w:tcBorders/>
            <w:vAlign w:val="center"/>
          </w:tcPr>
          <w:p>
            <w:pPr>
              <w:pStyle w:val="TableContents"/>
              <w:bidi w:val="0"/>
              <w:spacing w:before="0" w:after="283"/>
              <w:rPr/>
            </w:pPr>
            <w:r>
              <w:rPr/>
              <w:t>True azimuth, normally 000°–360° clockwise from true north.</w:t>
            </w:r>
          </w:p>
        </w:tc>
      </w:tr>
      <w:tr>
        <w:trPr/>
        <w:tc>
          <w:tcPr>
            <w:tcW w:w="1351" w:type="dxa"/>
            <w:tcBorders/>
            <w:vAlign w:val="center"/>
          </w:tcPr>
          <w:p>
            <w:pPr>
              <w:pStyle w:val="TableContents"/>
              <w:bidi w:val="0"/>
              <w:spacing w:before="0" w:after="283"/>
              <w:rPr/>
            </w:pPr>
            <w:r>
              <w:rPr/>
              <w:t>z</w:t>
            </w:r>
          </w:p>
        </w:tc>
        <w:tc>
          <w:tcPr>
            <w:tcW w:w="8401" w:type="dxa"/>
            <w:tcBorders/>
            <w:vAlign w:val="center"/>
          </w:tcPr>
          <w:p>
            <w:pPr>
              <w:pStyle w:val="TableContents"/>
              <w:bidi w:val="0"/>
              <w:spacing w:before="0" w:after="283"/>
              <w:rPr/>
            </w:pPr>
            <w:r>
              <w:rPr/>
              <w:t>Zenith distance, 90° − altitude.</w:t>
            </w:r>
          </w:p>
        </w:tc>
      </w:tr>
      <w:tr>
        <w:trPr/>
        <w:tc>
          <w:tcPr>
            <w:tcW w:w="1351" w:type="dxa"/>
            <w:tcBorders/>
            <w:vAlign w:val="center"/>
          </w:tcPr>
          <w:p>
            <w:pPr>
              <w:pStyle w:val="TableContents"/>
              <w:bidi w:val="0"/>
              <w:spacing w:before="0" w:after="283"/>
              <w:rPr/>
            </w:pPr>
            <w:r>
              <w:rPr/>
              <w:t>ΔT</w:t>
            </w:r>
          </w:p>
        </w:tc>
        <w:tc>
          <w:tcPr>
            <w:tcW w:w="8401"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9752" w:type="dxa"/>
        <w:jc w:val="start"/>
        <w:tblInd w:w="0" w:type="dxa"/>
        <w:tblLayout w:type="fixed"/>
        <w:tblCellMar>
          <w:top w:w="28" w:type="dxa"/>
          <w:start w:w="28" w:type="dxa"/>
          <w:bottom w:w="28" w:type="dxa"/>
          <w:end w:w="28" w:type="dxa"/>
        </w:tblCellMar>
      </w:tblPr>
      <w:tblGrid>
        <w:gridCol w:w="635"/>
        <w:gridCol w:w="9117"/>
      </w:tblGrid>
      <w:tr>
        <w:trPr/>
        <w:tc>
          <w:tcPr>
            <w:tcW w:w="635" w:type="dxa"/>
            <w:tcBorders/>
            <w:vAlign w:val="center"/>
          </w:tcPr>
          <w:p>
            <w:pPr>
              <w:pStyle w:val="TableHeading"/>
              <w:suppressLineNumbers/>
              <w:shd w:fill="17365D" w:val="clear"/>
              <w:bidi w:val="0"/>
              <w:spacing w:before="0" w:after="283"/>
              <w:jc w:val="start"/>
              <w:rPr/>
            </w:pPr>
            <w:r>
              <w:rPr/>
              <w:t>Scale</w:t>
            </w:r>
          </w:p>
        </w:tc>
        <w:tc>
          <w:tcPr>
            <w:tcW w:w="9117" w:type="dxa"/>
            <w:tcBorders/>
            <w:vAlign w:val="center"/>
          </w:tcPr>
          <w:p>
            <w:pPr>
              <w:pStyle w:val="TableHeading"/>
              <w:suppressLineNumbers/>
              <w:shd w:fill="17365D" w:val="clear"/>
              <w:bidi w:val="0"/>
              <w:spacing w:before="0" w:after="283"/>
              <w:jc w:val="start"/>
              <w:rPr/>
            </w:pPr>
            <w:r>
              <w:rPr/>
              <w:t>Role</w:t>
            </w:r>
          </w:p>
        </w:tc>
      </w:tr>
      <w:tr>
        <w:trPr/>
        <w:tc>
          <w:tcPr>
            <w:tcW w:w="635" w:type="dxa"/>
            <w:tcBorders/>
            <w:vAlign w:val="center"/>
          </w:tcPr>
          <w:p>
            <w:pPr>
              <w:pStyle w:val="TableContents"/>
              <w:bidi w:val="0"/>
              <w:spacing w:before="0" w:after="283"/>
              <w:rPr/>
            </w:pPr>
            <w:r>
              <w:rPr/>
              <w:t>UTC</w:t>
            </w:r>
          </w:p>
        </w:tc>
        <w:tc>
          <w:tcPr>
            <w:tcW w:w="9117"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35" w:type="dxa"/>
            <w:tcBorders/>
            <w:vAlign w:val="center"/>
          </w:tcPr>
          <w:p>
            <w:pPr>
              <w:pStyle w:val="TableContents"/>
              <w:bidi w:val="0"/>
              <w:spacing w:before="0" w:after="283"/>
              <w:rPr/>
            </w:pPr>
            <w:r>
              <w:rPr/>
              <w:t>UT1</w:t>
            </w:r>
          </w:p>
        </w:tc>
        <w:tc>
          <w:tcPr>
            <w:tcW w:w="9117" w:type="dxa"/>
            <w:tcBorders/>
            <w:vAlign w:val="center"/>
          </w:tcPr>
          <w:p>
            <w:pPr>
              <w:pStyle w:val="TableContents"/>
              <w:bidi w:val="0"/>
              <w:spacing w:before="0" w:after="283"/>
              <w:rPr/>
            </w:pPr>
            <w:r>
              <w:rPr/>
              <w:t>Earth-rotation time used for hour angle and stated eclipse circumstances.</w:t>
            </w:r>
          </w:p>
        </w:tc>
      </w:tr>
      <w:tr>
        <w:trPr/>
        <w:tc>
          <w:tcPr>
            <w:tcW w:w="635" w:type="dxa"/>
            <w:tcBorders/>
            <w:vAlign w:val="center"/>
          </w:tcPr>
          <w:p>
            <w:pPr>
              <w:pStyle w:val="TableContents"/>
              <w:bidi w:val="0"/>
              <w:spacing w:before="0" w:after="283"/>
              <w:rPr/>
            </w:pPr>
            <w:r>
              <w:rPr/>
              <w:t>TT</w:t>
            </w:r>
          </w:p>
        </w:tc>
        <w:tc>
          <w:tcPr>
            <w:tcW w:w="9117" w:type="dxa"/>
            <w:tcBorders/>
            <w:vAlign w:val="center"/>
          </w:tcPr>
          <w:p>
            <w:pPr>
              <w:pStyle w:val="TableContents"/>
              <w:bidi w:val="0"/>
              <w:spacing w:before="0" w:after="283"/>
              <w:rPr/>
            </w:pPr>
            <w:r>
              <w:rPr/>
              <w:t>Uniform terrestrial time used for ephemerides.</w:t>
            </w:r>
          </w:p>
        </w:tc>
      </w:tr>
      <w:tr>
        <w:trPr/>
        <w:tc>
          <w:tcPr>
            <w:tcW w:w="635" w:type="dxa"/>
            <w:tcBorders/>
            <w:vAlign w:val="center"/>
          </w:tcPr>
          <w:p>
            <w:pPr>
              <w:pStyle w:val="TableContents"/>
              <w:bidi w:val="0"/>
              <w:spacing w:before="0" w:after="283"/>
              <w:rPr/>
            </w:pPr>
            <w:r>
              <w:rPr/>
              <w:t>ΔT</w:t>
            </w:r>
          </w:p>
        </w:tc>
        <w:tc>
          <w:tcPr>
            <w:tcW w:w="9117"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3">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4">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5">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6">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7">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aa.usno.navy.mil/faq/RST_defs" TargetMode="External"/><Relationship Id="rId12" Type="http://schemas.openxmlformats.org/officeDocument/2006/relationships/image" Target="media/image10.png"/><Relationship Id="rId13" Type="http://schemas.openxmlformats.org/officeDocument/2006/relationships/hyperlink" Target="https://msi.nga.mil/Publications/APN" TargetMode="External"/><Relationship Id="rId14" Type="http://schemas.openxmlformats.org/officeDocument/2006/relationships/hyperlink" Target="https://aa.usno.navy.mil/data/celnav" TargetMode="External"/><Relationship Id="rId15" Type="http://schemas.openxmlformats.org/officeDocument/2006/relationships/hyperlink" Target="https://aa.usno.navy.mil/faq/alt_az" TargetMode="External"/><Relationship Id="rId16" Type="http://schemas.openxmlformats.org/officeDocument/2006/relationships/hyperlink" Target="https://aa.usno.navy.mil/publications/na" TargetMode="External"/><Relationship Id="rId17" Type="http://schemas.openxmlformats.org/officeDocument/2006/relationships/hyperlink" Target="https://www.gov.uk/government/organisations/hm-nautical-almanac-office/about"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