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Experimental v2 documentation</w:t>
      </w:r>
    </w:p>
    <w:p>
      <w:pPr>
        <w:pStyle w:val="BodyTextedition"/>
        <w:bidi w:val="0"/>
        <w:ind w:hanging="0" w:start="0" w:end="0"/>
        <w:jc w:val="center"/>
        <w:rPr/>
      </w:pPr>
      <w:r>
        <w:rPr/>
        <w:t>Celestial Navigation plugin 2.8.4</w:t>
        <w:br/>
        <w:t>Documentation revision 7 September 2026</w:t>
      </w:r>
    </w:p>
    <w:p>
      <w:pPr>
        <w:pStyle w:val="BodyTextsmall"/>
        <w:bidi w:val="0"/>
        <w:ind w:hanging="0" w:start="0" w:end="0"/>
        <w:jc w:val="center"/>
        <w:rPr/>
      </w:pPr>
      <w:r>
        <w:rPr/>
        <w:t>Designed for completely offline use at sea</w:t>
      </w:r>
    </w:p>
    <w:p>
      <w:pPr>
        <w:pageBreakBefore/>
        <w:pStyle w:val="Heading1first"/>
        <w:bidi w:val="0"/>
        <w:ind w:hanging="0" w:start="0" w:end="0"/>
        <w:rPr/>
      </w:pPr>
      <w:bookmarkStart w:id="0" w:name="about"/>
      <w:bookmarkEnd w:id="0"/>
      <w:r>
        <w:rPr/>
        <w:t>About this manual</w:t>
      </w:r>
    </w:p>
    <w:p>
      <w:pPr>
        <w:pStyle w:val="BodyText"/>
        <w:bidi w:val="0"/>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rPr>
          <w:shd w:fill="FFF0F0" w:val="clear"/>
        </w:rPr>
      </w:pPr>
      <w:r>
        <w:rPr>
          <w:b/>
          <w:color w:val="17365D"/>
          <w:shd w:fill="FFF0F0" w:val="clear"/>
        </w:rPr>
        <w:t>Navigation warning.</w:t>
      </w:r>
      <w:r>
        <w:rPr>
          <w:shd w:fill="FFF0F0" w:val="clear"/>
        </w:rPr>
        <w:t xml:space="preserve"> This is experimental software and instructional material, not an approved primary means of navigation.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Heading2"/>
        <w:bidi w:val="0"/>
        <w:ind w:hanging="0" w:start="0" w:end="0"/>
        <w:rPr/>
      </w:pPr>
      <w:bookmarkStart w:id="1" w:name="how-to-use"/>
      <w:bookmarkEnd w:id="1"/>
      <w:r>
        <w:rPr/>
        <w:t>How to use the manual</w:t>
      </w:r>
    </w:p>
    <w:p>
      <w:pPr>
        <w:pStyle w:val="BodyText"/>
        <w:numPr>
          <w:ilvl w:val="0"/>
          <w:numId w:val="1"/>
        </w:numPr>
        <w:tabs>
          <w:tab w:val="clear" w:pos="1134"/>
          <w:tab w:val="left" w:pos="709" w:leader="none"/>
        </w:tabs>
        <w:bidi w:val="0"/>
        <w:spacing w:before="0" w:after="0"/>
        <w:ind w:hanging="283" w:start="709"/>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rPr/>
      </w:pPr>
      <w:r>
        <w:rPr/>
        <w:t xml:space="preserve">Use the notation table below for immediate help. The comprehensive alphabetical lists are in Appendices A and B. </w:t>
      </w:r>
    </w:p>
    <w:p>
      <w:pPr>
        <w:pStyle w:val="Heading2"/>
        <w:bidi w:val="0"/>
        <w:ind w:hanging="0" w:start="0" w:end="0"/>
        <w:rPr/>
      </w:pPr>
      <w:bookmarkStart w:id="2" w:name="notation-quick"/>
      <w:bookmarkEnd w:id="2"/>
      <w:r>
        <w:rPr/>
        <w:t>Notation at a glance</w:t>
      </w:r>
    </w:p>
    <w:tbl>
      <w:tblPr>
        <w:tblW w:w="13080" w:type="dxa"/>
        <w:jc w:val="start"/>
        <w:tblInd w:w="0" w:type="dxa"/>
        <w:tblLayout w:type="fixed"/>
        <w:tblCellMar>
          <w:top w:w="28" w:type="dxa"/>
          <w:start w:w="28" w:type="dxa"/>
          <w:bottom w:w="28" w:type="dxa"/>
          <w:end w:w="28" w:type="dxa"/>
        </w:tblCellMar>
      </w:tblPr>
      <w:tblGrid>
        <w:gridCol w:w="1123"/>
        <w:gridCol w:w="11957"/>
      </w:tblGrid>
      <w:tr>
        <w:trPr/>
        <w:tc>
          <w:tcPr>
            <w:tcW w:w="1123" w:type="dxa"/>
            <w:tcBorders/>
            <w:vAlign w:val="center"/>
          </w:tcPr>
          <w:p>
            <w:pPr>
              <w:pStyle w:val="TableHeading"/>
              <w:suppressLineNumbers/>
              <w:shd w:fill="17365D" w:val="clear"/>
              <w:bidi w:val="0"/>
              <w:spacing w:before="0" w:after="283"/>
              <w:jc w:val="start"/>
              <w:rPr/>
            </w:pPr>
            <w:r>
              <w:rPr/>
              <w:t>Symbol</w:t>
            </w:r>
          </w:p>
        </w:tc>
        <w:tc>
          <w:tcPr>
            <w:tcW w:w="11957" w:type="dxa"/>
            <w:tcBorders/>
            <w:vAlign w:val="center"/>
          </w:tcPr>
          <w:p>
            <w:pPr>
              <w:pStyle w:val="TableHeading"/>
              <w:suppressLineNumbers/>
              <w:shd w:fill="17365D" w:val="clear"/>
              <w:bidi w:val="0"/>
              <w:spacing w:before="0" w:after="283"/>
              <w:jc w:val="start"/>
              <w:rPr/>
            </w:pPr>
            <w:r>
              <w:rPr/>
              <w:t>Meaning</w:t>
            </w:r>
          </w:p>
        </w:tc>
      </w:tr>
      <w:tr>
        <w:trPr/>
        <w:tc>
          <w:tcPr>
            <w:tcW w:w="1123" w:type="dxa"/>
            <w:tcBorders/>
            <w:vAlign w:val="center"/>
          </w:tcPr>
          <w:p>
            <w:pPr>
              <w:pStyle w:val="TableContents"/>
              <w:bidi w:val="0"/>
              <w:spacing w:before="0" w:after="283"/>
              <w:rPr/>
            </w:pPr>
            <w:r>
              <w:rPr/>
              <w:t>AP</w:t>
            </w:r>
          </w:p>
        </w:tc>
        <w:tc>
          <w:tcPr>
            <w:tcW w:w="11957" w:type="dxa"/>
            <w:tcBorders/>
            <w:vAlign w:val="center"/>
          </w:tcPr>
          <w:p>
            <w:pPr>
              <w:pStyle w:val="TableContents"/>
              <w:bidi w:val="0"/>
              <w:spacing w:before="0" w:after="283"/>
              <w:rPr/>
            </w:pPr>
            <w:r>
              <w:rPr/>
              <w:t>Assumed position used to calculate an expected altitude and azimuth.</w:t>
            </w:r>
          </w:p>
        </w:tc>
      </w:tr>
      <w:tr>
        <w:trPr/>
        <w:tc>
          <w:tcPr>
            <w:tcW w:w="1123" w:type="dxa"/>
            <w:tcBorders/>
            <w:vAlign w:val="center"/>
          </w:tcPr>
          <w:p>
            <w:pPr>
              <w:pStyle w:val="TableContents"/>
              <w:bidi w:val="0"/>
              <w:spacing w:before="0" w:after="283"/>
              <w:rPr/>
            </w:pPr>
            <w:r>
              <w:rPr/>
              <w:t>DR</w:t>
            </w:r>
          </w:p>
        </w:tc>
        <w:tc>
          <w:tcPr>
            <w:tcW w:w="11957" w:type="dxa"/>
            <w:tcBorders/>
            <w:vAlign w:val="center"/>
          </w:tcPr>
          <w:p>
            <w:pPr>
              <w:pStyle w:val="TableContents"/>
              <w:bidi w:val="0"/>
              <w:spacing w:before="0" w:after="283"/>
              <w:rPr/>
            </w:pPr>
            <w:r>
              <w:rPr/>
              <w:t>Dead-reckoning position obtained from the previous position and estimated motion.</w:t>
            </w:r>
          </w:p>
        </w:tc>
      </w:tr>
      <w:tr>
        <w:trPr/>
        <w:tc>
          <w:tcPr>
            <w:tcW w:w="1123" w:type="dxa"/>
            <w:tcBorders/>
            <w:vAlign w:val="center"/>
          </w:tcPr>
          <w:p>
            <w:pPr>
              <w:pStyle w:val="TableContents"/>
              <w:bidi w:val="0"/>
              <w:spacing w:before="0" w:after="283"/>
              <w:rPr/>
            </w:pPr>
            <w:r>
              <w:rPr/>
              <w:t>GP</w:t>
            </w:r>
          </w:p>
        </w:tc>
        <w:tc>
          <w:tcPr>
            <w:tcW w:w="11957" w:type="dxa"/>
            <w:tcBorders/>
            <w:vAlign w:val="center"/>
          </w:tcPr>
          <w:p>
            <w:pPr>
              <w:pStyle w:val="TableContents"/>
              <w:bidi w:val="0"/>
              <w:spacing w:before="0" w:after="283"/>
              <w:rPr/>
            </w:pPr>
            <w:r>
              <w:rPr/>
              <w:t>Geographic position: the point on Earth directly beneath a celestial body.</w:t>
            </w:r>
          </w:p>
        </w:tc>
      </w:tr>
      <w:tr>
        <w:trPr/>
        <w:tc>
          <w:tcPr>
            <w:tcW w:w="1123" w:type="dxa"/>
            <w:tcBorders/>
            <w:vAlign w:val="center"/>
          </w:tcPr>
          <w:p>
            <w:pPr>
              <w:pStyle w:val="TableContents"/>
              <w:bidi w:val="0"/>
              <w:spacing w:before="0" w:after="283"/>
              <w:rPr/>
            </w:pPr>
            <w:r>
              <w:rPr/>
              <w:t>Hs</w:t>
            </w:r>
          </w:p>
        </w:tc>
        <w:tc>
          <w:tcPr>
            <w:tcW w:w="11957" w:type="dxa"/>
            <w:tcBorders/>
            <w:vAlign w:val="center"/>
          </w:tcPr>
          <w:p>
            <w:pPr>
              <w:pStyle w:val="TableContents"/>
              <w:bidi w:val="0"/>
              <w:spacing w:before="0" w:after="283"/>
              <w:rPr/>
            </w:pPr>
            <w:r>
              <w:rPr/>
              <w:t>Sextant altitude: the angle read from the sextant.</w:t>
            </w:r>
          </w:p>
        </w:tc>
      </w:tr>
      <w:tr>
        <w:trPr/>
        <w:tc>
          <w:tcPr>
            <w:tcW w:w="1123" w:type="dxa"/>
            <w:tcBorders/>
            <w:vAlign w:val="center"/>
          </w:tcPr>
          <w:p>
            <w:pPr>
              <w:pStyle w:val="TableContents"/>
              <w:bidi w:val="0"/>
              <w:spacing w:before="0" w:after="283"/>
              <w:rPr/>
            </w:pPr>
            <w:r>
              <w:rPr/>
              <w:t>Ha</w:t>
            </w:r>
          </w:p>
        </w:tc>
        <w:tc>
          <w:tcPr>
            <w:tcW w:w="11957" w:type="dxa"/>
            <w:tcBorders/>
            <w:vAlign w:val="center"/>
          </w:tcPr>
          <w:p>
            <w:pPr>
              <w:pStyle w:val="TableContents"/>
              <w:bidi w:val="0"/>
              <w:spacing w:before="0" w:after="283"/>
              <w:rPr/>
            </w:pPr>
            <w:r>
              <w:rPr/>
              <w:t>Apparent altitude after index and horizon/dip corrections.</w:t>
            </w:r>
          </w:p>
        </w:tc>
      </w:tr>
      <w:tr>
        <w:trPr/>
        <w:tc>
          <w:tcPr>
            <w:tcW w:w="1123" w:type="dxa"/>
            <w:tcBorders/>
            <w:vAlign w:val="center"/>
          </w:tcPr>
          <w:p>
            <w:pPr>
              <w:pStyle w:val="TableContents"/>
              <w:bidi w:val="0"/>
              <w:spacing w:before="0" w:after="283"/>
              <w:rPr/>
            </w:pPr>
            <w:r>
              <w:rPr/>
              <w:t>Ho</w:t>
            </w:r>
          </w:p>
        </w:tc>
        <w:tc>
          <w:tcPr>
            <w:tcW w:w="11957" w:type="dxa"/>
            <w:tcBorders/>
            <w:vAlign w:val="center"/>
          </w:tcPr>
          <w:p>
            <w:pPr>
              <w:pStyle w:val="TableContents"/>
              <w:bidi w:val="0"/>
              <w:spacing w:before="0" w:after="283"/>
              <w:rPr/>
            </w:pPr>
            <w:r>
              <w:rPr/>
              <w:t>Observed altitude: the fully corrected measured altitude used for navigation.</w:t>
            </w:r>
          </w:p>
        </w:tc>
      </w:tr>
      <w:tr>
        <w:trPr/>
        <w:tc>
          <w:tcPr>
            <w:tcW w:w="1123" w:type="dxa"/>
            <w:tcBorders/>
            <w:vAlign w:val="center"/>
          </w:tcPr>
          <w:p>
            <w:pPr>
              <w:pStyle w:val="TableContents"/>
              <w:bidi w:val="0"/>
              <w:spacing w:before="0" w:after="283"/>
              <w:rPr/>
            </w:pPr>
            <w:r>
              <w:rPr/>
              <w:t>Hc</w:t>
            </w:r>
          </w:p>
        </w:tc>
        <w:tc>
          <w:tcPr>
            <w:tcW w:w="11957" w:type="dxa"/>
            <w:tcBorders/>
            <w:vAlign w:val="center"/>
          </w:tcPr>
          <w:p>
            <w:pPr>
              <w:pStyle w:val="TableContents"/>
              <w:bidi w:val="0"/>
              <w:spacing w:before="0" w:after="283"/>
              <w:rPr/>
            </w:pPr>
            <w:r>
              <w:rPr/>
              <w:t>Computed altitude predicted at the AP for the observation time.</w:t>
            </w:r>
          </w:p>
        </w:tc>
      </w:tr>
      <w:tr>
        <w:trPr/>
        <w:tc>
          <w:tcPr>
            <w:tcW w:w="1123" w:type="dxa"/>
            <w:tcBorders/>
            <w:vAlign w:val="center"/>
          </w:tcPr>
          <w:p>
            <w:pPr>
              <w:pStyle w:val="TableContents"/>
              <w:bidi w:val="0"/>
              <w:spacing w:before="0" w:after="283"/>
              <w:rPr/>
            </w:pPr>
            <w:r>
              <w:rPr/>
              <w:t>Zn</w:t>
            </w:r>
          </w:p>
        </w:tc>
        <w:tc>
          <w:tcPr>
            <w:tcW w:w="11957" w:type="dxa"/>
            <w:tcBorders/>
            <w:vAlign w:val="center"/>
          </w:tcPr>
          <w:p>
            <w:pPr>
              <w:pStyle w:val="TableContents"/>
              <w:bidi w:val="0"/>
              <w:spacing w:before="0" w:after="283"/>
              <w:rPr/>
            </w:pPr>
            <w:r>
              <w:rPr/>
              <w:t>Calculated true azimuth of the body, conventionally 000°–360° from true north.</w:t>
            </w:r>
          </w:p>
        </w:tc>
      </w:tr>
      <w:tr>
        <w:trPr/>
        <w:tc>
          <w:tcPr>
            <w:tcW w:w="1123" w:type="dxa"/>
            <w:tcBorders/>
            <w:vAlign w:val="center"/>
          </w:tcPr>
          <w:p>
            <w:pPr>
              <w:pStyle w:val="TableContents"/>
              <w:bidi w:val="0"/>
              <w:spacing w:before="0" w:after="283"/>
              <w:rPr/>
            </w:pPr>
            <w:r>
              <w:rPr/>
              <w:t>COP</w:t>
            </w:r>
          </w:p>
        </w:tc>
        <w:tc>
          <w:tcPr>
            <w:tcW w:w="11957" w:type="dxa"/>
            <w:tcBorders/>
            <w:vAlign w:val="center"/>
          </w:tcPr>
          <w:p>
            <w:pPr>
              <w:pStyle w:val="TableContents"/>
              <w:bidi w:val="0"/>
              <w:spacing w:before="0" w:after="283"/>
              <w:rPr/>
            </w:pPr>
            <w:r>
              <w:rPr/>
              <w:t>Circle of Position, here normally a Circle of Equal Altitude.</w:t>
            </w:r>
          </w:p>
        </w:tc>
      </w:tr>
      <w:tr>
        <w:trPr/>
        <w:tc>
          <w:tcPr>
            <w:tcW w:w="1123" w:type="dxa"/>
            <w:tcBorders/>
            <w:vAlign w:val="center"/>
          </w:tcPr>
          <w:p>
            <w:pPr>
              <w:pStyle w:val="TableContents"/>
              <w:bidi w:val="0"/>
              <w:spacing w:before="0" w:after="283"/>
              <w:rPr/>
            </w:pPr>
            <w:r>
              <w:rPr/>
              <w:t>LOP</w:t>
            </w:r>
          </w:p>
        </w:tc>
        <w:tc>
          <w:tcPr>
            <w:tcW w:w="11957" w:type="dxa"/>
            <w:tcBorders/>
            <w:vAlign w:val="center"/>
          </w:tcPr>
          <w:p>
            <w:pPr>
              <w:pStyle w:val="TableContents"/>
              <w:bidi w:val="0"/>
              <w:spacing w:before="0" w:after="283"/>
              <w:rPr/>
            </w:pPr>
            <w:r>
              <w:rPr/>
              <w:t>Line of Position: the local straight-line approximation to a COP.</w:t>
            </w:r>
          </w:p>
        </w:tc>
      </w:tr>
      <w:tr>
        <w:trPr/>
        <w:tc>
          <w:tcPr>
            <w:tcW w:w="1123" w:type="dxa"/>
            <w:tcBorders/>
            <w:vAlign w:val="center"/>
          </w:tcPr>
          <w:p>
            <w:pPr>
              <w:pStyle w:val="TableContents"/>
              <w:bidi w:val="0"/>
              <w:spacing w:before="0" w:after="283"/>
              <w:rPr/>
            </w:pPr>
            <w:r>
              <w:rPr/>
              <w:t>GHA</w:t>
            </w:r>
          </w:p>
        </w:tc>
        <w:tc>
          <w:tcPr>
            <w:tcW w:w="11957" w:type="dxa"/>
            <w:tcBorders/>
            <w:vAlign w:val="center"/>
          </w:tcPr>
          <w:p>
            <w:pPr>
              <w:pStyle w:val="TableContents"/>
              <w:bidi w:val="0"/>
              <w:spacing w:before="0" w:after="283"/>
              <w:rPr/>
            </w:pPr>
            <w:r>
              <w:rPr/>
              <w:t>Greenwich Hour Angle, measured westward from Greenwich to the body's hour circle.</w:t>
            </w:r>
          </w:p>
        </w:tc>
      </w:tr>
      <w:tr>
        <w:trPr/>
        <w:tc>
          <w:tcPr>
            <w:tcW w:w="1123" w:type="dxa"/>
            <w:tcBorders/>
            <w:vAlign w:val="center"/>
          </w:tcPr>
          <w:p>
            <w:pPr>
              <w:pStyle w:val="TableContents"/>
              <w:bidi w:val="0"/>
              <w:spacing w:before="0" w:after="283"/>
              <w:rPr/>
            </w:pPr>
            <w:r>
              <w:rPr/>
              <w:t>LHA</w:t>
            </w:r>
          </w:p>
        </w:tc>
        <w:tc>
          <w:tcPr>
            <w:tcW w:w="11957" w:type="dxa"/>
            <w:tcBorders/>
            <w:vAlign w:val="center"/>
          </w:tcPr>
          <w:p>
            <w:pPr>
              <w:pStyle w:val="TableContents"/>
              <w:bidi w:val="0"/>
              <w:spacing w:before="0" w:after="283"/>
              <w:rPr/>
            </w:pPr>
            <w:r>
              <w:rPr/>
              <w:t>Local Hour Angle, the body's hour angle relative to the observer's meridian.</w:t>
            </w:r>
          </w:p>
        </w:tc>
      </w:tr>
      <w:tr>
        <w:trPr/>
        <w:tc>
          <w:tcPr>
            <w:tcW w:w="1123" w:type="dxa"/>
            <w:tcBorders/>
            <w:vAlign w:val="center"/>
          </w:tcPr>
          <w:p>
            <w:pPr>
              <w:pStyle w:val="TableContents"/>
              <w:bidi w:val="0"/>
              <w:spacing w:before="0" w:after="283"/>
              <w:rPr/>
            </w:pPr>
            <w:r>
              <w:rPr/>
              <w:t>UTC / UT1</w:t>
            </w:r>
          </w:p>
        </w:tc>
        <w:tc>
          <w:tcPr>
            <w:tcW w:w="11957" w:type="dxa"/>
            <w:tcBorders/>
            <w:vAlign w:val="center"/>
          </w:tcPr>
          <w:p>
            <w:pPr>
              <w:pStyle w:val="TableContents"/>
              <w:bidi w:val="0"/>
              <w:spacing w:before="0" w:after="283"/>
              <w:rPr/>
            </w:pPr>
            <w:r>
              <w:rPr/>
              <w:t>UTC is civil atomic time with leap seconds; UT1 follows Earth rotation and is the astronomical argument required by hour angle.</w:t>
            </w:r>
          </w:p>
        </w:tc>
      </w:tr>
    </w:tbl>
    <w:p>
      <w:pPr>
        <w:pStyle w:val="Heading2"/>
        <w:bidi w:val="0"/>
        <w:ind w:hanging="0" w:start="0" w:end="0"/>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rPr/>
      </w:pPr>
      <w:hyperlink w:anchor="references">
        <w:r>
          <w:rPr>
            <w:rStyle w:val="Hyperlink"/>
          </w:rPr>
          <w:t>Appendix D — references and provenance</w:t>
        </w:r>
      </w:hyperlink>
      <w:r>
        <w:rPr/>
        <w:t xml:space="preserve"> </w:t>
      </w:r>
    </w:p>
    <w:p>
      <w:pPr>
        <w:pStyle w:val="Heading1"/>
        <w:bidi w:val="0"/>
        <w:ind w:hanging="0" w:start="0" w:end="0"/>
        <w:rPr/>
      </w:pPr>
      <w:bookmarkStart w:id="4" w:name="principle"/>
      <w:bookmarkEnd w:id="4"/>
      <w:r>
        <w:rPr/>
        <w:t>1. The one idea behind celestial navigation</w:t>
      </w:r>
    </w:p>
    <w:p>
      <w:pPr>
        <w:pStyle w:val="BodyText"/>
        <w:bidi w:val="0"/>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rPr/>
      </w:pPr>
      <w:bookmarkStart w:id="5" w:name="gp"/>
      <w:bookmarkEnd w:id="5"/>
      <w:r>
        <w:rPr/>
        <w:t>1.1 The body's geographic position</w:t>
      </w:r>
    </w:p>
    <w:p>
      <w:pPr>
        <w:pStyle w:val="BodyText"/>
        <w:bidi w:val="0"/>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rPr/>
      </w:pPr>
      <w:bookmarkStart w:id="6" w:name="altitude"/>
      <w:bookmarkEnd w:id="6"/>
      <w:r>
        <w:rPr/>
        <w:t>1.2 Altitude and zenith distance</w:t>
      </w:r>
    </w:p>
    <w:p>
      <w:pPr>
        <w:pStyle w:val="BodyText"/>
        <w:bidi w:val="0"/>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rPr/>
      </w:pPr>
      <w:bookmarkStart w:id="7" w:name="circle"/>
      <w:bookmarkEnd w:id="7"/>
      <w:r>
        <w:rPr/>
        <w:t>2. One altitude gives a Circle of Equal Altitude</w:t>
      </w:r>
    </w:p>
    <w:p>
      <w:pPr>
        <w:pStyle w:val="BodyText"/>
        <w:bidi w:val="0"/>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rPr/>
      </w:pPr>
      <w:r>
        <w:rPr/>
        <w:t>2.1 Why minutes of arc become nautical miles</w:t>
      </w:r>
    </w:p>
    <w:p>
      <w:pPr>
        <w:pStyle w:val="BodyText"/>
        <w:bidi w:val="0"/>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rPr/>
      </w:pPr>
      <w:r>
        <w:rPr/>
        <w:t>2.2 Intersecting circles</w:t>
      </w:r>
    </w:p>
    <w:p>
      <w:pPr>
        <w:pStyle w:val="BodyText"/>
        <w:bidi w:val="0"/>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rPr/>
      </w:pPr>
      <w:bookmarkStart w:id="8" w:name="lop"/>
      <w:bookmarkEnd w:id="8"/>
      <w:r>
        <w:rPr/>
        <w:t>3. From circles to Lines of Position</w:t>
      </w:r>
    </w:p>
    <w:p>
      <w:pPr>
        <w:pStyle w:val="BodyText"/>
        <w:bidi w:val="0"/>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rPr/>
      </w:pPr>
      <w:r>
        <w:rPr/>
        <w:t>3.1 The altitude-intercept method</w:t>
      </w:r>
    </w:p>
    <w:p>
      <w:pPr>
        <w:pStyle w:val="BodyText"/>
        <w:bidi w:val="0"/>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rPr/>
      </w:pPr>
      <w:r>
        <w:rPr>
          <w:rStyle w:val="Strong"/>
        </w:rPr>
        <w:t>Zn</w:t>
      </w:r>
      <w:r>
        <w:rPr/>
        <w:t xml:space="preserve">, the true azimuth from the AP towards the body's GP. </w:t>
      </w:r>
    </w:p>
    <w:p>
      <w:pPr>
        <w:pStyle w:val="BodyText"/>
        <w:bidi w:val="0"/>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rPr/>
      </w:pPr>
      <w:r>
        <w:rPr/>
        <w:t xml:space="preserve">The magnitude in arcminutes is the intercept distance in nautical miles. </w:t>
      </w:r>
    </w:p>
    <w:p>
      <w:pPr>
        <w:pStyle w:val="BodyText"/>
        <w:bidi w:val="0"/>
        <w:spacing w:before="0" w:after="0"/>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rPr/>
      </w:pPr>
      <w:bookmarkStart w:id="9" w:name="corrections"/>
      <w:bookmarkEnd w:id="9"/>
      <w:r>
        <w:rPr/>
        <w:t>4. From sextant reading Hs to observed altitude Ho</w:t>
      </w:r>
    </w:p>
    <w:p>
      <w:pPr>
        <w:pStyle w:val="BodyText"/>
        <w:bidi w:val="0"/>
        <w:rPr/>
      </w:pPr>
      <w:r>
        <w:rPr/>
        <w:t>The sextant reading is not yet the altitude used to construct the circle. The plugin applies corrections appropriate to the body, limb, instrument, horizon and atmospheric conditions.</w:t>
      </w:r>
    </w:p>
    <w:p>
      <w:pPr>
        <w:pStyle w:val="BodyText"/>
        <w:bidi w:val="0"/>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rPr/>
      </w:pPr>
      <w:r>
        <w:rPr/>
        <w:t>4.1 The principal terms</w:t>
      </w:r>
    </w:p>
    <w:tbl>
      <w:tblPr>
        <w:tblW w:w="13596" w:type="dxa"/>
        <w:jc w:val="start"/>
        <w:tblInd w:w="0" w:type="dxa"/>
        <w:tblLayout w:type="fixed"/>
        <w:tblCellMar>
          <w:top w:w="28" w:type="dxa"/>
          <w:start w:w="28" w:type="dxa"/>
          <w:bottom w:w="28" w:type="dxa"/>
          <w:end w:w="28" w:type="dxa"/>
        </w:tblCellMar>
      </w:tblPr>
      <w:tblGrid>
        <w:gridCol w:w="1835"/>
        <w:gridCol w:w="11761"/>
      </w:tblGrid>
      <w:tr>
        <w:trPr/>
        <w:tc>
          <w:tcPr>
            <w:tcW w:w="1835" w:type="dxa"/>
            <w:tcBorders/>
            <w:vAlign w:val="center"/>
          </w:tcPr>
          <w:p>
            <w:pPr>
              <w:pStyle w:val="TableHeading"/>
              <w:suppressLineNumbers/>
              <w:shd w:fill="17365D" w:val="clear"/>
              <w:bidi w:val="0"/>
              <w:spacing w:before="0" w:after="283"/>
              <w:jc w:val="start"/>
              <w:rPr/>
            </w:pPr>
            <w:r>
              <w:rPr/>
              <w:t>Term</w:t>
            </w:r>
          </w:p>
        </w:tc>
        <w:tc>
          <w:tcPr>
            <w:tcW w:w="11761" w:type="dxa"/>
            <w:tcBorders/>
            <w:vAlign w:val="center"/>
          </w:tcPr>
          <w:p>
            <w:pPr>
              <w:pStyle w:val="TableHeading"/>
              <w:suppressLineNumbers/>
              <w:shd w:fill="17365D" w:val="clear"/>
              <w:bidi w:val="0"/>
              <w:spacing w:before="0" w:after="283"/>
              <w:jc w:val="start"/>
              <w:rPr/>
            </w:pPr>
            <w:r>
              <w:rPr/>
              <w:t>Purpose</w:t>
            </w:r>
          </w:p>
        </w:tc>
      </w:tr>
      <w:tr>
        <w:trPr/>
        <w:tc>
          <w:tcPr>
            <w:tcW w:w="1835" w:type="dxa"/>
            <w:tcBorders/>
            <w:vAlign w:val="center"/>
          </w:tcPr>
          <w:p>
            <w:pPr>
              <w:pStyle w:val="TableContents"/>
              <w:bidi w:val="0"/>
              <w:spacing w:before="0" w:after="283"/>
              <w:rPr/>
            </w:pPr>
            <w:r>
              <w:rPr/>
              <w:t>Index correction</w:t>
            </w:r>
          </w:p>
        </w:tc>
        <w:tc>
          <w:tcPr>
            <w:tcW w:w="11761" w:type="dxa"/>
            <w:tcBorders/>
            <w:vAlign w:val="center"/>
          </w:tcPr>
          <w:p>
            <w:pPr>
              <w:pStyle w:val="TableContents"/>
              <w:bidi w:val="0"/>
              <w:spacing w:before="0" w:after="283"/>
              <w:rPr/>
            </w:pPr>
            <w:r>
              <w:rPr/>
              <w:t>Removes the sextant's zero error. “On the arc, take it off; off the arc, put it on” is the traditional mnemonic.</w:t>
            </w:r>
          </w:p>
        </w:tc>
      </w:tr>
      <w:tr>
        <w:trPr/>
        <w:tc>
          <w:tcPr>
            <w:tcW w:w="1835" w:type="dxa"/>
            <w:tcBorders/>
            <w:vAlign w:val="center"/>
          </w:tcPr>
          <w:p>
            <w:pPr>
              <w:pStyle w:val="TableContents"/>
              <w:bidi w:val="0"/>
              <w:spacing w:before="0" w:after="283"/>
              <w:rPr/>
            </w:pPr>
            <w:r>
              <w:rPr/>
              <w:t>Dip</w:t>
            </w:r>
          </w:p>
        </w:tc>
        <w:tc>
          <w:tcPr>
            <w:tcW w:w="11761" w:type="dxa"/>
            <w:tcBorders/>
            <w:vAlign w:val="center"/>
          </w:tcPr>
          <w:p>
            <w:pPr>
              <w:pStyle w:val="TableContents"/>
              <w:bidi w:val="0"/>
              <w:spacing w:before="0" w:after="283"/>
              <w:rPr/>
            </w:pPr>
            <w:r>
              <w:rPr/>
              <w:t>Corrects the visible sea horizon below the observer's true horizontal plane. It depends principally on height of eye.</w:t>
            </w:r>
          </w:p>
        </w:tc>
      </w:tr>
      <w:tr>
        <w:trPr/>
        <w:tc>
          <w:tcPr>
            <w:tcW w:w="1835" w:type="dxa"/>
            <w:tcBorders/>
            <w:vAlign w:val="center"/>
          </w:tcPr>
          <w:p>
            <w:pPr>
              <w:pStyle w:val="TableContents"/>
              <w:bidi w:val="0"/>
              <w:spacing w:before="0" w:after="283"/>
              <w:rPr/>
            </w:pPr>
            <w:r>
              <w:rPr/>
              <w:t>Refraction</w:t>
            </w:r>
          </w:p>
        </w:tc>
        <w:tc>
          <w:tcPr>
            <w:tcW w:w="11761" w:type="dxa"/>
            <w:tcBorders/>
            <w:vAlign w:val="center"/>
          </w:tcPr>
          <w:p>
            <w:pPr>
              <w:pStyle w:val="TableContents"/>
              <w:bidi w:val="0"/>
              <w:spacing w:before="0" w:after="283"/>
              <w:rPr/>
            </w:pPr>
            <w:r>
              <w:rPr/>
              <w:t>Corrects atmospheric bending, greatest near the horizon and dependent on altitude, pressure and temperature.</w:t>
            </w:r>
          </w:p>
        </w:tc>
      </w:tr>
      <w:tr>
        <w:trPr/>
        <w:tc>
          <w:tcPr>
            <w:tcW w:w="1835" w:type="dxa"/>
            <w:tcBorders/>
            <w:vAlign w:val="center"/>
          </w:tcPr>
          <w:p>
            <w:pPr>
              <w:pStyle w:val="TableContents"/>
              <w:bidi w:val="0"/>
              <w:spacing w:before="0" w:after="283"/>
              <w:rPr/>
            </w:pPr>
            <w:r>
              <w:rPr/>
              <w:t>Semidiameter</w:t>
            </w:r>
          </w:p>
        </w:tc>
        <w:tc>
          <w:tcPr>
            <w:tcW w:w="11761" w:type="dxa"/>
            <w:tcBorders/>
            <w:vAlign w:val="center"/>
          </w:tcPr>
          <w:p>
            <w:pPr>
              <w:pStyle w:val="TableContents"/>
              <w:bidi w:val="0"/>
              <w:spacing w:before="0" w:after="283"/>
              <w:rPr/>
            </w:pPr>
            <w:r>
              <w:rPr/>
              <w:t>Converts a selected upper or lower limb of the Sun or Moon to the body's centre.</w:t>
            </w:r>
          </w:p>
        </w:tc>
      </w:tr>
      <w:tr>
        <w:trPr/>
        <w:tc>
          <w:tcPr>
            <w:tcW w:w="1835" w:type="dxa"/>
            <w:tcBorders/>
            <w:vAlign w:val="center"/>
          </w:tcPr>
          <w:p>
            <w:pPr>
              <w:pStyle w:val="TableContents"/>
              <w:bidi w:val="0"/>
              <w:spacing w:before="0" w:after="283"/>
              <w:rPr/>
            </w:pPr>
            <w:r>
              <w:rPr/>
              <w:t>Parallax in altitude</w:t>
            </w:r>
          </w:p>
        </w:tc>
        <w:tc>
          <w:tcPr>
            <w:tcW w:w="11761" w:type="dxa"/>
            <w:tcBorders/>
            <w:vAlign w:val="center"/>
          </w:tcPr>
          <w:p>
            <w:pPr>
              <w:pStyle w:val="TableContents"/>
              <w:bidi w:val="0"/>
              <w:spacing w:before="0" w:after="283"/>
              <w:rPr/>
            </w:pPr>
            <w:r>
              <w:rPr/>
              <w:t>Converts the topocentric direction at the observer to the required geocentric direction. It is particularly important for the Moon.</w:t>
            </w:r>
          </w:p>
        </w:tc>
      </w:tr>
    </w:tbl>
    <w:p>
      <w:pPr>
        <w:pStyle w:val="Heading2"/>
        <w:bidi w:val="0"/>
        <w:rPr/>
      </w:pPr>
      <w:r>
        <w:rPr/>
        <w:t>4.2 Horizon choices</w:t>
      </w:r>
    </w:p>
    <w:p>
      <w:pPr>
        <w:pStyle w:val="BodyText"/>
        <w:bidi w:val="0"/>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rPr/>
      </w:pPr>
      <w:r>
        <w:rPr/>
        <w:t>4.3 Record what was observed</w:t>
      </w:r>
    </w:p>
    <w:p>
      <w:pPr>
        <w:pStyle w:val="BodyText"/>
        <w:bidi w:val="0"/>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rPr/>
      </w:pPr>
      <w:bookmarkStart w:id="10" w:name="fixes"/>
      <w:bookmarkEnd w:id="10"/>
      <w:r>
        <w:rPr/>
        <w:t>5. Fixes, geometry and uncertainty</w:t>
      </w:r>
    </w:p>
    <w:p>
      <w:pPr>
        <w:pStyle w:val="Heading2"/>
        <w:bidi w:val="0"/>
        <w:rPr/>
      </w:pPr>
      <w:r>
        <w:rPr/>
        <w:t>5.1 Near-simultaneous multi-body fix</w:t>
      </w:r>
    </w:p>
    <w:p>
      <w:pPr>
        <w:pStyle w:val="BodyText"/>
        <w:bidi w:val="0"/>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rPr/>
      </w:pPr>
      <w:r>
        <w:rPr/>
        <w:t>5.2 A cocked hat is information</w:t>
      </w:r>
    </w:p>
    <w:p>
      <w:pPr>
        <w:pStyle w:val="BodyText"/>
        <w:bidi w:val="0"/>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rPr/>
      </w:pPr>
      <w:r>
        <w:rPr/>
        <w:t>5.3 Repeated observations</w:t>
      </w:r>
    </w:p>
    <w:p>
      <w:pPr>
        <w:pStyle w:val="BodyText"/>
        <w:bidi w:val="0"/>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rPr/>
      </w:pPr>
      <w:r>
        <w:rPr/>
        <w:t>5.4 Uncertainty fields</w:t>
      </w:r>
    </w:p>
    <w:p>
      <w:pPr>
        <w:pStyle w:val="BodyText"/>
        <w:bidi w:val="0"/>
        <w:rPr/>
      </w:pPr>
      <w:r>
        <w:rPr/>
        <w:t>Measurement certainty controls the plotted band around a COP/LOP. Time certainty represents uncertainty in the observation epoch. These values should describe the observation honestly; reducing the number only draws a thinner line and does not improve the sight.</w:t>
      </w:r>
    </w:p>
    <w:p>
      <w:pPr>
        <w:pStyle w:val="Heading1"/>
        <w:bidi w:val="0"/>
        <w:ind w:hanging="0" w:start="0" w:end="0"/>
        <w:rPr/>
      </w:pPr>
      <w:bookmarkStart w:id="11" w:name="time"/>
      <w:bookmarkEnd w:id="11"/>
      <w:r>
        <w:rPr/>
        <w:t>6. Time, longitude and the astronomical triangle</w:t>
      </w:r>
    </w:p>
    <w:p>
      <w:pPr>
        <w:pStyle w:val="Heading2"/>
        <w:bidi w:val="0"/>
        <w:rPr/>
      </w:pPr>
      <w:r>
        <w:rPr/>
        <w:t>6.1 Why time is inseparable from longitude</w:t>
      </w:r>
    </w:p>
    <w:p>
      <w:pPr>
        <w:pStyle w:val="BodyText"/>
        <w:bidi w:val="0"/>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rPr/>
      </w:pPr>
      <w:r>
        <w:rPr/>
        <w:drawing>
          <wp:inline distT="0" distB="0" distL="0" distR="0">
            <wp:extent cx="5850000" cy="2991302"/>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1302"/>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rPr/>
      </w:pPr>
      <w:r>
        <w:rPr/>
        <w:t>6.2 UTC, UT1 and the system clock</w:t>
      </w:r>
    </w:p>
    <w:p>
      <w:pPr>
        <w:pStyle w:val="BodyText"/>
        <w:bidi w:val="0"/>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rPr/>
      </w:pPr>
      <w:r>
        <w:rPr/>
        <w:t>6.3 The astronomical triangle</w:t>
      </w:r>
    </w:p>
    <w:p>
      <w:pPr>
        <w:pStyle w:val="BodyText"/>
        <w:bidi w:val="0"/>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rPr/>
      </w:pPr>
      <w:r>
        <w:rPr/>
        <w:t>Here φ is latitude and δ is declination. An atan2 form is used for azimuth to preserve the correct quadrant.</w:t>
      </w:r>
    </w:p>
    <w:p>
      <w:pPr>
        <w:pStyle w:val="Heading1"/>
        <w:bidi w:val="0"/>
        <w:ind w:hanging="0" w:start="0" w:end="0"/>
        <w:rPr/>
      </w:pPr>
      <w:bookmarkStart w:id="12" w:name="interface"/>
      <w:bookmarkEnd w:id="12"/>
      <w:r>
        <w:rPr/>
        <w:t>7. Plugin orientation and time integrity</w:t>
      </w:r>
    </w:p>
    <w:p>
      <w:pPr>
        <w:pStyle w:val="Heading2"/>
        <w:bidi w:val="0"/>
        <w:rPr/>
      </w:pPr>
      <w:r>
        <w:rPr/>
        <w:t>7.1 Main Sights window</w:t>
      </w:r>
    </w:p>
    <w:p>
      <w:pPr>
        <w:pStyle w:val="BodyText"/>
        <w:bidi w:val="0"/>
        <w:rPr/>
      </w:pPr>
      <w:r>
        <w:rPr/>
        <w:t>The main list contains stored observations. Its columns show sight type, body, UTC time, measurement and colour. The eye symbol controls whether a sight is plotted and included where a workflow uses visible sights.</w:t>
      </w:r>
    </w:p>
    <w:tbl>
      <w:tblPr>
        <w:tblW w:w="16251" w:type="dxa"/>
        <w:jc w:val="start"/>
        <w:tblInd w:w="0" w:type="dxa"/>
        <w:tblLayout w:type="fixed"/>
        <w:tblCellMar>
          <w:top w:w="28" w:type="dxa"/>
          <w:start w:w="28" w:type="dxa"/>
          <w:bottom w:w="28" w:type="dxa"/>
          <w:end w:w="28" w:type="dxa"/>
        </w:tblCellMar>
      </w:tblPr>
      <w:tblGrid>
        <w:gridCol w:w="2313"/>
        <w:gridCol w:w="13938"/>
      </w:tblGrid>
      <w:tr>
        <w:trPr/>
        <w:tc>
          <w:tcPr>
            <w:tcW w:w="2313" w:type="dxa"/>
            <w:tcBorders/>
            <w:vAlign w:val="center"/>
          </w:tcPr>
          <w:p>
            <w:pPr>
              <w:pStyle w:val="TableHeading"/>
              <w:suppressLineNumbers/>
              <w:shd w:fill="17365D" w:val="clear"/>
              <w:bidi w:val="0"/>
              <w:spacing w:before="0" w:after="283"/>
              <w:jc w:val="start"/>
              <w:rPr/>
            </w:pPr>
            <w:r>
              <w:rPr/>
              <w:t>Control</w:t>
            </w:r>
          </w:p>
        </w:tc>
        <w:tc>
          <w:tcPr>
            <w:tcW w:w="13938" w:type="dxa"/>
            <w:tcBorders/>
            <w:vAlign w:val="center"/>
          </w:tcPr>
          <w:p>
            <w:pPr>
              <w:pStyle w:val="TableHeading"/>
              <w:suppressLineNumbers/>
              <w:shd w:fill="17365D" w:val="clear"/>
              <w:bidi w:val="0"/>
              <w:spacing w:before="0" w:after="283"/>
              <w:jc w:val="start"/>
              <w:rPr/>
            </w:pPr>
            <w:r>
              <w:rPr/>
              <w:t>Purpose</w:t>
            </w:r>
          </w:p>
        </w:tc>
      </w:tr>
      <w:tr>
        <w:trPr/>
        <w:tc>
          <w:tcPr>
            <w:tcW w:w="2313" w:type="dxa"/>
            <w:tcBorders/>
            <w:vAlign w:val="center"/>
          </w:tcPr>
          <w:p>
            <w:pPr>
              <w:pStyle w:val="TableContents"/>
              <w:bidi w:val="0"/>
              <w:spacing w:before="0" w:after="283"/>
              <w:rPr/>
            </w:pPr>
            <w:r>
              <w:rPr/>
              <w:t>New</w:t>
            </w:r>
          </w:p>
        </w:tc>
        <w:tc>
          <w:tcPr>
            <w:tcW w:w="13938" w:type="dxa"/>
            <w:tcBorders/>
            <w:vAlign w:val="center"/>
          </w:tcPr>
          <w:p>
            <w:pPr>
              <w:pStyle w:val="TableContents"/>
              <w:bidi w:val="0"/>
              <w:spacing w:before="0" w:after="283"/>
              <w:rPr/>
            </w:pPr>
            <w:r>
              <w:rPr/>
              <w:t>Create an altitude, azimuth or lunar observation.</w:t>
            </w:r>
          </w:p>
        </w:tc>
      </w:tr>
      <w:tr>
        <w:trPr/>
        <w:tc>
          <w:tcPr>
            <w:tcW w:w="2313" w:type="dxa"/>
            <w:tcBorders/>
            <w:vAlign w:val="center"/>
          </w:tcPr>
          <w:p>
            <w:pPr>
              <w:pStyle w:val="TableContents"/>
              <w:bidi w:val="0"/>
              <w:spacing w:before="0" w:after="283"/>
              <w:rPr/>
            </w:pPr>
            <w:r>
              <w:rPr/>
              <w:t>Fix…</w:t>
            </w:r>
          </w:p>
        </w:tc>
        <w:tc>
          <w:tcPr>
            <w:tcW w:w="13938" w:type="dxa"/>
            <w:tcBorders/>
            <w:vAlign w:val="center"/>
          </w:tcPr>
          <w:p>
            <w:pPr>
              <w:pStyle w:val="TableContents"/>
              <w:bidi w:val="0"/>
              <w:spacing w:before="0" w:after="283"/>
              <w:rPr/>
            </w:pPr>
            <w:r>
              <w:rPr/>
              <w:t>Solve from suitable visible sights near a selected epoch.</w:t>
            </w:r>
          </w:p>
        </w:tc>
      </w:tr>
      <w:tr>
        <w:trPr/>
        <w:tc>
          <w:tcPr>
            <w:tcW w:w="2313" w:type="dxa"/>
            <w:tcBorders/>
            <w:vAlign w:val="center"/>
          </w:tcPr>
          <w:p>
            <w:pPr>
              <w:pStyle w:val="TableContents"/>
              <w:bidi w:val="0"/>
              <w:spacing w:before="0" w:after="283"/>
              <w:rPr/>
            </w:pPr>
            <w:r>
              <w:rPr/>
              <w:t>Horizon Event…</w:t>
            </w:r>
          </w:p>
        </w:tc>
        <w:tc>
          <w:tcPr>
            <w:tcW w:w="13938" w:type="dxa"/>
            <w:tcBorders/>
            <w:vAlign w:val="center"/>
          </w:tcPr>
          <w:p>
            <w:pPr>
              <w:pStyle w:val="TableContents"/>
              <w:bidi w:val="0"/>
              <w:spacing w:before="0" w:after="283"/>
              <w:rPr/>
            </w:pPr>
            <w:r>
              <w:rPr/>
              <w:t>Record observed sunrise or sunset timing and optional bearing.</w:t>
            </w:r>
          </w:p>
        </w:tc>
      </w:tr>
      <w:tr>
        <w:trPr/>
        <w:tc>
          <w:tcPr>
            <w:tcW w:w="2313" w:type="dxa"/>
            <w:tcBorders/>
            <w:vAlign w:val="center"/>
          </w:tcPr>
          <w:p>
            <w:pPr>
              <w:pStyle w:val="TableContents"/>
              <w:bidi w:val="0"/>
              <w:spacing w:before="0" w:after="283"/>
              <w:rPr/>
            </w:pPr>
            <w:r>
              <w:rPr/>
              <w:t>Sun &amp; Moon…</w:t>
            </w:r>
          </w:p>
        </w:tc>
        <w:tc>
          <w:tcPr>
            <w:tcW w:w="13938" w:type="dxa"/>
            <w:tcBorders/>
            <w:vAlign w:val="center"/>
          </w:tcPr>
          <w:p>
            <w:pPr>
              <w:pStyle w:val="TableContents"/>
              <w:bidi w:val="0"/>
              <w:spacing w:before="0" w:after="283"/>
              <w:rPr/>
            </w:pPr>
            <w:r>
              <w:rPr/>
              <w:t>Open the offline event, body, best-sight, almanac, noon and Polaris planner.</w:t>
            </w:r>
          </w:p>
        </w:tc>
      </w:tr>
      <w:tr>
        <w:trPr/>
        <w:tc>
          <w:tcPr>
            <w:tcW w:w="2313" w:type="dxa"/>
            <w:tcBorders/>
            <w:vAlign w:val="center"/>
          </w:tcPr>
          <w:p>
            <w:pPr>
              <w:pStyle w:val="TableContents"/>
              <w:bidi w:val="0"/>
              <w:spacing w:before="0" w:after="283"/>
              <w:rPr/>
            </w:pPr>
            <w:r>
              <w:rPr/>
              <w:t>Analyze Sights…</w:t>
            </w:r>
          </w:p>
        </w:tc>
        <w:tc>
          <w:tcPr>
            <w:tcW w:w="13938" w:type="dxa"/>
            <w:tcBorders/>
            <w:vAlign w:val="center"/>
          </w:tcPr>
          <w:p>
            <w:pPr>
              <w:pStyle w:val="TableContents"/>
              <w:bidi w:val="0"/>
              <w:spacing w:before="0" w:after="283"/>
              <w:rPr/>
            </w:pPr>
            <w:r>
              <w:rPr/>
              <w:t>Analyze residuals and repeat-observation behaviour.</w:t>
            </w:r>
          </w:p>
        </w:tc>
      </w:tr>
      <w:tr>
        <w:trPr/>
        <w:tc>
          <w:tcPr>
            <w:tcW w:w="2313" w:type="dxa"/>
            <w:tcBorders/>
            <w:vAlign w:val="center"/>
          </w:tcPr>
          <w:p>
            <w:pPr>
              <w:pStyle w:val="TableContents"/>
              <w:bidi w:val="0"/>
              <w:spacing w:before="0" w:after="283"/>
              <w:rPr/>
            </w:pPr>
            <w:r>
              <w:rPr/>
              <w:t>Lunar Tools…</w:t>
            </w:r>
          </w:p>
        </w:tc>
        <w:tc>
          <w:tcPr>
            <w:tcW w:w="13938" w:type="dxa"/>
            <w:tcBorders/>
            <w:vAlign w:val="center"/>
          </w:tcPr>
          <w:p>
            <w:pPr>
              <w:pStyle w:val="TableContents"/>
              <w:bidi w:val="0"/>
              <w:spacing w:before="0" w:after="283"/>
              <w:rPr/>
            </w:pPr>
            <w:r>
              <w:rPr/>
              <w:t>Jointly solve several lunar observations, rank Moon–body pairs and check a sextant against computed angular distances.</w:t>
            </w:r>
          </w:p>
        </w:tc>
      </w:tr>
      <w:tr>
        <w:trPr/>
        <w:tc>
          <w:tcPr>
            <w:tcW w:w="2313" w:type="dxa"/>
            <w:tcBorders/>
            <w:vAlign w:val="center"/>
          </w:tcPr>
          <w:p>
            <w:pPr>
              <w:pStyle w:val="TableContents"/>
              <w:bidi w:val="0"/>
              <w:spacing w:before="0" w:after="283"/>
              <w:rPr/>
            </w:pPr>
            <w:r>
              <w:rPr/>
              <w:t>Generate Almanac…</w:t>
            </w:r>
          </w:p>
        </w:tc>
        <w:tc>
          <w:tcPr>
            <w:tcW w:w="13938" w:type="dxa"/>
            <w:tcBorders/>
            <w:vAlign w:val="center"/>
          </w:tcPr>
          <w:p>
            <w:pPr>
              <w:pStyle w:val="TableContents"/>
              <w:bidi w:val="0"/>
              <w:spacing w:before="0" w:after="283"/>
              <w:rPr/>
            </w:pPr>
            <w:r>
              <w:rPr/>
              <w:t>Build a tailored, completely offline planning, calculator-complete or calculator-free paper almanac as a PDF.</w:t>
            </w:r>
          </w:p>
        </w:tc>
      </w:tr>
      <w:tr>
        <w:trPr/>
        <w:tc>
          <w:tcPr>
            <w:tcW w:w="2313" w:type="dxa"/>
            <w:tcBorders/>
            <w:vAlign w:val="center"/>
          </w:tcPr>
          <w:p>
            <w:pPr>
              <w:pStyle w:val="TableContents"/>
              <w:bidi w:val="0"/>
              <w:spacing w:before="0" w:after="283"/>
              <w:rPr/>
            </w:pPr>
            <w:r>
              <w:rPr/>
              <w:t>Eclipses…</w:t>
            </w:r>
          </w:p>
        </w:tc>
        <w:tc>
          <w:tcPr>
            <w:tcW w:w="13938" w:type="dxa"/>
            <w:tcBorders/>
            <w:vAlign w:val="center"/>
          </w:tcPr>
          <w:p>
            <w:pPr>
              <w:pStyle w:val="TableContents"/>
              <w:bidi w:val="0"/>
              <w:spacing w:before="0" w:after="283"/>
              <w:rPr/>
            </w:pPr>
            <w:r>
              <w:rPr/>
              <w:t>Search, plot and calculate offline solar-eclipse circumstances.</w:t>
            </w:r>
          </w:p>
        </w:tc>
      </w:tr>
      <w:tr>
        <w:trPr/>
        <w:tc>
          <w:tcPr>
            <w:tcW w:w="2313" w:type="dxa"/>
            <w:tcBorders/>
            <w:vAlign w:val="center"/>
          </w:tcPr>
          <w:p>
            <w:pPr>
              <w:pStyle w:val="TableContents"/>
              <w:bidi w:val="0"/>
              <w:spacing w:before="0" w:after="283"/>
              <w:rPr/>
            </w:pPr>
            <w:r>
              <w:rPr/>
              <w:t>Coastal Sextant…</w:t>
            </w:r>
          </w:p>
        </w:tc>
        <w:tc>
          <w:tcPr>
            <w:tcW w:w="13938" w:type="dxa"/>
            <w:tcBorders/>
            <w:vAlign w:val="center"/>
          </w:tcPr>
          <w:p>
            <w:pPr>
              <w:pStyle w:val="TableContents"/>
              <w:bidi w:val="0"/>
              <w:spacing w:before="0" w:after="283"/>
              <w:rPr/>
            </w:pPr>
            <w:r>
              <w:rPr/>
              <w:t>Use vertical-angle ranging or horizontal-sextant-angle fixing.</w:t>
            </w:r>
          </w:p>
        </w:tc>
      </w:tr>
      <w:tr>
        <w:trPr/>
        <w:tc>
          <w:tcPr>
            <w:tcW w:w="2313" w:type="dxa"/>
            <w:tcBorders/>
            <w:vAlign w:val="center"/>
          </w:tcPr>
          <w:p>
            <w:pPr>
              <w:pStyle w:val="TableContents"/>
              <w:bidi w:val="0"/>
              <w:spacing w:before="0" w:after="283"/>
              <w:rPr/>
            </w:pPr>
            <w:r>
              <w:rPr/>
              <w:t>Duplicate / Edit / Delete</w:t>
            </w:r>
          </w:p>
        </w:tc>
        <w:tc>
          <w:tcPr>
            <w:tcW w:w="13938" w:type="dxa"/>
            <w:tcBorders/>
            <w:vAlign w:val="center"/>
          </w:tcPr>
          <w:p>
            <w:pPr>
              <w:pStyle w:val="TableContents"/>
              <w:bidi w:val="0"/>
              <w:spacing w:before="0" w:after="283"/>
              <w:rPr/>
            </w:pPr>
            <w:r>
              <w:rPr/>
              <w:t>Manage a selected stored sight. Duplicate is useful for a run of sights.</w:t>
            </w:r>
          </w:p>
        </w:tc>
      </w:tr>
      <w:tr>
        <w:trPr/>
        <w:tc>
          <w:tcPr>
            <w:tcW w:w="2313" w:type="dxa"/>
            <w:tcBorders/>
            <w:vAlign w:val="center"/>
          </w:tcPr>
          <w:p>
            <w:pPr>
              <w:pStyle w:val="TableContents"/>
              <w:bidi w:val="0"/>
              <w:spacing w:before="0" w:after="283"/>
              <w:rPr/>
            </w:pPr>
            <w:r>
              <w:rPr/>
              <w:t>Clock Offset</w:t>
            </w:r>
          </w:p>
        </w:tc>
        <w:tc>
          <w:tcPr>
            <w:tcW w:w="13938" w:type="dxa"/>
            <w:tcBorders/>
            <w:vAlign w:val="center"/>
          </w:tcPr>
          <w:p>
            <w:pPr>
              <w:pStyle w:val="TableContents"/>
              <w:bidi w:val="0"/>
              <w:spacing w:before="0" w:after="283"/>
              <w:rPr/>
            </w:pPr>
            <w:r>
              <w:rPr/>
              <w:t>Apply a common correction to stored sight times.</w:t>
            </w:r>
          </w:p>
        </w:tc>
      </w:tr>
      <w:tr>
        <w:trPr/>
        <w:tc>
          <w:tcPr>
            <w:tcW w:w="2313" w:type="dxa"/>
            <w:tcBorders/>
            <w:vAlign w:val="center"/>
          </w:tcPr>
          <w:p>
            <w:pPr>
              <w:pStyle w:val="TableContents"/>
              <w:bidi w:val="0"/>
              <w:spacing w:before="0" w:after="283"/>
              <w:rPr/>
            </w:pPr>
            <w:r>
              <w:rPr/>
              <w:t>Hide</w:t>
            </w:r>
          </w:p>
        </w:tc>
        <w:tc>
          <w:tcPr>
            <w:tcW w:w="13938" w:type="dxa"/>
            <w:tcBorders/>
            <w:vAlign w:val="center"/>
          </w:tcPr>
          <w:p>
            <w:pPr>
              <w:pStyle w:val="TableContents"/>
              <w:bidi w:val="0"/>
              <w:spacing w:before="0" w:after="283"/>
              <w:rPr/>
            </w:pPr>
            <w:r>
              <w:rPr/>
              <w:t>Collapse or restore the sight list and controls.</w:t>
            </w:r>
          </w:p>
        </w:tc>
      </w:tr>
      <w:tr>
        <w:trPr/>
        <w:tc>
          <w:tcPr>
            <w:tcW w:w="2313" w:type="dxa"/>
            <w:tcBorders/>
            <w:vAlign w:val="center"/>
          </w:tcPr>
          <w:p>
            <w:pPr>
              <w:pStyle w:val="TableContents"/>
              <w:bidi w:val="0"/>
              <w:spacing w:before="0" w:after="283"/>
              <w:rPr/>
            </w:pPr>
            <w:r>
              <w:rPr/>
              <w:t>Documentation</w:t>
            </w:r>
          </w:p>
        </w:tc>
        <w:tc>
          <w:tcPr>
            <w:tcW w:w="13938" w:type="dxa"/>
            <w:tcBorders/>
            <w:vAlign w:val="center"/>
          </w:tcPr>
          <w:p>
            <w:pPr>
              <w:pStyle w:val="TableContents"/>
              <w:bidi w:val="0"/>
              <w:spacing w:before="0" w:after="283"/>
              <w:rPr/>
            </w:pPr>
            <w:r>
              <w:rPr/>
              <w:t>Open this completely offline manual in the plugin's internal viewer.</w:t>
            </w:r>
          </w:p>
        </w:tc>
      </w:tr>
      <w:tr>
        <w:trPr/>
        <w:tc>
          <w:tcPr>
            <w:tcW w:w="2313" w:type="dxa"/>
            <w:tcBorders/>
            <w:vAlign w:val="center"/>
          </w:tcPr>
          <w:p>
            <w:pPr>
              <w:pStyle w:val="TableContents"/>
              <w:bidi w:val="0"/>
              <w:spacing w:before="0" w:after="283"/>
              <w:rPr/>
            </w:pPr>
            <w:r>
              <w:rPr/>
              <w:t>PDF Documentation</w:t>
            </w:r>
          </w:p>
        </w:tc>
        <w:tc>
          <w:tcPr>
            <w:tcW w:w="13938" w:type="dxa"/>
            <w:tcBorders/>
            <w:vAlign w:val="center"/>
          </w:tcPr>
          <w:p>
            <w:pPr>
              <w:pStyle w:val="TableContents"/>
              <w:bidi w:val="0"/>
              <w:spacing w:before="0" w:after="283"/>
              <w:rPr/>
            </w:pPr>
            <w:r>
              <w:rPr/>
              <w:t>Open the fixed-layout manual in the system PDF viewer. If no external viewer is available, the plugin safely opens the internal HTML manual instead.</w:t>
            </w:r>
          </w:p>
        </w:tc>
      </w:tr>
    </w:tbl>
    <w:p>
      <w:pPr>
        <w:pStyle w:val="BodyText"/>
        <w:bidi w:val="0"/>
        <w:rPr/>
      </w:pPr>
      <w:r>
        <w:rPr/>
        <w:t>Creating a sight selects it and clears the previous selection. Deleting a selected sight moves the selection to an adjacent sight when one remains, so there is deliberately no unselected state while the list is non-empty.</w:t>
      </w:r>
    </w:p>
    <w:p>
      <w:pPr>
        <w:pStyle w:val="Heading2"/>
        <w:bidi w:val="0"/>
        <w:rPr/>
      </w:pPr>
      <w:r>
        <w:rPr/>
        <w:t>7.2 Time integrity panel</w:t>
      </w:r>
    </w:p>
    <w:p>
      <w:pPr>
        <w:pStyle w:val="BodyText"/>
        <w:bidi w:val="0"/>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rPr/>
      </w:pPr>
      <w:r>
        <w:rPr/>
        <w:t>Use the panel to decide how much confidence to place in a captured time and to synchronise a deck watch. Hide the panel when screen space is limited.</w:t>
      </w:r>
    </w:p>
    <w:p>
      <w:pPr>
        <w:pStyle w:val="Heading1"/>
        <w:bidi w:val="0"/>
        <w:ind w:hanging="0" w:start="0" w:end="0"/>
        <w:rPr/>
      </w:pPr>
      <w:bookmarkStart w:id="13" w:name="altitude-workflow"/>
      <w:bookmarkEnd w:id="13"/>
      <w:r>
        <w:rPr/>
        <w:t>8. Entering an altitude sight</w:t>
      </w:r>
    </w:p>
    <w:p>
      <w:pPr>
        <w:pStyle w:val="Heading2"/>
        <w:bidi w:val="0"/>
        <w:rPr/>
      </w:pPr>
      <w:r>
        <w:rPr/>
        <w:t>8.1 Before the observation</w:t>
      </w:r>
    </w:p>
    <w:p>
      <w:pPr>
        <w:pStyle w:val="BodyText"/>
        <w:numPr>
          <w:ilvl w:val="0"/>
          <w:numId w:val="5"/>
        </w:numPr>
        <w:tabs>
          <w:tab w:val="clear" w:pos="1134"/>
          <w:tab w:val="left" w:pos="709" w:leader="none"/>
        </w:tabs>
        <w:bidi w:val="0"/>
        <w:spacing w:before="0" w:after="0"/>
        <w:ind w:hanging="283" w:start="709"/>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rPr/>
      </w:pPr>
      <w:r>
        <w:rPr/>
        <w:t xml:space="preserve">Preset the sextant from an estimated altitude if helpful, while keeping the actual observation independent. </w:t>
      </w:r>
    </w:p>
    <w:p>
      <w:pPr>
        <w:pStyle w:val="Heading2"/>
        <w:bidi w:val="0"/>
        <w:rPr/>
      </w:pPr>
      <w:r>
        <w:rPr/>
        <w:t>8.2 Create the sight</w:t>
      </w:r>
    </w:p>
    <w:p>
      <w:pPr>
        <w:pStyle w:val="BodyText"/>
        <w:numPr>
          <w:ilvl w:val="0"/>
          <w:numId w:val="6"/>
        </w:numPr>
        <w:tabs>
          <w:tab w:val="clear" w:pos="1134"/>
          <w:tab w:val="left" w:pos="709" w:leader="none"/>
        </w:tabs>
        <w:bidi w:val="0"/>
        <w:spacing w:before="0" w:after="0"/>
        <w:ind w:hanging="283" w:start="709"/>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rPr/>
      </w:pPr>
      <w:r>
        <w:rPr/>
        <w:t xml:space="preserve">Accept the sight and inspect its COP on the chart. </w:t>
      </w:r>
    </w:p>
    <w:p>
      <w:pPr>
        <w:pStyle w:val="Heading2"/>
        <w:bidi w:val="0"/>
        <w:rPr/>
      </w:pPr>
      <w:r>
        <w:rPr/>
        <w:t>8.3 Common entry mistakes</w:t>
      </w:r>
    </w:p>
    <w:p>
      <w:pPr>
        <w:pStyle w:val="BodyText"/>
        <w:numPr>
          <w:ilvl w:val="0"/>
          <w:numId w:val="7"/>
        </w:numPr>
        <w:tabs>
          <w:tab w:val="clear" w:pos="1134"/>
          <w:tab w:val="left" w:pos="709" w:leader="none"/>
        </w:tabs>
        <w:bidi w:val="0"/>
        <w:spacing w:before="0" w:after="0"/>
        <w:ind w:hanging="283" w:start="709"/>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rPr/>
      </w:pPr>
      <w:r>
        <w:rPr/>
        <w:t xml:space="preserve">Using GPS position as “DR” while trying to conduct an independent no-GPS exercise. </w:t>
      </w:r>
    </w:p>
    <w:p>
      <w:pPr>
        <w:pStyle w:val="Heading1"/>
        <w:bidi w:val="0"/>
        <w:ind w:hanging="0" w:start="0" w:end="0"/>
        <w:rPr/>
      </w:pPr>
      <w:bookmarkStart w:id="14" w:name="planner"/>
      <w:bookmarkEnd w:id="14"/>
      <w:r>
        <w:rPr/>
        <w:t>9. Sun, Moon and Sight Planner</w:t>
      </w:r>
    </w:p>
    <w:p>
      <w:pPr>
        <w:pStyle w:val="BodyText"/>
        <w:bidi w:val="0"/>
        <w:rPr/>
      </w:pPr>
      <w:r>
        <w:rPr/>
        <w:t xml:space="preserve">The planner is completely offline. Set a position and time context, then select </w:t>
      </w:r>
      <w:r>
        <w:rPr>
          <w:rStyle w:val="Strong"/>
        </w:rPr>
        <w:t>Calculate / refresh</w:t>
      </w:r>
      <w:r>
        <w:rPr/>
        <w:t>.</w:t>
      </w:r>
    </w:p>
    <w:p>
      <w:pPr>
        <w:pStyle w:val="Heading2"/>
        <w:bidi w:val="0"/>
        <w:rPr/>
      </w:pPr>
      <w:r>
        <w:rPr/>
        <w:t>9.1 Position and time context</w:t>
      </w:r>
    </w:p>
    <w:p>
      <w:pPr>
        <w:pStyle w:val="BodyText"/>
        <w:bidi w:val="0"/>
        <w:rPr/>
      </w:pPr>
      <w:r>
        <w:rPr/>
        <w:t>Position can be manual, current boat position, chart cursor, selected sight DR, last calculated fix, or an OpenCPN waypoint/place selected from the searchable list. Time can be now, the selected sight, or a manual date/time.</w:t>
      </w:r>
    </w:p>
    <w:p>
      <w:pPr>
        <w:pStyle w:val="BodyText"/>
        <w:bidi w:val="0"/>
        <w:rPr/>
      </w:pPr>
      <w:r>
        <w:rPr/>
        <w:t xml:space="preserve">Manual input can be interpreted as UTC, computer local civil time, or ship zone time. Ship zone defaults to the conventional whole-hour offset suggested by longitude; disable </w:t>
      </w:r>
      <w:r>
        <w:rPr>
          <w:rStyle w:val="Strong"/>
        </w:rPr>
        <w:t>Auto zone from longitude</w:t>
      </w:r>
      <w:r>
        <w:rPr/>
        <w:t xml:space="preserve"> to select a manual offset in half-hour increments. East offsets are positive, west offsets negative. Conversion across midnight changes the UTC date correctly. The zone controls are enabled only when ship-zone input or fixed-offset display uses them. A temporarily blank or invalid offset retains the last valid value rather than silently becoming the western limit.</w:t>
      </w:r>
    </w:p>
    <w:p>
      <w:pPr>
        <w:pStyle w:val="BodyText"/>
        <w:bidi w:val="0"/>
        <w:rPr/>
      </w:pPr>
      <w:r>
        <w:rPr/>
        <w:t xml:space="preserve">The default entry presentation is the unambiguous nautical form </w:t>
      </w:r>
      <w:r>
        <w:rPr>
          <w:rStyle w:val="Strong"/>
        </w:rPr>
        <w:t>YYYY-MM-DD</w:t>
      </w:r>
      <w:r>
        <w:rPr/>
        <w:t xml:space="preserve"> and </w:t>
      </w:r>
      <w:r>
        <w:rPr>
          <w:rStyle w:val="Strong"/>
        </w:rPr>
        <w:t>HH:MM:SS</w:t>
      </w:r>
      <w:r>
        <w:rPr/>
        <w:t xml:space="preserve">. Select </w:t>
      </w:r>
      <w:r>
        <w:rPr>
          <w:rStyle w:val="Strong"/>
        </w:rPr>
        <w:t>OpenCPN / platform format</w:t>
      </w:r>
      <w:r>
        <w:rPr/>
        <w:t xml:space="preserve"> to use the operating system's native date and time controls instead. This changes presentation only, not the instant. Displayed event times may independently be UTC, computer local time, local mean time, or a fixed offset. The calculation itself is normalized to UTC. The bold </w:t>
      </w:r>
      <w:r>
        <w:rPr>
          <w:rStyle w:val="Strong"/>
        </w:rPr>
        <w:t>Resolved UTC</w:t>
      </w:r>
      <w:r>
        <w:rPr/>
        <w:t xml:space="preserve"> line is the authoritative instant shared by every planner tab, independent of entry or display format.</w:t>
      </w:r>
    </w:p>
    <w:p>
      <w:pPr>
        <w:pStyle w:val="BodyText"/>
        <w:bidi w:val="0"/>
        <w:rPr/>
      </w:pPr>
      <w:r>
        <w:rPr/>
        <w:t xml:space="preserve">Editing latitude or longitude switches the position source to </w:t>
      </w:r>
      <w:r>
        <w:rPr>
          <w:rStyle w:val="Strong"/>
        </w:rPr>
        <w:t>Manual</w:t>
      </w:r>
      <w:r>
        <w:rPr/>
        <w:t xml:space="preserve">; editing date or time switches the time source to </w:t>
      </w:r>
      <w:r>
        <w:rPr>
          <w:rStyle w:val="Strong"/>
        </w:rPr>
        <w:t>Manual date/time</w:t>
      </w:r>
      <w:r>
        <w:rPr/>
        <w:t xml:space="preserve">. Valid edits to position, time, COG, SOG, zone offset or eye height automatically refresh the results after a short pause. </w:t>
      </w:r>
      <w:r>
        <w:rPr>
          <w:rStyle w:val="Strong"/>
        </w:rPr>
        <w:t>Calculate / refresh</w:t>
      </w:r>
      <w:r>
        <w:rPr/>
        <w:t xml:space="preserve"> remains available for an explicit update. Planner choices including COG/SOG and entry/display formats persist, but a newly opened planner starts its date/time at </w:t>
      </w:r>
      <w:r>
        <w:rPr>
          <w:rStyle w:val="Strong"/>
        </w:rPr>
        <w:t>Now</w:t>
      </w:r>
      <w:r>
        <w:rPr/>
        <w:t>. Eye height is reloaded from the main plugin defaults each time.</w:t>
      </w:r>
    </w:p>
    <w:p>
      <w:pPr>
        <w:pStyle w:val="BodyText"/>
        <w:bidi w:val="0"/>
        <w:rPr/>
      </w:pPr>
      <w:r>
        <w:rPr/>
        <w:t>Eye height affects dip of the visible horizon used for rise and set. It does not alter the geometric body-centre Hc shown in the body table.</w:t>
      </w:r>
    </w:p>
    <w:p>
      <w:pPr>
        <w:pStyle w:val="Heading2"/>
        <w:bidi w:val="0"/>
        <w:rPr/>
      </w:pPr>
      <w:r>
        <w:rPr/>
        <w:t>9.2 Events tab</w:t>
      </w:r>
    </w:p>
    <w:p>
      <w:pPr>
        <w:pStyle w:val="BodyText"/>
        <w:bidi w:val="0"/>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 The schedule always covers the UTC civil day containing the resolved planning instant; local display dates may therefore differ near the date line.</w:t>
      </w:r>
    </w:p>
    <w:p>
      <w:pPr>
        <w:pStyle w:val="Heading2"/>
        <w:bidi w:val="0"/>
        <w:rPr/>
      </w:pPr>
      <w:r>
        <w:rPr/>
        <w:t>9.3 Bodies &amp; Best Sights</w:t>
      </w:r>
    </w:p>
    <w:p>
      <w:pPr>
        <w:pStyle w:val="BodyText"/>
        <w:bidi w:val="0"/>
        <w:rPr/>
      </w:pPr>
      <w:r>
        <w:rPr/>
        <w:t xml:space="preserve">The body list shows every catalogued body whose geometric Hc is at or above the horizon. Click any column heading to sort the table; click it again to reverse the order. </w:t>
      </w:r>
      <w:r>
        <w:rPr>
          <w:rStyle w:val="Strong"/>
        </w:rPr>
        <w:t>Limit recommendations by Hc</w:t>
      </w:r>
      <w:r>
        <w:rPr/>
        <w:t xml:space="preserve"> optionally applies the adjacent, editable minimum and maximum only to suggested pairs and triads. The initial preferred range is 10°–75°. Bodies outside it remain in the table and are marked below or above the preferred Hc; disabling the option makes every listed body eligible for recommendations.</w:t>
      </w:r>
    </w:p>
    <w:p>
      <w:pPr>
        <w:pStyle w:val="BodyText"/>
        <w:bidi w:val="0"/>
        <w:rPr/>
      </w:pPr>
      <w:r>
        <w:rPr/>
        <w:t>The individual score gives 65% weight to altitude near 40° and 35% to brightness, with a daylight/twilight penalty for stars. Planets currently receive no equivalent twilight penalty, so the score is not by itself a guarantee that Mercury or another planet is practically observable. Suggested pairs additionally favour a crossing angle near 90°; triads rank their two-dimensional bearing geometry separately.</w:t>
      </w:r>
    </w:p>
    <w:p>
      <w:pPr>
        <w:pStyle w:val="BodyText"/>
        <w:bidi w:val="0"/>
        <w:rPr/>
      </w:pPr>
      <w:r>
        <w:rPr/>
        <w:t>The polar sky plot has independent magnitude limits of 1, 2 or 3 and can optionally show bodies below the horizon. Sun symbols are yellow, the Moon is blue, planets are red, stars rendered during daylight are grey, and below-horizon bodies are hollow. Labels favour the brightest bodies and share the available label allowance across the four compass quadrants. The allowance adapts to the plot size, and labels are still suppressed when they would overlap; an unlabeled dot does not mean the body is absent from the catalogue.</w:t>
      </w:r>
    </w:p>
    <w:p>
      <w:pPr>
        <w:pStyle w:val="BodyText"/>
        <w:bidi w:val="0"/>
        <w:rPr/>
      </w:pPr>
      <w:r>
        <w:rPr/>
        <w:t xml:space="preserve">These rankings and the sky plot are planning aids, not commands. Weather, deck obstruction, glare, horizon quality and a navigator's ability to identify a body remain decisive. </w:t>
      </w:r>
      <w:r>
        <w:rPr>
          <w:rStyle w:val="Strong"/>
        </w:rPr>
        <w:t>Create selected sight…</w:t>
      </w:r>
      <w:r>
        <w:rPr/>
        <w:t xml:space="preserve"> transfers the body and planning context to sight entry.</w:t>
      </w:r>
    </w:p>
    <w:p>
      <w:pPr>
        <w:pStyle w:val="Heading2"/>
        <w:bidi w:val="0"/>
        <w:rPr/>
      </w:pPr>
      <w:r>
        <w:rPr/>
        <w:t>9.4 Almanac</w:t>
      </w:r>
    </w:p>
    <w:p>
      <w:pPr>
        <w:pStyle w:val="BodyText"/>
        <w:bidi w:val="0"/>
        <w:rPr/>
      </w:pPr>
      <w:r>
        <w:rPr/>
        <w:t xml:space="preserve">Provides hourly body GHA, SHA, declination, GHA Aries, local hour angle of Aries, Hc and true Zn for the selected position/time context. Longitude is signed east-positive, so local hour angle is </w:t>
      </w:r>
      <w:r>
        <w:rPr>
          <w:rStyle w:val="SourceText"/>
        </w:rPr>
        <w:t>GHA + longitude</w:t>
      </w:r>
      <w:r>
        <w:rPr/>
        <w:t xml:space="preserve">, wrapped to 0–360°. </w:t>
      </w:r>
      <w:r>
        <w:rPr>
          <w:rStyle w:val="Strong"/>
        </w:rPr>
        <w:t>Export CSV…</w:t>
      </w:r>
      <w:r>
        <w:rPr/>
        <w:t xml:space="preserve"> creates the same columns in a portable table for independent checking or a paper working sheet.</w:t>
      </w:r>
    </w:p>
    <w:p>
      <w:pPr>
        <w:pStyle w:val="Heading2"/>
        <w:bidi w:val="0"/>
        <w:rPr/>
      </w:pPr>
      <w:r>
        <w:rPr/>
        <w:t>9.5 Generate Voyage Almanac</w:t>
      </w:r>
    </w:p>
    <w:p>
      <w:pPr>
        <w:pStyle w:val="BodyText"/>
        <w:bidi w:val="0"/>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rPr/>
      </w:pPr>
      <w:r>
        <w:rPr/>
        <w:t>Presets and safety level</w:t>
      </w:r>
    </w:p>
    <w:p>
      <w:pPr>
        <w:pStyle w:val="BodyText"/>
        <w:numPr>
          <w:ilvl w:val="0"/>
          <w:numId w:val="8"/>
        </w:numPr>
        <w:tabs>
          <w:tab w:val="clear" w:pos="1134"/>
          <w:tab w:val="left" w:pos="709" w:leader="none"/>
        </w:tabs>
        <w:bidi w:val="0"/>
        <w:spacing w:before="0" w:after="0"/>
        <w:ind w:hanging="283" w:start="709"/>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rPr/>
      </w:pPr>
      <w:r>
        <w:rPr>
          <w:rStyle w:val="Strong"/>
        </w:rPr>
        <w:t>Custom</w:t>
      </w:r>
      <w:r>
        <w:rPr/>
        <w:t xml:space="preserve"> appears when preset options are changed. </w:t>
      </w:r>
    </w:p>
    <w:p>
      <w:pPr>
        <w:pStyle w:val="BodyText"/>
        <w:bidi w:val="0"/>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rPr/>
      </w:pPr>
      <w:r>
        <w:rPr/>
        <w:t xml:space="preserve">procedures, worked workflow and plotting/record forms. </w:t>
      </w:r>
    </w:p>
    <w:p>
      <w:pPr>
        <w:pStyle w:val="BodyText"/>
        <w:bidi w:val="0"/>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rPr/>
      </w:pPr>
      <w:r>
        <w:rPr/>
        <w:t>Direct and universal reduction tables</w:t>
      </w:r>
    </w:p>
    <w:p>
      <w:pPr>
        <w:pStyle w:val="BodyText"/>
        <w:bidi w:val="0"/>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rPr/>
      </w:pPr>
      <w:r>
        <w:rPr/>
        <w:t>Planning cadence and visual aids</w:t>
      </w:r>
    </w:p>
    <w:p>
      <w:pPr>
        <w:pStyle w:val="BodyText"/>
        <w:bidi w:val="0"/>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rPr/>
      </w:pPr>
      <w:r>
        <w:rPr/>
        <w:t>Coverage</w:t>
      </w:r>
    </w:p>
    <w:p>
      <w:pPr>
        <w:pStyle w:val="BodyText"/>
        <w:bidi w:val="0"/>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rPr/>
      </w:pPr>
      <w:r>
        <w:rPr>
          <w:rStyle w:val="Strong"/>
        </w:rPr>
        <w:t>Global:</w:t>
      </w:r>
      <w:r>
        <w:rPr/>
        <w:t xml:space="preserve"> retains universal ephemeris and uses 0° N, 0° E only as a clearly labelled planning example. </w:t>
      </w:r>
    </w:p>
    <w:p>
      <w:pPr>
        <w:pStyle w:val="Heading3"/>
        <w:bidi w:val="0"/>
        <w:rPr/>
      </w:pPr>
      <w:r>
        <w:rPr/>
        <w:t>Time basis and DUT1</w:t>
      </w:r>
    </w:p>
    <w:p>
      <w:pPr>
        <w:pStyle w:val="BodyText"/>
        <w:bidi w:val="0"/>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rPr/>
      </w:pPr>
      <w:r>
        <w:rPr/>
        <w:t>Preview, page count and output</w:t>
      </w:r>
    </w:p>
    <w:p>
      <w:pPr>
        <w:pStyle w:val="BodyText"/>
        <w:bidi w:val="0"/>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rPr/>
      </w:pPr>
      <w:r>
        <w:rPr/>
        <w:t>9.6 Time-tagged moving observer</w:t>
      </w:r>
    </w:p>
    <w:p>
      <w:pPr>
        <w:pStyle w:val="BodyText"/>
        <w:bidi w:val="0"/>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rPr/>
      </w:pPr>
      <w:bookmarkStart w:id="15" w:name="running"/>
      <w:bookmarkEnd w:id="15"/>
      <w:r>
        <w:rPr/>
        <w:t>10. Running fixes and moving observers</w:t>
      </w:r>
    </w:p>
    <w:p>
      <w:pPr>
        <w:pStyle w:val="BodyText"/>
        <w:bidi w:val="0"/>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rPr/>
      </w:pPr>
      <w:r>
        <w:rPr/>
        <w:t>10.1 Time-tagged numerical fix</w:t>
      </w:r>
    </w:p>
    <w:p>
      <w:pPr>
        <w:pStyle w:val="BodyText"/>
        <w:numPr>
          <w:ilvl w:val="0"/>
          <w:numId w:val="11"/>
        </w:numPr>
        <w:tabs>
          <w:tab w:val="clear" w:pos="1134"/>
          <w:tab w:val="left" w:pos="709" w:leader="none"/>
        </w:tabs>
        <w:bidi w:val="0"/>
        <w:spacing w:before="0" w:after="0"/>
        <w:ind w:hanging="283" w:start="709"/>
        <w:rPr/>
      </w:pPr>
      <w:r>
        <w:rPr/>
        <w:t xml:space="preserve">Preserve each observation's actual timestamp. </w:t>
      </w:r>
    </w:p>
    <w:p>
      <w:pPr>
        <w:pStyle w:val="BodyText"/>
        <w:numPr>
          <w:ilvl w:val="0"/>
          <w:numId w:val="11"/>
        </w:numPr>
        <w:tabs>
          <w:tab w:val="clear" w:pos="1134"/>
          <w:tab w:val="left" w:pos="709" w:leader="none"/>
        </w:tabs>
        <w:bidi w:val="0"/>
        <w:spacing w:before="0" w:after="0"/>
        <w:ind w:hanging="283" w:start="709"/>
        <w:rPr/>
      </w:pPr>
      <w:r>
        <w:rPr/>
        <w:t xml:space="preserve">Choose the fix reference epoch, normally the latest observation. </w:t>
      </w:r>
    </w:p>
    <w:p>
      <w:pPr>
        <w:pStyle w:val="BodyText"/>
        <w:numPr>
          <w:ilvl w:val="0"/>
          <w:numId w:val="11"/>
        </w:numPr>
        <w:tabs>
          <w:tab w:val="clear" w:pos="1134"/>
          <w:tab w:val="left" w:pos="709" w:leader="none"/>
        </w:tabs>
        <w:bidi w:val="0"/>
        <w:spacing w:before="0" w:after="0"/>
        <w:ind w:hanging="283" w:start="709"/>
        <w:rPr/>
      </w:pPr>
      <w:r>
        <w:rPr/>
        <w:t xml:space="preserve">Enter the best available true COG and SOG or equivalent displacement model. </w:t>
      </w:r>
    </w:p>
    <w:p>
      <w:pPr>
        <w:pStyle w:val="BodyText"/>
        <w:numPr>
          <w:ilvl w:val="0"/>
          <w:numId w:val="11"/>
        </w:numPr>
        <w:tabs>
          <w:tab w:val="clear" w:pos="1134"/>
          <w:tab w:val="left" w:pos="709" w:leader="none"/>
        </w:tabs>
        <w:bidi w:val="0"/>
        <w:ind w:hanging="283" w:start="709"/>
        <w:rPr/>
      </w:pPr>
      <w:r>
        <w:rPr/>
        <w:t xml:space="preserve">Solve, then examine residuals and whether the assumed motion was credible. </w:t>
      </w:r>
    </w:p>
    <w:p>
      <w:pPr>
        <w:pStyle w:val="BodyText"/>
        <w:bidi w:val="0"/>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rPr/>
      </w:pPr>
      <w:bookmarkStart w:id="16" w:name="analysis"/>
      <w:bookmarkEnd w:id="16"/>
      <w:r>
        <w:rPr/>
        <w:t>11. Sight Sequence Analyzer, noon and Polaris</w:t>
      </w:r>
    </w:p>
    <w:p>
      <w:pPr>
        <w:pStyle w:val="Heading2"/>
        <w:bidi w:val="0"/>
        <w:rPr/>
      </w:pPr>
      <w:r>
        <w:rPr/>
        <w:t>11.1 Sight Sequence Analyzer</w:t>
      </w:r>
    </w:p>
    <w:p>
      <w:pPr>
        <w:pStyle w:val="BodyText"/>
        <w:bidi w:val="0"/>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BodyText"/>
        <w:bidi w:val="0"/>
        <w:rPr/>
      </w:pPr>
      <w:r>
        <w:rPr/>
        <w:t>In stationary mode each sight retains its own saved DR position. In moving observer mode one COG/SOG track is fitted across the selected observations. The analyzer warns when that constant-motion model spans more than 24 hours; split unrelated sessions rather than treating months of observations as one continuous vessel track.</w:t>
      </w:r>
    </w:p>
    <w:p>
      <w:pPr>
        <w:pStyle w:val="Heading2"/>
        <w:bidi w:val="0"/>
        <w:rPr/>
      </w:pPr>
      <w:r>
        <w:rPr/>
        <w:t>11.2 Local apparent noon</w:t>
      </w:r>
    </w:p>
    <w:p>
      <w:pPr>
        <w:pStyle w:val="BodyText"/>
        <w:bidi w:val="0"/>
        <w:rPr/>
      </w:pPr>
      <w:r>
        <w:rPr/>
        <w:t xml:space="preserve">The planner predicts meridian passage by solving for solar local hour angle zero at the time-dependent observer position; it does not merely sample for the highest displayed altitude.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rPr/>
      </w:pPr>
      <w:r>
        <w:rPr/>
        <w:t>11.3 Polaris latitude</w:t>
      </w:r>
    </w:p>
    <w:p>
      <w:pPr>
        <w:pStyle w:val="BodyText"/>
        <w:bidi w:val="0"/>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It displays the predicted Hc and does not offer a solution when Polaris is below the geometric horizon. Polaris is a northern-hemisphere workflow.</w:t>
      </w:r>
    </w:p>
    <w:p>
      <w:pPr>
        <w:pStyle w:val="Heading1"/>
        <w:bidi w:val="0"/>
        <w:ind w:hanging="0" w:start="0" w:end="0"/>
        <w:rPr/>
      </w:pPr>
      <w:bookmarkStart w:id="17" w:name="lunar"/>
      <w:bookmarkEnd w:id="17"/>
      <w:r>
        <w:rPr/>
        <w:t>12. Lunar distance, joint sequences and sextant checking</w:t>
      </w:r>
    </w:p>
    <w:p>
      <w:pPr>
        <w:pStyle w:val="BodyText"/>
        <w:bidi w:val="0"/>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rPr/>
      </w:pPr>
      <w:r>
        <w:rPr/>
        <w:t>For a Moon–Sun calculation, the solver uses the checksum-verified local JPL DE440s kernel when it has already been imported for the eclipse module. A Moon–planet or Moon–star calculation, or any installation without DE440s, uses the bundled analytical ephemeris. The result identifies the ephemeris source used. DE440s is optional for ordinary navigation, no calculation downloads data, and LOLA terrain is unrelated to lunar-distance clearing.</w:t>
      </w:r>
    </w:p>
    <w:p>
      <w:pPr>
        <w:pStyle w:val="BodyText"/>
        <w:bidi w:val="0"/>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rPr/>
      </w:pPr>
      <w:r>
        <w:rPr/>
        <w:t>12.1 What to observe</w:t>
      </w:r>
    </w:p>
    <w:p>
      <w:pPr>
        <w:pStyle w:val="BodyText"/>
        <w:numPr>
          <w:ilvl w:val="0"/>
          <w:numId w:val="12"/>
        </w:numPr>
        <w:tabs>
          <w:tab w:val="clear" w:pos="1134"/>
          <w:tab w:val="left" w:pos="709" w:leader="none"/>
        </w:tabs>
        <w:bidi w:val="0"/>
        <w:spacing w:before="0" w:after="0"/>
        <w:ind w:hanging="283" w:start="709"/>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rPr/>
      </w:pPr>
      <w:r>
        <w:rPr/>
        <w:t xml:space="preserve">The second-body altitude above the horizon. </w:t>
      </w:r>
    </w:p>
    <w:p>
      <w:pPr>
        <w:pStyle w:val="BodyText"/>
        <w:numPr>
          <w:ilvl w:val="0"/>
          <w:numId w:val="12"/>
        </w:numPr>
        <w:tabs>
          <w:tab w:val="clear" w:pos="1134"/>
          <w:tab w:val="left" w:pos="709" w:leader="none"/>
        </w:tabs>
        <w:bidi w:val="0"/>
        <w:ind w:hanging="283" w:start="709"/>
        <w:rPr/>
      </w:pPr>
      <w:r>
        <w:rPr/>
        <w:t xml:space="preserve">The watch time of every reading, plus index error, limb/contact and uncertainty. </w:t>
      </w:r>
    </w:p>
    <w:p>
      <w:pPr>
        <w:pStyle w:val="Heading2"/>
        <w:bidi w:val="0"/>
        <w:rPr/>
      </w:pPr>
      <w:r>
        <w:rPr/>
        <w:t>12.2 Sequential observations</w:t>
      </w:r>
    </w:p>
    <w:p>
      <w:pPr>
        <w:pStyle w:val="BodyText"/>
        <w:bidi w:val="0"/>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rPr/>
      </w:pPr>
      <w:r>
        <w:rPr/>
        <w:t>12.3 Solving</w:t>
      </w:r>
    </w:p>
    <w:p>
      <w:pPr>
        <w:pStyle w:val="BodyText"/>
        <w:numPr>
          <w:ilvl w:val="0"/>
          <w:numId w:val="13"/>
        </w:numPr>
        <w:tabs>
          <w:tab w:val="clear" w:pos="1134"/>
          <w:tab w:val="left" w:pos="709" w:leader="none"/>
        </w:tabs>
        <w:bidi w:val="0"/>
        <w:spacing w:before="0" w:after="0"/>
        <w:ind w:hanging="283" w:start="709"/>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rPr/>
      </w:pPr>
      <w:r>
        <w:rPr/>
        <w:t xml:space="preserve">Select </w:t>
      </w:r>
      <w:r>
        <w:rPr>
          <w:rStyle w:val="Strong"/>
        </w:rPr>
        <w:t>Time</w:t>
      </w:r>
      <w:r>
        <w:rPr/>
        <w:t xml:space="preserve">. Use </w:t>
      </w:r>
      <w:r>
        <w:rPr>
          <w:rStyle w:val="Strong"/>
        </w:rPr>
        <w:t>Results</w:t>
      </w:r>
      <w:r>
        <w:rPr/>
        <w:t xml:space="preserve"> for the operational candidates and </w:t>
      </w:r>
      <w:r>
        <w:rPr>
          <w:rStyle w:val="Strong"/>
        </w:rPr>
        <w:t>Calculations</w:t>
      </w:r>
      <w:r>
        <w:rPr/>
        <w:t xml:space="preserve"> for the complete auditable working. </w:t>
      </w:r>
    </w:p>
    <w:p>
      <w:pPr>
        <w:pStyle w:val="BodyText"/>
        <w:numPr>
          <w:ilvl w:val="0"/>
          <w:numId w:val="13"/>
        </w:numPr>
        <w:tabs>
          <w:tab w:val="clear" w:pos="1134"/>
          <w:tab w:val="left" w:pos="709" w:leader="none"/>
        </w:tabs>
        <w:bidi w:val="0"/>
        <w:ind w:hanging="283" w:start="709"/>
        <w:rPr/>
      </w:pPr>
      <w:r>
        <w:rPr/>
        <w:t xml:space="preserve">Use rough DR, hemisphere, an additional altitude sight or independent evidence to select the physical solution. </w:t>
      </w:r>
    </w:p>
    <w:p>
      <w:pPr>
        <w:pStyle w:val="BodyText"/>
        <w:bidi w:val="0"/>
        <w:rPr/>
      </w:pPr>
      <w:r>
        <w:rPr/>
        <w:t xml:space="preserve">The lunar result window deliberately has two pages. </w:t>
      </w:r>
      <w:r>
        <w:rPr>
          <w:rStyle w:val="Strong"/>
        </w:rPr>
        <w:t>Results</w:t>
      </w:r>
      <w:r>
        <w:rPr/>
        <w:t xml:space="preserve"> is the concise operational view: possible UTC values, watch correction, lunar-distance rate, estimated UTC uncertainty, position candidates and warnings. </w:t>
      </w:r>
      <w:r>
        <w:rPr>
          <w:rStyle w:val="Strong"/>
        </w:rPr>
        <w:t>Calculations</w:t>
      </w:r>
      <w:r>
        <w:rPr/>
        <w:t xml:space="preserve"> preserves the educational and auditable working. In simultaneous mode it shows the raw observations and conventions; index and dip arithmetic; every limb/contact and semidiameter correction; refraction, parallax and corrected altitudes; both direct spherical-triangle formulae with their numerical substitutions; every coarse UTC scan point; every bisection refinement; converged roots; uncertainty components; altitude- circle construction, position candidates and warnings. It records the calculations actually used by the modern solver rather than the former two-endpoint interpolation.</w:t>
      </w:r>
    </w:p>
    <w:p>
      <w:pPr>
        <w:pStyle w:val="BodyText"/>
        <w:bidi w:val="0"/>
        <w:rPr/>
      </w:pPr>
      <w:r>
        <w:rPr/>
        <w:t>Entered one-sigma angle uncertainties are shown separately: they are propagated through the clearing geometry and local lunar-distance rate to estimate UTC uncertainty, not applied as additional corrections.</w:t>
      </w:r>
    </w:p>
    <w:p>
      <w:pPr>
        <w:pStyle w:val="BodyText"/>
        <w:bidi w:val="0"/>
        <w:ind w:hanging="0" w:start="0" w:end="0"/>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rPr/>
      </w:pPr>
      <w:r>
        <w:rPr/>
        <w:t>12.4 Unknown UTC and longitude</w:t>
      </w:r>
    </w:p>
    <w:p>
      <w:pPr>
        <w:pStyle w:val="BodyText"/>
        <w:bidi w:val="0"/>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rPr/>
      </w:pPr>
      <w:r>
        <w:rPr/>
        <w:t>12.5 Joint lunar-sequence estimation</w:t>
      </w:r>
    </w:p>
    <w:p>
      <w:pPr>
        <w:pStyle w:val="BodyText"/>
        <w:bidi w:val="0"/>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rPr/>
      </w:pPr>
      <w:r>
        <w:rPr/>
        <w:t xml:space="preserve">Highlight one of the sights in the main list, then select </w:t>
      </w:r>
      <w:r>
        <w:rPr>
          <w:rStyle w:val="Strong"/>
        </w:rPr>
        <w:t>Lunar Tools… → Lunar sequence</w:t>
      </w:r>
      <w:r>
        <w:rPr/>
        <w:t xml:space="preserve">. The highlighted sight and observations within six hours are initially ticked; adjust the selection so it contains only one watch/session. </w:t>
      </w:r>
      <w:r>
        <w:rPr>
          <w:rStyle w:val="Strong"/>
        </w:rPr>
        <w:t>Select visible sights</w:t>
      </w:r>
      <w:r>
        <w:rPr/>
        <w:t xml:space="preserve"> is an explicit convenience, not an assertion that every visible sight belongs to one session. </w:t>
      </w:r>
    </w:p>
    <w:p>
      <w:pPr>
        <w:pStyle w:val="BodyText"/>
        <w:numPr>
          <w:ilvl w:val="0"/>
          <w:numId w:val="14"/>
        </w:numPr>
        <w:tabs>
          <w:tab w:val="clear" w:pos="1134"/>
          <w:tab w:val="left" w:pos="709" w:leader="none"/>
        </w:tabs>
        <w:bidi w:val="0"/>
        <w:spacing w:before="0" w:after="0"/>
        <w:ind w:hanging="283" w:start="709"/>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rPr/>
      </w:pPr>
      <w:r>
        <w:rPr/>
        <w:t xml:space="preserve">The initial position comes from the earliest selected sight's DR and can be edited or restored with </w:t>
      </w:r>
      <w:r>
        <w:rPr>
          <w:rStyle w:val="Strong"/>
        </w:rPr>
        <w:t>Use earliest selected DR</w:t>
      </w:r>
      <w:r>
        <w:rPr/>
        <w:t xml:space="preserve">. Do not replace a useful DR with 0° N, 0° E: the triple includes two altitude constraints and the position is also the joint solver's convergence seed. </w:t>
      </w:r>
    </w:p>
    <w:p>
      <w:pPr>
        <w:pStyle w:val="BodyText"/>
        <w:numPr>
          <w:ilvl w:val="0"/>
          <w:numId w:val="14"/>
        </w:numPr>
        <w:tabs>
          <w:tab w:val="clear" w:pos="1134"/>
          <w:tab w:val="left" w:pos="709" w:leader="none"/>
        </w:tabs>
        <w:bidi w:val="0"/>
        <w:spacing w:before="0" w:after="0"/>
        <w:ind w:hanging="283" w:start="709"/>
        <w:rPr/>
      </w:pPr>
      <w:r>
        <w:rPr/>
        <w:t xml:space="preserve">Enter a physically justified </w:t>
      </w:r>
      <w:r>
        <w:rPr>
          <w:rStyle w:val="Strong"/>
        </w:rPr>
        <w:t>Additional watch correction search ±</w:t>
      </w:r>
      <w:r>
        <w:rPr/>
        <w:t xml:space="preserve">. Every row already retains its own recorded UTC; this control searches a correction either side of the correction already applied, rather than defining a new observation start time. If the vessel moved over the session, enter true COG and SOG. </w:t>
      </w:r>
    </w:p>
    <w:p>
      <w:pPr>
        <w:pStyle w:val="BodyText"/>
        <w:numPr>
          <w:ilvl w:val="0"/>
          <w:numId w:val="14"/>
        </w:numPr>
        <w:tabs>
          <w:tab w:val="clear" w:pos="1134"/>
          <w:tab w:val="left" w:pos="709" w:leader="none"/>
        </w:tabs>
        <w:bidi w:val="0"/>
        <w:spacing w:before="0" w:after="0"/>
        <w:ind w:hanging="283" w:start="709"/>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rPr/>
      </w:pPr>
      <w:r>
        <w:rPr/>
        <w:t xml:space="preserve">Solve, inspect all competitive candidates, angular and weighted RMS, formal uncertainties and every component residual before applying a watch correction. The bounded multi-start fit runs away from the GUI thread and has progress and cancellation. </w:t>
      </w:r>
    </w:p>
    <w:p>
      <w:pPr>
        <w:pStyle w:val="BodyText"/>
        <w:bidi w:val="0"/>
        <w:rPr/>
      </w:pPr>
      <w:r>
        <w:rPr/>
        <w:t>A sequence is limited to 12 observations spanning no more than 24 hours. These are deliberate session-integrity and fail-safe limits: split a historic archive into the watches during which one clock correction and one motion model were physically meaningful.</w:t>
      </w:r>
    </w:p>
    <w:p>
      <w:pPr>
        <w:pStyle w:val="BodyText"/>
        <w:bidi w:val="0"/>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rPr/>
      </w:pPr>
      <w:r>
        <w:rPr/>
        <w:t>12.6 Lunar pair planner</w:t>
      </w:r>
    </w:p>
    <w:p>
      <w:pPr>
        <w:pStyle w:val="BodyText"/>
        <w:bidi w:val="0"/>
        <w:rPr/>
      </w:pPr>
      <w:r>
        <w:rPr>
          <w:rStyle w:val="Strong"/>
        </w:rPr>
        <w:t>Lunar Tools… → Lunar planner</w:t>
      </w:r>
      <w:r>
        <w:rPr/>
        <w:t xml:space="preserve"> ranks the offline body catalogue for a selected UTC and position. It displays Moon and body altitude, centre separation, distance rate in arcminutes per hour and the approximate time change corresponding to 0.1′ of distance. A small time value means useful time sensitivity. The quality text also penalises hidden/low bodies, awkward sextant angles, very unequal altitudes and faint stars.</w:t>
      </w:r>
    </w:p>
    <w:p>
      <w:pPr>
        <w:pStyle w:val="BodyText"/>
        <w:bidi w:val="0"/>
        <w:rPr/>
      </w:pPr>
      <w:r>
        <w:rPr/>
        <w:t xml:space="preserve">Lunar Tools defaults to </w:t>
      </w:r>
      <w:r>
        <w:rPr>
          <w:rStyle w:val="Strong"/>
        </w:rPr>
        <w:t>Nautical: YYYY-MM-DD, 24-hour</w:t>
      </w:r>
      <w:r>
        <w:rPr/>
        <w:t xml:space="preserve"> UTC entry for an unambiguous cross-platform display. Select </w:t>
      </w:r>
      <w:r>
        <w:rPr>
          <w:rStyle w:val="Strong"/>
        </w:rPr>
        <w:t>OpenCPN / platform format</w:t>
      </w:r>
      <w:r>
        <w:rPr/>
        <w:t xml:space="preserve"> when the native operating-system date/time controls are preferred. Changing presentation preserves the entered instant.</w:t>
      </w:r>
    </w:p>
    <w:p>
      <w:pPr>
        <w:pStyle w:val="BodyText"/>
        <w:bidi w:val="0"/>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rPr/>
      </w:pPr>
      <w:r>
        <w:rPr/>
        <w:t>12.7 Sextant observational checks and correction profiles</w:t>
      </w:r>
    </w:p>
    <w:p>
      <w:pPr>
        <w:pStyle w:val="BodyText"/>
        <w:bidi w:val="0"/>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sextant readings, their uncertainty and any shade/note. The displayed correction is </w:t>
      </w:r>
      <w:r>
        <w:rPr>
          <w:rStyle w:val="Emphasis"/>
        </w:rPr>
        <w:t>predicted minus observed</w:t>
      </w:r>
      <w:r>
        <w:rPr/>
        <w:t>: add it to the raw reading.</w:t>
      </w:r>
    </w:p>
    <w:p>
      <w:pPr>
        <w:pStyle w:val="BodyText"/>
        <w:bidi w:val="0"/>
        <w:rPr/>
      </w:pPr>
      <w:r>
        <w:rPr/>
        <w:t>The current sight index-error default is displayed for comparison but is not applied to this check. Applying a pre-existing correction while measuring the instrument's correction would make the calibration circular.</w:t>
      </w:r>
    </w:p>
    <w:p>
      <w:pPr>
        <w:pStyle w:val="BodyText"/>
        <w:bidi w:val="0"/>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rPr/>
      </w:pPr>
      <w:r>
        <w:rPr>
          <w:rStyle w:val="Strong"/>
        </w:rPr>
        <w:t>Build / save profile</w:t>
      </w:r>
      <w:r>
        <w:rPr/>
        <w:t xml:space="preserve"> groups repeated checks by angular range and stores correction points, uncertainty, repeatability, instrument name and serial number in the plugin configuration. Select a saved profile to display its interpolated correction at the currently entered observed angle.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w:t>
      </w:r>
    </w:p>
    <w:p>
      <w:pPr>
        <w:pStyle w:val="BodyText"/>
        <w:bidi w:val="0"/>
        <w:ind w:hanging="0" w:start="0" w:end="0"/>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rPr/>
      </w:pPr>
      <w:bookmarkStart w:id="18" w:name="horizon"/>
      <w:bookmarkEnd w:id="18"/>
      <w:r>
        <w:rPr/>
        <w:t>13. Sunrise and sunset horizon events</w:t>
      </w:r>
    </w:p>
    <w:p>
      <w:pPr>
        <w:pStyle w:val="BodyText"/>
        <w:bidi w:val="0"/>
        <w:rPr/>
      </w:pPr>
      <w:r>
        <w:rPr/>
        <w:t>The Horizon Event workflow records first upper-limb appearance at sunrise or final upper-limb disappearance at sunset. Timing gives an approximate altitude constraint. An optional bearing adds a rough directional constraint.</w:t>
      </w:r>
    </w:p>
    <w:p>
      <w:pPr>
        <w:pStyle w:val="BodyText"/>
        <w:bidi w:val="0"/>
        <w:rPr/>
      </w:pPr>
      <w:r>
        <w:rPr/>
        <w:t>The UTC observation schedule remains fixed at the top of the dialog. On a short display, scroll only the lower bearing, horizon-condition and result section, so the event date and 24-hour UTC time remain visible.</w:t>
      </w:r>
    </w:p>
    <w:p>
      <w:pPr>
        <w:pStyle w:val="BodyText"/>
        <w:numPr>
          <w:ilvl w:val="0"/>
          <w:numId w:val="15"/>
        </w:numPr>
        <w:tabs>
          <w:tab w:val="clear" w:pos="1134"/>
          <w:tab w:val="left" w:pos="709" w:leader="none"/>
        </w:tabs>
        <w:bidi w:val="0"/>
        <w:spacing w:before="0" w:after="0"/>
        <w:ind w:hanging="283" w:start="709"/>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rPr/>
      </w:pPr>
      <w:r>
        <w:rPr/>
        <w:t xml:space="preserve">Read the estimated result and retain its stated limitations. </w:t>
      </w:r>
    </w:p>
    <w:p>
      <w:pPr>
        <w:pStyle w:val="BodyText"/>
        <w:bidi w:val="0"/>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rPr/>
      </w:pPr>
      <w:bookmarkStart w:id="19" w:name="coastal"/>
      <w:bookmarkEnd w:id="19"/>
      <w:r>
        <w:rPr/>
        <w:t>14. Coastal sextant methods</w:t>
      </w:r>
    </w:p>
    <w:p>
      <w:pPr>
        <w:pStyle w:val="BodyText"/>
        <w:bidi w:val="0"/>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1"/>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rPr/>
      </w:pPr>
      <w:r>
        <w:rPr/>
        <w:t>14.1 Vertical angle and distance</w:t>
      </w:r>
    </w:p>
    <w:p>
      <w:pPr>
        <w:pStyle w:val="BodyText"/>
        <w:bidi w:val="0"/>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BodyText"/>
        <w:bidi w:val="0"/>
        <w:rPr/>
      </w:pPr>
      <w:r>
        <w:rPr/>
        <w:t xml:space="preserve">Observation coordinates and measured angles start blank. Closing the window temporarily retains an unfinished observation; the window says so. Select </w:t>
      </w:r>
      <w:r>
        <w:rPr>
          <w:rStyle w:val="Strong"/>
        </w:rPr>
        <w:t>New / clear observation</w:t>
      </w:r>
      <w:r>
        <w:rPr/>
        <w:t xml:space="preserve"> before a different observation to clear all entries, results and plots and reload the current central index- error and eye-height defaults.</w:t>
      </w:r>
    </w:p>
    <w:p>
      <w:pPr>
        <w:pStyle w:val="BodyText"/>
        <w:bidi w:val="0"/>
        <w:rPr/>
      </w:pPr>
      <w:r>
        <w:rPr/>
        <w:t xml:space="preserve">For a true bearing, magnetic variation and compass deviation are disabled and ignored. For a magnetic compass bearing they remain editable. </w:t>
      </w:r>
      <w:r>
        <w:rPr>
          <w:rStyle w:val="Strong"/>
        </w:rPr>
        <w:t>Use WMM at current boat/time</w:t>
      </w:r>
      <w:r>
        <w:rPr/>
        <w:t xml:space="preserve"> obtains a clearly labelled estimate for the current boat position and UTC; compass deviation always remains a manual instrument/vessel input.</w:t>
      </w:r>
    </w:p>
    <w:p>
      <w:pPr>
        <w:pStyle w:val="Heading2"/>
        <w:bidi w:val="0"/>
        <w:rPr/>
      </w:pPr>
      <w:r>
        <w:rPr/>
        <w:t>14.2 Horizontal sextant angles</w:t>
      </w:r>
    </w:p>
    <w:p>
      <w:pPr>
        <w:pStyle w:val="BodyText"/>
        <w:bidi w:val="0"/>
        <w:rPr/>
      </w:pPr>
      <w:r>
        <w:rPr/>
        <w:t xml:space="preserve">Select </w:t>
      </w:r>
      <w:r>
        <w:rPr>
          <w:rStyle w:val="Strong"/>
        </w:rPr>
        <w:t>Horizontal angles / fix</w:t>
      </w:r>
      <w:r>
        <w:rPr/>
        <w:t xml:space="preserve">. Enter three charted objects in left–centre–right visual order and the included left-centre and centre-right measurements. Landmark coordinates and the two measurements start blank so plausible-looking defaults cannot be mistaken for observations. The central sextant index-error default is applied to both angle measurements and remains editable. Enter uncertainty and an approximate vessel position to choose among ambiguous solutions. Select </w:t>
      </w:r>
      <w:r>
        <w:rPr>
          <w:rStyle w:val="Strong"/>
        </w:rPr>
        <w:t>Solve and plot HSA fix</w:t>
      </w:r>
      <w:r>
        <w:rPr/>
        <w:t>.</w:t>
      </w:r>
    </w:p>
    <w:p>
      <w:pPr>
        <w:pStyle w:val="BodyText"/>
        <w:bidi w:val="0"/>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rPr/>
      </w:pPr>
      <w:bookmarkStart w:id="20" w:name="eclipses"/>
      <w:bookmarkEnd w:id="20"/>
      <w:r>
        <w:rPr/>
        <w:t>15. Offline solar-eclipse planner</w:t>
      </w:r>
    </w:p>
    <w:p>
      <w:pPr>
        <w:pStyle w:val="BodyText"/>
        <w:bidi w:val="0"/>
        <w:rPr/>
      </w:pPr>
      <w:r>
        <w:rPr/>
        <w:t>The eclipse planner is a separate specialist module within the plugin. It uses a locally installed JPL DE440s ephemeris to search events and calculate geometry without network access. The data can be downloaded on an explicit user request or imported from a local copy.</w:t>
      </w:r>
    </w:p>
    <w:p>
      <w:pPr>
        <w:pStyle w:val="Heading2"/>
        <w:bidi w:val="0"/>
        <w:rPr/>
      </w:pPr>
      <w:r>
        <w:rPr/>
        <w:t>15.1 Data</w:t>
      </w:r>
    </w:p>
    <w:p>
      <w:pPr>
        <w:pStyle w:val="BodyText"/>
        <w:numPr>
          <w:ilvl w:val="0"/>
          <w:numId w:val="16"/>
        </w:numPr>
        <w:tabs>
          <w:tab w:val="clear" w:pos="1134"/>
          <w:tab w:val="left" w:pos="709" w:leader="none"/>
        </w:tabs>
        <w:bidi w:val="0"/>
        <w:spacing w:before="0" w:after="0"/>
        <w:ind w:hanging="283" w:start="709"/>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rPr/>
      </w:pPr>
      <w:r>
        <w:rPr>
          <w:rStyle w:val="Strong"/>
        </w:rPr>
        <w:t>LOLA pack:</w:t>
      </w:r>
      <w:r>
        <w:rPr/>
        <w:t xml:space="preserve"> optional lunar-topography refinement of contact timing; not required for ordinary eclipse use. </w:t>
      </w:r>
    </w:p>
    <w:p>
      <w:pPr>
        <w:pStyle w:val="BodyText"/>
        <w:bidi w:val="0"/>
        <w:rPr/>
      </w:pPr>
      <w:r>
        <w:rPr/>
        <w:t xml:space="preserve">Select </w:t>
      </w:r>
      <w:r>
        <w:rPr>
          <w:rStyle w:val="Strong"/>
        </w:rPr>
        <w:t>Download and install DE440s… (31.2 MiB)</w:t>
      </w:r>
      <w:r>
        <w:rPr/>
        <w:t xml:space="preserve"> for the base eclipse data. The download is staged, checked for its exact size and SHA-256 digest, inspected for the expected SPK structure and then installed atomically. If a source fails, the plugin tries another trusted project or NASA/JPL source. </w:t>
      </w:r>
      <w:r>
        <w:rPr>
          <w:rStyle w:val="Strong"/>
        </w:rPr>
        <w:t>Import DE440s…</w:t>
      </w:r>
      <w:r>
        <w:rPr/>
        <w:t xml:space="preserve"> applies the same verification and safe-installation process to a local file.</w:t>
      </w:r>
    </w:p>
    <w:p>
      <w:pPr>
        <w:pStyle w:val="BodyText"/>
        <w:bidi w:val="0"/>
        <w:rPr/>
      </w:pPr>
      <w:r>
        <w:rPr>
          <w:rStyle w:val="Strong"/>
        </w:rPr>
        <w:t>Optional lunar data…</w:t>
      </w:r>
      <w:r>
        <w:rPr/>
        <w:t xml:space="preserve"> opens a separate explanation and separate download/import controls for the 12.3 MiB lunar-orientation kernel and the 506 MiB LOLA terrain pack. Neither is downloaded when DE440s is installed. If LOLA is selected without lunar orientation already installed, the plugin shows the combined download and temporary disk-space requirement and asks for confirmation before downloading either file. Downloads can be cancelled; a partial or unverified file is never installed.</w:t>
      </w:r>
    </w:p>
    <w:p>
      <w:pPr>
        <w:pStyle w:val="Heading2"/>
        <w:bidi w:val="0"/>
        <w:rPr/>
      </w:pPr>
      <w:r>
        <w:rPr/>
        <w:t>15.2 Find and plot an eclipse</w:t>
      </w:r>
    </w:p>
    <w:p>
      <w:pPr>
        <w:pStyle w:val="BodyText"/>
        <w:numPr>
          <w:ilvl w:val="0"/>
          <w:numId w:val="17"/>
        </w:numPr>
        <w:tabs>
          <w:tab w:val="clear" w:pos="1134"/>
          <w:tab w:val="left" w:pos="709" w:leader="none"/>
        </w:tabs>
        <w:bidi w:val="0"/>
        <w:spacing w:before="0" w:after="0"/>
        <w:ind w:hanging="283" w:start="709"/>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rPr/>
      </w:pPr>
      <w:r>
        <w:rPr/>
        <w:t xml:space="preserve">Enable LOLA contact refinement only when the optional data is installed and its extra detail is wanted. </w:t>
      </w:r>
    </w:p>
    <w:p>
      <w:pPr>
        <w:pStyle w:val="BodyText"/>
        <w:bidi w:val="0"/>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rPr/>
      </w:pPr>
      <w:bookmarkStart w:id="21" w:name="troubleshooting"/>
      <w:bookmarkEnd w:id="21"/>
      <w:r>
        <w:rPr/>
        <w:t>16. Troubleshooting and validation</w:t>
      </w:r>
    </w:p>
    <w:tbl>
      <w:tblPr>
        <w:tblW w:w="9750" w:type="dxa"/>
        <w:jc w:val="start"/>
        <w:tblInd w:w="0" w:type="dxa"/>
        <w:tblLayout w:type="fixed"/>
        <w:tblCellMar>
          <w:top w:w="28" w:type="dxa"/>
          <w:start w:w="28" w:type="dxa"/>
          <w:bottom w:w="28" w:type="dxa"/>
          <w:end w:w="28" w:type="dxa"/>
        </w:tblCellMar>
      </w:tblPr>
      <w:tblGrid>
        <w:gridCol w:w="2970"/>
        <w:gridCol w:w="6780"/>
      </w:tblGrid>
      <w:tr>
        <w:trPr/>
        <w:tc>
          <w:tcPr>
            <w:tcW w:w="2970" w:type="dxa"/>
            <w:tcBorders/>
            <w:vAlign w:val="center"/>
          </w:tcPr>
          <w:p>
            <w:pPr>
              <w:pStyle w:val="TableHeading"/>
              <w:suppressLineNumbers/>
              <w:shd w:fill="17365D" w:val="clear"/>
              <w:bidi w:val="0"/>
              <w:spacing w:before="0" w:after="283"/>
              <w:jc w:val="start"/>
              <w:rPr/>
            </w:pPr>
            <w:r>
              <w:rPr/>
              <w:t>Symptom</w:t>
            </w:r>
          </w:p>
        </w:tc>
        <w:tc>
          <w:tcPr>
            <w:tcW w:w="6780" w:type="dxa"/>
            <w:tcBorders/>
            <w:vAlign w:val="center"/>
          </w:tcPr>
          <w:p>
            <w:pPr>
              <w:pStyle w:val="TableHeading"/>
              <w:suppressLineNumbers/>
              <w:shd w:fill="17365D" w:val="clear"/>
              <w:bidi w:val="0"/>
              <w:spacing w:before="0" w:after="283"/>
              <w:jc w:val="start"/>
              <w:rPr/>
            </w:pPr>
            <w:r>
              <w:rPr/>
              <w:t>Checks</w:t>
            </w:r>
          </w:p>
        </w:tc>
      </w:tr>
      <w:tr>
        <w:trPr/>
        <w:tc>
          <w:tcPr>
            <w:tcW w:w="2970" w:type="dxa"/>
            <w:tcBorders/>
            <w:vAlign w:val="center"/>
          </w:tcPr>
          <w:p>
            <w:pPr>
              <w:pStyle w:val="TableContents"/>
              <w:bidi w:val="0"/>
              <w:spacing w:before="0" w:after="283"/>
              <w:rPr/>
            </w:pPr>
            <w:r>
              <w:rPr/>
              <w:t>No COP is visible</w:t>
            </w:r>
          </w:p>
        </w:tc>
        <w:tc>
          <w:tcPr>
            <w:tcW w:w="6780" w:type="dxa"/>
            <w:tcBorders/>
            <w:vAlign w:val="center"/>
          </w:tcPr>
          <w:p>
            <w:pPr>
              <w:pStyle w:val="TableContents"/>
              <w:bidi w:val="0"/>
              <w:spacing w:before="0" w:after="283"/>
              <w:rPr/>
            </w:pPr>
            <w:r>
              <w:rPr/>
              <w:t>Confirm the eye icon is enabled; zoom out; check UTC/date, body, Hs and limb; increase plotted certainty temporarily; verify the circle is not far from the current viewport.</w:t>
            </w:r>
          </w:p>
        </w:tc>
      </w:tr>
      <w:tr>
        <w:trPr/>
        <w:tc>
          <w:tcPr>
            <w:tcW w:w="2970" w:type="dxa"/>
            <w:tcBorders/>
            <w:vAlign w:val="center"/>
          </w:tcPr>
          <w:p>
            <w:pPr>
              <w:pStyle w:val="TableContents"/>
              <w:bidi w:val="0"/>
              <w:spacing w:before="0" w:after="283"/>
              <w:rPr/>
            </w:pPr>
            <w:r>
              <w:rPr/>
              <w:t>Hc or Zn is implausible</w:t>
            </w:r>
          </w:p>
        </w:tc>
        <w:tc>
          <w:tcPr>
            <w:tcW w:w="6780" w:type="dxa"/>
            <w:tcBorders/>
            <w:vAlign w:val="center"/>
          </w:tcPr>
          <w:p>
            <w:pPr>
              <w:pStyle w:val="TableContents"/>
              <w:bidi w:val="0"/>
              <w:spacing w:before="0" w:after="283"/>
              <w:rPr/>
            </w:pPr>
            <w:r>
              <w:rPr/>
              <w:t>Check AP/DR latitude and longitude signs, UTC conversion, selected body, and whether “boat position” moved after the sight.</w:t>
            </w:r>
          </w:p>
        </w:tc>
      </w:tr>
      <w:tr>
        <w:trPr/>
        <w:tc>
          <w:tcPr>
            <w:tcW w:w="2970" w:type="dxa"/>
            <w:tcBorders/>
            <w:vAlign w:val="center"/>
          </w:tcPr>
          <w:p>
            <w:pPr>
              <w:pStyle w:val="TableContents"/>
              <w:bidi w:val="0"/>
              <w:spacing w:before="0" w:after="283"/>
              <w:rPr/>
            </w:pPr>
            <w:r>
              <w:rPr/>
              <w:t>Intercept is enormous</w:t>
            </w:r>
          </w:p>
        </w:tc>
        <w:tc>
          <w:tcPr>
            <w:tcW w:w="6780" w:type="dxa"/>
            <w:tcBorders/>
            <w:vAlign w:val="center"/>
          </w:tcPr>
          <w:p>
            <w:pPr>
              <w:pStyle w:val="TableContents"/>
              <w:bidi w:val="0"/>
              <w:spacing w:before="0" w:after="283"/>
              <w:rPr/>
            </w:pPr>
            <w:r>
              <w:rPr/>
              <w:t>Check degrees/minutes entry, west/east longitude, upper/lower limb, time zone/date rollover and double-applied clock correction.</w:t>
            </w:r>
          </w:p>
        </w:tc>
      </w:tr>
      <w:tr>
        <w:trPr/>
        <w:tc>
          <w:tcPr>
            <w:tcW w:w="2970" w:type="dxa"/>
            <w:tcBorders/>
            <w:vAlign w:val="center"/>
          </w:tcPr>
          <w:p>
            <w:pPr>
              <w:pStyle w:val="TableContents"/>
              <w:bidi w:val="0"/>
              <w:spacing w:before="0" w:after="283"/>
              <w:rPr/>
            </w:pPr>
            <w:r>
              <w:rPr/>
              <w:t>Sunrise/sunset differs by about an hour</w:t>
            </w:r>
          </w:p>
        </w:tc>
        <w:tc>
          <w:tcPr>
            <w:tcW w:w="6780" w:type="dxa"/>
            <w:tcBorders/>
            <w:vAlign w:val="center"/>
          </w:tcPr>
          <w:p>
            <w:pPr>
              <w:pStyle w:val="TableContents"/>
              <w:bidi w:val="0"/>
              <w:spacing w:before="0" w:after="283"/>
              <w:rPr/>
            </w:pPr>
            <w:r>
              <w:rPr/>
              <w:t>Distinguish UTC from local civil time and daylight-saving time. Verify the planner's independent entry-time and display-time selectors.</w:t>
            </w:r>
          </w:p>
        </w:tc>
      </w:tr>
      <w:tr>
        <w:trPr/>
        <w:tc>
          <w:tcPr>
            <w:tcW w:w="2970" w:type="dxa"/>
            <w:tcBorders/>
            <w:vAlign w:val="center"/>
          </w:tcPr>
          <w:p>
            <w:pPr>
              <w:pStyle w:val="TableContents"/>
              <w:bidi w:val="0"/>
              <w:spacing w:before="0" w:after="283"/>
              <w:rPr/>
            </w:pPr>
            <w:r>
              <w:rPr/>
              <w:t>Planner or Lunar Tools date appears in an unexpected order or uses AM/PM</w:t>
            </w:r>
          </w:p>
        </w:tc>
        <w:tc>
          <w:tcPr>
            <w:tcW w:w="6780" w:type="dxa"/>
            <w:tcBorders/>
            <w:vAlign w:val="center"/>
          </w:tcPr>
          <w:p>
            <w:pPr>
              <w:pStyle w:val="TableContents"/>
              <w:bidi w:val="0"/>
              <w:spacing w:before="0" w:after="283"/>
              <w:rPr/>
            </w:pPr>
            <w:r>
              <w:rPr/>
              <w:t xml:space="preserve">Select </w:t>
            </w:r>
            <w:r>
              <w:rPr>
                <w:rStyle w:val="Strong"/>
              </w:rPr>
              <w:t>Nautical: YYYY-MM-DD, 24-hour</w:t>
            </w:r>
            <w:r>
              <w:rPr/>
              <w:t>. The alternative OpenCPN/platform format intentionally follows the native operating-system controls.</w:t>
            </w:r>
          </w:p>
        </w:tc>
      </w:tr>
      <w:tr>
        <w:trPr/>
        <w:tc>
          <w:tcPr>
            <w:tcW w:w="2970" w:type="dxa"/>
            <w:tcBorders/>
            <w:vAlign w:val="center"/>
          </w:tcPr>
          <w:p>
            <w:pPr>
              <w:pStyle w:val="TableContents"/>
              <w:bidi w:val="0"/>
              <w:spacing w:before="0" w:after="283"/>
              <w:rPr/>
            </w:pPr>
            <w:r>
              <w:rPr/>
              <w:t>Editing a live position or “Now” time stops following it</w:t>
            </w:r>
          </w:p>
        </w:tc>
        <w:tc>
          <w:tcPr>
            <w:tcW w:w="6780" w:type="dxa"/>
            <w:tcBorders/>
            <w:vAlign w:val="center"/>
          </w:tcPr>
          <w:p>
            <w:pPr>
              <w:pStyle w:val="TableContents"/>
              <w:bidi w:val="0"/>
              <w:spacing w:before="0" w:after="283"/>
              <w:rPr/>
            </w:pPr>
            <w:r>
              <w:rPr/>
              <w:t>This is intentional: a direct edit changes that source to Manual so an automatic update cannot immediately overwrite the entered value. Reselect the live source to follow it again.</w:t>
            </w:r>
          </w:p>
        </w:tc>
      </w:tr>
      <w:tr>
        <w:trPr/>
        <w:tc>
          <w:tcPr>
            <w:tcW w:w="2970" w:type="dxa"/>
            <w:tcBorders/>
            <w:vAlign w:val="center"/>
          </w:tcPr>
          <w:p>
            <w:pPr>
              <w:pStyle w:val="TableContents"/>
              <w:bidi w:val="0"/>
              <w:spacing w:before="0" w:after="283"/>
              <w:rPr/>
            </w:pPr>
            <w:r>
              <w:rPr/>
              <w:t>A body dot has no sky-plot label</w:t>
            </w:r>
          </w:p>
        </w:tc>
        <w:tc>
          <w:tcPr>
            <w:tcW w:w="6780" w:type="dxa"/>
            <w:tcBorders/>
            <w:vAlign w:val="center"/>
          </w:tcPr>
          <w:p>
            <w:pPr>
              <w:pStyle w:val="TableContents"/>
              <w:bidi w:val="0"/>
              <w:spacing w:before="0" w:after="283"/>
              <w:rPr/>
            </w:pPr>
            <w:r>
              <w:rPr/>
              <w:t>Labels favour bright bodies, are shared across compass quadrants and are suppressed when they would overlap. Enlarge the planner or use the sortable body table to identify and inspect every listed body.</w:t>
            </w:r>
          </w:p>
        </w:tc>
      </w:tr>
      <w:tr>
        <w:trPr/>
        <w:tc>
          <w:tcPr>
            <w:tcW w:w="2970" w:type="dxa"/>
            <w:tcBorders/>
            <w:vAlign w:val="center"/>
          </w:tcPr>
          <w:p>
            <w:pPr>
              <w:pStyle w:val="TableContents"/>
              <w:bidi w:val="0"/>
              <w:spacing w:before="0" w:after="283"/>
              <w:rPr/>
            </w:pPr>
            <w:r>
              <w:rPr/>
              <w:t>A body is listed but absent from the recommended pairs or triads</w:t>
            </w:r>
          </w:p>
        </w:tc>
        <w:tc>
          <w:tcPr>
            <w:tcW w:w="6780" w:type="dxa"/>
            <w:tcBorders/>
            <w:vAlign w:val="center"/>
          </w:tcPr>
          <w:p>
            <w:pPr>
              <w:pStyle w:val="TableContents"/>
              <w:bidi w:val="0"/>
              <w:spacing w:before="0" w:after="283"/>
              <w:rPr/>
            </w:pPr>
            <w:r>
              <w:rPr/>
              <w:t xml:space="preserve">Check </w:t>
            </w:r>
            <w:r>
              <w:rPr>
                <w:rStyle w:val="Strong"/>
              </w:rPr>
              <w:t>Limit recommendations by Hc</w:t>
            </w:r>
            <w:r>
              <w:rPr/>
              <w:t xml:space="preserve"> and its preferred minimum and maximum. Bodies outside the range remain available in the table but are deliberately excluded from recommendations while the limit is enabled.</w:t>
            </w:r>
          </w:p>
        </w:tc>
      </w:tr>
      <w:tr>
        <w:trPr/>
        <w:tc>
          <w:tcPr>
            <w:tcW w:w="2970" w:type="dxa"/>
            <w:tcBorders/>
            <w:vAlign w:val="center"/>
          </w:tcPr>
          <w:p>
            <w:pPr>
              <w:pStyle w:val="TableContents"/>
              <w:bidi w:val="0"/>
              <w:spacing w:before="0" w:after="283"/>
              <w:rPr/>
            </w:pPr>
            <w:r>
              <w:rPr/>
              <w:t>An invalid planner date or time leaves no results</w:t>
            </w:r>
          </w:p>
        </w:tc>
        <w:tc>
          <w:tcPr>
            <w:tcW w:w="6780" w:type="dxa"/>
            <w:tcBorders/>
            <w:vAlign w:val="center"/>
          </w:tcPr>
          <w:p>
            <w:pPr>
              <w:pStyle w:val="TableContents"/>
              <w:bidi w:val="0"/>
              <w:spacing w:before="0" w:after="283"/>
              <w:rPr/>
            </w:pPr>
            <w:r>
              <w:rPr/>
              <w:t>This is intentional: the plugin clears previously calculated events, bodies, almanac and helper results so stale output cannot be mistaken for the invalid planning context. Correct the entry using YYYY-MM-DD and HH:MM:SS.</w:t>
            </w:r>
          </w:p>
        </w:tc>
      </w:tr>
      <w:tr>
        <w:trPr/>
        <w:tc>
          <w:tcPr>
            <w:tcW w:w="2970" w:type="dxa"/>
            <w:tcBorders/>
            <w:vAlign w:val="center"/>
          </w:tcPr>
          <w:p>
            <w:pPr>
              <w:pStyle w:val="TableContents"/>
              <w:bidi w:val="0"/>
              <w:spacing w:before="0" w:after="283"/>
              <w:rPr/>
            </w:pPr>
            <w:r>
              <w:rPr/>
              <w:t>GNSS UTC unavailable</w:t>
            </w:r>
          </w:p>
        </w:tc>
        <w:tc>
          <w:tcPr>
            <w:tcW w:w="6780" w:type="dxa"/>
            <w:tcBorders/>
            <w:vAlign w:val="center"/>
          </w:tcPr>
          <w:p>
            <w:pPr>
              <w:pStyle w:val="TableContents"/>
              <w:bidi w:val="0"/>
              <w:spacing w:before="0" w:after="283"/>
              <w:rPr/>
            </w:pPr>
            <w:r>
              <w:rPr/>
              <w:t>Confirm a valid NMEA RMC or ZDA sentence is reaching OpenCPN. The plugin does not infer GNSS time from position alone.</w:t>
            </w:r>
          </w:p>
        </w:tc>
      </w:tr>
      <w:tr>
        <w:trPr/>
        <w:tc>
          <w:tcPr>
            <w:tcW w:w="2970" w:type="dxa"/>
            <w:tcBorders/>
            <w:vAlign w:val="center"/>
          </w:tcPr>
          <w:p>
            <w:pPr>
              <w:pStyle w:val="TableContents"/>
              <w:bidi w:val="0"/>
              <w:spacing w:before="0" w:after="283"/>
              <w:rPr/>
            </w:pPr>
            <w:r>
              <w:rPr/>
              <w:t>Chrony status unavailable</w:t>
            </w:r>
          </w:p>
        </w:tc>
        <w:tc>
          <w:tcPr>
            <w:tcW w:w="6780" w:type="dxa"/>
            <w:tcBorders/>
            <w:vAlign w:val="center"/>
          </w:tcPr>
          <w:p>
            <w:pPr>
              <w:pStyle w:val="TableContents"/>
              <w:bidi w:val="0"/>
              <w:spacing w:before="0" w:after="283"/>
              <w:rPr/>
            </w:pPr>
            <w:r>
              <w:rPr/>
              <w:t>The computer may use another synchronisation service, chrony may not be installed, or its query interface may be unavailable. UTC display still uses the system clock.</w:t>
            </w:r>
          </w:p>
        </w:tc>
      </w:tr>
      <w:tr>
        <w:trPr/>
        <w:tc>
          <w:tcPr>
            <w:tcW w:w="2970" w:type="dxa"/>
            <w:tcBorders/>
            <w:vAlign w:val="center"/>
          </w:tcPr>
          <w:p>
            <w:pPr>
              <w:pStyle w:val="TableContents"/>
              <w:bidi w:val="0"/>
              <w:spacing w:before="0" w:after="283"/>
              <w:rPr/>
            </w:pPr>
            <w:r>
              <w:rPr/>
              <w:t>Lunar solver finds several times</w:t>
            </w:r>
          </w:p>
        </w:tc>
        <w:tc>
          <w:tcPr>
            <w:tcW w:w="6780" w:type="dxa"/>
            <w:tcBorders/>
            <w:vAlign w:val="center"/>
          </w:tcPr>
          <w:p>
            <w:pPr>
              <w:pStyle w:val="TableContents"/>
              <w:bidi w:val="0"/>
              <w:spacing w:before="0" w:after="283"/>
              <w:rPr/>
            </w:pPr>
            <w:r>
              <w:rPr/>
              <w:t>Narrow the search only when justified; check contact/limbs and altitudes; use DR/hemisphere or another sight to resolve candidates.</w:t>
            </w:r>
          </w:p>
        </w:tc>
      </w:tr>
      <w:tr>
        <w:trPr/>
        <w:tc>
          <w:tcPr>
            <w:tcW w:w="2970" w:type="dxa"/>
            <w:tcBorders/>
            <w:vAlign w:val="center"/>
          </w:tcPr>
          <w:p>
            <w:pPr>
              <w:pStyle w:val="TableContents"/>
              <w:bidi w:val="0"/>
              <w:spacing w:before="0" w:after="283"/>
              <w:rPr/>
            </w:pPr>
            <w:r>
              <w:rPr/>
              <w:t>Lunar solution is unstable</w:t>
            </w:r>
          </w:p>
        </w:tc>
        <w:tc>
          <w:tcPr>
            <w:tcW w:w="6780" w:type="dxa"/>
            <w:tcBorders/>
            <w:vAlign w:val="center"/>
          </w:tcPr>
          <w:p>
            <w:pPr>
              <w:pStyle w:val="TableContents"/>
              <w:bidi w:val="0"/>
              <w:spacing w:before="0" w:after="283"/>
              <w:rPr/>
            </w:pPr>
            <w:r>
              <w:rPr/>
              <w:t>Review distance and altitude uncertainties, sextant side/index error, body geometry, separate timestamps and vessel motion.</w:t>
            </w:r>
          </w:p>
        </w:tc>
      </w:tr>
      <w:tr>
        <w:trPr/>
        <w:tc>
          <w:tcPr>
            <w:tcW w:w="2970" w:type="dxa"/>
            <w:tcBorders/>
            <w:vAlign w:val="center"/>
          </w:tcPr>
          <w:p>
            <w:pPr>
              <w:pStyle w:val="TableContents"/>
              <w:bidi w:val="0"/>
              <w:spacing w:before="0" w:after="283"/>
              <w:rPr/>
            </w:pPr>
            <w:r>
              <w:rPr/>
              <w:t>Joint lunar solution has alternates</w:t>
            </w:r>
          </w:p>
        </w:tc>
        <w:tc>
          <w:tcPr>
            <w:tcW w:w="6780" w:type="dxa"/>
            <w:tcBorders/>
            <w:vAlign w:val="center"/>
          </w:tcPr>
          <w:p>
            <w:pPr>
              <w:pStyle w:val="TableContents"/>
              <w:bidi w:val="0"/>
              <w:spacing w:before="0" w:after="283"/>
              <w:rPr/>
            </w:pPr>
            <w:r>
              <w:rPr/>
              <w:t>Do not choose by RMS alone. Add observations with different bodies/geometry, narrow the time range only from independent evidence, and compare the candidate positions with DR or known hemisphere.</w:t>
            </w:r>
          </w:p>
        </w:tc>
      </w:tr>
      <w:tr>
        <w:trPr/>
        <w:tc>
          <w:tcPr>
            <w:tcW w:w="2970" w:type="dxa"/>
            <w:tcBorders/>
            <w:vAlign w:val="center"/>
          </w:tcPr>
          <w:p>
            <w:pPr>
              <w:pStyle w:val="TableContents"/>
              <w:bidi w:val="0"/>
              <w:spacing w:before="0" w:after="283"/>
              <w:rPr/>
            </w:pPr>
            <w:r>
              <w:rPr/>
              <w:t>Joint lunar residual is flagged</w:t>
            </w:r>
          </w:p>
        </w:tc>
        <w:tc>
          <w:tcPr>
            <w:tcW w:w="6780" w:type="dxa"/>
            <w:tcBorders/>
            <w:vAlign w:val="center"/>
          </w:tcPr>
          <w:p>
            <w:pPr>
              <w:pStyle w:val="TableContents"/>
              <w:bidi w:val="0"/>
              <w:spacing w:before="0" w:after="283"/>
              <w:rPr/>
            </w:pPr>
            <w:r>
              <w:rPr/>
              <w:t>Check transcription, contact/limb, individual timestamps, uncertainty and conditions. Robust mode retains the reading; investigate before excluding it from a new solution.</w:t>
            </w:r>
          </w:p>
        </w:tc>
      </w:tr>
      <w:tr>
        <w:trPr/>
        <w:tc>
          <w:tcPr>
            <w:tcW w:w="2970" w:type="dxa"/>
            <w:tcBorders/>
            <w:vAlign w:val="center"/>
          </w:tcPr>
          <w:p>
            <w:pPr>
              <w:pStyle w:val="TableContents"/>
              <w:bidi w:val="0"/>
              <w:spacing w:before="0" w:after="283"/>
              <w:rPr/>
            </w:pPr>
            <w:r>
              <w:rPr/>
              <w:t>Sextant check predicts “unavailable”</w:t>
            </w:r>
          </w:p>
        </w:tc>
        <w:tc>
          <w:tcPr>
            <w:tcW w:w="6780" w:type="dxa"/>
            <w:tcBorders/>
            <w:vAlign w:val="center"/>
          </w:tcPr>
          <w:p>
            <w:pPr>
              <w:pStyle w:val="TableContents"/>
              <w:bidi w:val="0"/>
              <w:spacing w:before="0" w:after="283"/>
              <w:rPr/>
            </w:pPr>
            <w:r>
              <w:rPr/>
              <w:t>One body is below the usable horizon, the bodies are identical, or the entered UTC/position is wrong. Select another pair/time and check UTC rather than local civil time.</w:t>
            </w:r>
          </w:p>
        </w:tc>
      </w:tr>
      <w:tr>
        <w:trPr/>
        <w:tc>
          <w:tcPr>
            <w:tcW w:w="2970" w:type="dxa"/>
            <w:tcBorders/>
            <w:vAlign w:val="center"/>
          </w:tcPr>
          <w:p>
            <w:pPr>
              <w:pStyle w:val="TableContents"/>
              <w:bidi w:val="0"/>
              <w:spacing w:before="0" w:after="283"/>
              <w:rPr/>
            </w:pPr>
            <w:r>
              <w:rPr/>
              <w:t>Correction profile varies unexpectedly</w:t>
            </w:r>
          </w:p>
        </w:tc>
        <w:tc>
          <w:tcPr>
            <w:tcW w:w="6780" w:type="dxa"/>
            <w:tcBorders/>
            <w:vAlign w:val="center"/>
          </w:tcPr>
          <w:p>
            <w:pPr>
              <w:pStyle w:val="TableContents"/>
              <w:bidi w:val="0"/>
              <w:spacing w:before="0" w:after="283"/>
              <w:rPr/>
            </w:pPr>
            <w:r>
              <w:rPr/>
              <w:t>Repeat the check, use similar-altitude star pairs, keep shades/technique identified, verify mechanical adjustment and compare only within the measured angular range.</w:t>
            </w:r>
          </w:p>
        </w:tc>
      </w:tr>
      <w:tr>
        <w:trPr/>
        <w:tc>
          <w:tcPr>
            <w:tcW w:w="2970" w:type="dxa"/>
            <w:tcBorders/>
            <w:vAlign w:val="center"/>
          </w:tcPr>
          <w:p>
            <w:pPr>
              <w:pStyle w:val="TableContents"/>
              <w:bidi w:val="0"/>
              <w:spacing w:before="0" w:after="283"/>
              <w:rPr/>
            </w:pPr>
            <w:r>
              <w:rPr/>
              <w:t>Running fix is poor</w:t>
            </w:r>
          </w:p>
        </w:tc>
        <w:tc>
          <w:tcPr>
            <w:tcW w:w="6780" w:type="dxa"/>
            <w:tcBorders/>
            <w:vAlign w:val="center"/>
          </w:tcPr>
          <w:p>
            <w:pPr>
              <w:pStyle w:val="TableContents"/>
              <w:bidi w:val="0"/>
              <w:spacing w:before="0" w:after="283"/>
              <w:rPr/>
            </w:pPr>
            <w:r>
              <w:rPr/>
              <w:t>Check the reference epoch, COG/SOG, set and drift, leeway, course alterations and observation geometry.</w:t>
            </w:r>
          </w:p>
        </w:tc>
      </w:tr>
      <w:tr>
        <w:trPr/>
        <w:tc>
          <w:tcPr>
            <w:tcW w:w="2970" w:type="dxa"/>
            <w:tcBorders/>
            <w:vAlign w:val="center"/>
          </w:tcPr>
          <w:p>
            <w:pPr>
              <w:pStyle w:val="TableContents"/>
              <w:bidi w:val="0"/>
              <w:spacing w:before="0" w:after="283"/>
              <w:rPr/>
            </w:pPr>
            <w:r>
              <w:rPr/>
              <w:t>Eclipse controls unavailable</w:t>
            </w:r>
          </w:p>
        </w:tc>
        <w:tc>
          <w:tcPr>
            <w:tcW w:w="6780" w:type="dxa"/>
            <w:tcBorders/>
            <w:vAlign w:val="center"/>
          </w:tcPr>
          <w:p>
            <w:pPr>
              <w:pStyle w:val="TableContents"/>
              <w:bidi w:val="0"/>
              <w:spacing w:before="0" w:after="283"/>
              <w:rPr/>
            </w:pPr>
            <w:r>
              <w:rPr/>
              <w:t xml:space="preserve">Select </w:t>
            </w:r>
            <w:r>
              <w:rPr>
                <w:rStyle w:val="Strong"/>
              </w:rPr>
              <w:t>Download and install DE440s…</w:t>
            </w:r>
            <w:r>
              <w:rPr/>
              <w:t>, or import a local DE440s copy, and wait for verification to complete. LOLA and lunar orientation are optional and should not block ordinary eclipse plotting.</w:t>
            </w:r>
          </w:p>
        </w:tc>
      </w:tr>
    </w:tbl>
    <w:p>
      <w:pPr>
        <w:pStyle w:val="Heading2"/>
        <w:bidi w:val="0"/>
        <w:rPr/>
      </w:pPr>
      <w:r>
        <w:rPr/>
        <w:t>16.1 Independent checks</w:t>
      </w:r>
    </w:p>
    <w:p>
      <w:pPr>
        <w:pStyle w:val="BodyText"/>
        <w:numPr>
          <w:ilvl w:val="0"/>
          <w:numId w:val="18"/>
        </w:numPr>
        <w:tabs>
          <w:tab w:val="clear" w:pos="1134"/>
          <w:tab w:val="left" w:pos="709" w:leader="none"/>
        </w:tabs>
        <w:bidi w:val="0"/>
        <w:spacing w:before="0" w:after="0"/>
        <w:ind w:hanging="283" w:start="709"/>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rPr/>
      </w:pPr>
      <w:r>
        <w:rPr/>
        <w:t xml:space="preserve">Keep the raw observation record so any result can be reconstructed independently. </w:t>
      </w:r>
    </w:p>
    <w:p>
      <w:pPr>
        <w:pStyle w:val="Heading1"/>
        <w:bidi w:val="0"/>
        <w:ind w:hanging="0" w:start="0" w:end="0"/>
        <w:rPr/>
      </w:pPr>
      <w:bookmarkStart w:id="22" w:name="abbreviations"/>
      <w:bookmarkEnd w:id="22"/>
      <w:r>
        <w:rPr/>
        <w:t>Appendix A — Abbreviations and symbols</w:t>
      </w:r>
    </w:p>
    <w:tbl>
      <w:tblPr>
        <w:tblW w:w="12160" w:type="dxa"/>
        <w:jc w:val="start"/>
        <w:tblInd w:w="0" w:type="dxa"/>
        <w:tblLayout w:type="fixed"/>
        <w:tblCellMar>
          <w:top w:w="28" w:type="dxa"/>
          <w:start w:w="28" w:type="dxa"/>
          <w:bottom w:w="28" w:type="dxa"/>
          <w:end w:w="28" w:type="dxa"/>
        </w:tblCellMar>
      </w:tblPr>
      <w:tblGrid>
        <w:gridCol w:w="1684"/>
        <w:gridCol w:w="10476"/>
      </w:tblGrid>
      <w:tr>
        <w:trPr/>
        <w:tc>
          <w:tcPr>
            <w:tcW w:w="1684" w:type="dxa"/>
            <w:tcBorders/>
            <w:vAlign w:val="center"/>
          </w:tcPr>
          <w:p>
            <w:pPr>
              <w:pStyle w:val="TableHeading"/>
              <w:suppressLineNumbers/>
              <w:shd w:fill="17365D" w:val="clear"/>
              <w:bidi w:val="0"/>
              <w:spacing w:before="0" w:after="283"/>
              <w:jc w:val="start"/>
              <w:rPr/>
            </w:pPr>
            <w:r>
              <w:rPr/>
              <w:t>Abbreviation</w:t>
            </w:r>
          </w:p>
        </w:tc>
        <w:tc>
          <w:tcPr>
            <w:tcW w:w="10476" w:type="dxa"/>
            <w:tcBorders/>
            <w:vAlign w:val="center"/>
          </w:tcPr>
          <w:p>
            <w:pPr>
              <w:pStyle w:val="TableHeading"/>
              <w:suppressLineNumbers/>
              <w:shd w:fill="17365D" w:val="clear"/>
              <w:bidi w:val="0"/>
              <w:spacing w:before="0" w:after="283"/>
              <w:jc w:val="start"/>
              <w:rPr/>
            </w:pPr>
            <w:r>
              <w:rPr/>
              <w:t>Expansion and use</w:t>
            </w:r>
          </w:p>
        </w:tc>
      </w:tr>
      <w:tr>
        <w:trPr/>
        <w:tc>
          <w:tcPr>
            <w:tcW w:w="1684" w:type="dxa"/>
            <w:tcBorders/>
            <w:vAlign w:val="center"/>
          </w:tcPr>
          <w:p>
            <w:pPr>
              <w:pStyle w:val="TableContents"/>
              <w:bidi w:val="0"/>
              <w:spacing w:before="0" w:after="283"/>
              <w:rPr/>
            </w:pPr>
            <w:r>
              <w:rPr/>
              <w:t>A4</w:t>
            </w:r>
          </w:p>
        </w:tc>
        <w:tc>
          <w:tcPr>
            <w:tcW w:w="10476" w:type="dxa"/>
            <w:tcBorders/>
            <w:vAlign w:val="center"/>
          </w:tcPr>
          <w:p>
            <w:pPr>
              <w:pStyle w:val="TableContents"/>
              <w:bidi w:val="0"/>
              <w:spacing w:before="0" w:after="283"/>
              <w:rPr/>
            </w:pPr>
            <w:r>
              <w:rPr/>
              <w:t>International standard paper size used for the printable manual.</w:t>
            </w:r>
          </w:p>
        </w:tc>
      </w:tr>
      <w:tr>
        <w:trPr/>
        <w:tc>
          <w:tcPr>
            <w:tcW w:w="1684" w:type="dxa"/>
            <w:tcBorders/>
            <w:vAlign w:val="center"/>
          </w:tcPr>
          <w:p>
            <w:pPr>
              <w:pStyle w:val="TableContents"/>
              <w:bidi w:val="0"/>
              <w:spacing w:before="0" w:after="283"/>
              <w:rPr/>
            </w:pPr>
            <w:r>
              <w:rPr/>
              <w:t>AP</w:t>
            </w:r>
          </w:p>
        </w:tc>
        <w:tc>
          <w:tcPr>
            <w:tcW w:w="10476" w:type="dxa"/>
            <w:tcBorders/>
            <w:vAlign w:val="center"/>
          </w:tcPr>
          <w:p>
            <w:pPr>
              <w:pStyle w:val="TableContents"/>
              <w:bidi w:val="0"/>
              <w:spacing w:before="0" w:after="283"/>
              <w:rPr/>
            </w:pPr>
            <w:r>
              <w:rPr/>
              <w:t>Assumed Position.</w:t>
            </w:r>
          </w:p>
        </w:tc>
      </w:tr>
      <w:tr>
        <w:trPr/>
        <w:tc>
          <w:tcPr>
            <w:tcW w:w="1684" w:type="dxa"/>
            <w:tcBorders/>
            <w:vAlign w:val="center"/>
          </w:tcPr>
          <w:p>
            <w:pPr>
              <w:pStyle w:val="TableContents"/>
              <w:bidi w:val="0"/>
              <w:spacing w:before="0" w:after="283"/>
              <w:rPr/>
            </w:pPr>
            <w:r>
              <w:rPr/>
              <w:t>BIPM</w:t>
            </w:r>
          </w:p>
        </w:tc>
        <w:tc>
          <w:tcPr>
            <w:tcW w:w="10476" w:type="dxa"/>
            <w:tcBorders/>
            <w:vAlign w:val="center"/>
          </w:tcPr>
          <w:p>
            <w:pPr>
              <w:pStyle w:val="TableContents"/>
              <w:bidi w:val="0"/>
              <w:spacing w:before="0" w:after="283"/>
              <w:rPr/>
            </w:pPr>
            <w:r>
              <w:rPr/>
              <w:t>International Bureau of Weights and Measures; maintains international atomic time scales.</w:t>
            </w:r>
          </w:p>
        </w:tc>
      </w:tr>
      <w:tr>
        <w:trPr/>
        <w:tc>
          <w:tcPr>
            <w:tcW w:w="1684" w:type="dxa"/>
            <w:tcBorders/>
            <w:vAlign w:val="center"/>
          </w:tcPr>
          <w:p>
            <w:pPr>
              <w:pStyle w:val="TableContents"/>
              <w:bidi w:val="0"/>
              <w:spacing w:before="0" w:after="283"/>
              <w:rPr/>
            </w:pPr>
            <w:r>
              <w:rPr/>
              <w:t>C1–C4</w:t>
            </w:r>
          </w:p>
        </w:tc>
        <w:tc>
          <w:tcPr>
            <w:tcW w:w="10476" w:type="dxa"/>
            <w:tcBorders/>
            <w:vAlign w:val="center"/>
          </w:tcPr>
          <w:p>
            <w:pPr>
              <w:pStyle w:val="TableContents"/>
              <w:bidi w:val="0"/>
              <w:spacing w:before="0" w:after="283"/>
              <w:rPr/>
            </w:pPr>
            <w:r>
              <w:rPr/>
              <w:t>First through fourth local eclipse contacts.</w:t>
            </w:r>
          </w:p>
        </w:tc>
      </w:tr>
      <w:tr>
        <w:trPr/>
        <w:tc>
          <w:tcPr>
            <w:tcW w:w="1684" w:type="dxa"/>
            <w:tcBorders/>
            <w:vAlign w:val="center"/>
          </w:tcPr>
          <w:p>
            <w:pPr>
              <w:pStyle w:val="TableContents"/>
              <w:bidi w:val="0"/>
              <w:spacing w:before="0" w:after="283"/>
              <w:rPr/>
            </w:pPr>
            <w:r>
              <w:rPr/>
              <w:t>COG</w:t>
            </w:r>
          </w:p>
        </w:tc>
        <w:tc>
          <w:tcPr>
            <w:tcW w:w="10476" w:type="dxa"/>
            <w:tcBorders/>
            <w:vAlign w:val="center"/>
          </w:tcPr>
          <w:p>
            <w:pPr>
              <w:pStyle w:val="TableContents"/>
              <w:bidi w:val="0"/>
              <w:spacing w:before="0" w:after="283"/>
              <w:rPr/>
            </w:pPr>
            <w:r>
              <w:rPr/>
              <w:t>Course Over Ground; use true degrees where the plugin says COG true.</w:t>
            </w:r>
          </w:p>
        </w:tc>
      </w:tr>
      <w:tr>
        <w:trPr/>
        <w:tc>
          <w:tcPr>
            <w:tcW w:w="1684" w:type="dxa"/>
            <w:tcBorders/>
            <w:vAlign w:val="center"/>
          </w:tcPr>
          <w:p>
            <w:pPr>
              <w:pStyle w:val="TableContents"/>
              <w:bidi w:val="0"/>
              <w:spacing w:before="0" w:after="283"/>
              <w:rPr/>
            </w:pPr>
            <w:r>
              <w:rPr/>
              <w:t>COP</w:t>
            </w:r>
          </w:p>
        </w:tc>
        <w:tc>
          <w:tcPr>
            <w:tcW w:w="10476" w:type="dxa"/>
            <w:tcBorders/>
            <w:vAlign w:val="center"/>
          </w:tcPr>
          <w:p>
            <w:pPr>
              <w:pStyle w:val="TableContents"/>
              <w:bidi w:val="0"/>
              <w:spacing w:before="0" w:after="283"/>
              <w:rPr/>
            </w:pPr>
            <w:r>
              <w:rPr/>
              <w:t>Circle of Position.</w:t>
            </w:r>
          </w:p>
        </w:tc>
      </w:tr>
      <w:tr>
        <w:trPr/>
        <w:tc>
          <w:tcPr>
            <w:tcW w:w="1684" w:type="dxa"/>
            <w:tcBorders/>
            <w:vAlign w:val="center"/>
          </w:tcPr>
          <w:p>
            <w:pPr>
              <w:pStyle w:val="TableContents"/>
              <w:bidi w:val="0"/>
              <w:spacing w:before="0" w:after="283"/>
              <w:rPr/>
            </w:pPr>
            <w:r>
              <w:rPr/>
              <w:t>CSV</w:t>
            </w:r>
          </w:p>
        </w:tc>
        <w:tc>
          <w:tcPr>
            <w:tcW w:w="10476" w:type="dxa"/>
            <w:tcBorders/>
            <w:vAlign w:val="center"/>
          </w:tcPr>
          <w:p>
            <w:pPr>
              <w:pStyle w:val="TableContents"/>
              <w:bidi w:val="0"/>
              <w:spacing w:before="0" w:after="283"/>
              <w:rPr/>
            </w:pPr>
            <w:r>
              <w:rPr/>
              <w:t>Comma-Separated Values file.</w:t>
            </w:r>
          </w:p>
        </w:tc>
      </w:tr>
      <w:tr>
        <w:trPr/>
        <w:tc>
          <w:tcPr>
            <w:tcW w:w="1684" w:type="dxa"/>
            <w:tcBorders/>
            <w:vAlign w:val="center"/>
          </w:tcPr>
          <w:p>
            <w:pPr>
              <w:pStyle w:val="TableContents"/>
              <w:bidi w:val="0"/>
              <w:spacing w:before="0" w:after="283"/>
              <w:rPr/>
            </w:pPr>
            <w:r>
              <w:rPr/>
              <w:t>DE440 / DE440s</w:t>
            </w:r>
          </w:p>
        </w:tc>
        <w:tc>
          <w:tcPr>
            <w:tcW w:w="10476" w:type="dxa"/>
            <w:tcBorders/>
            <w:vAlign w:val="center"/>
          </w:tcPr>
          <w:p>
            <w:pPr>
              <w:pStyle w:val="TableContents"/>
              <w:bidi w:val="0"/>
              <w:spacing w:before="0" w:after="283"/>
              <w:rPr/>
            </w:pPr>
            <w:r>
              <w:rPr/>
              <w:t>JPL Development Ephemeris 440 and its compact short-span kernel.</w:t>
            </w:r>
          </w:p>
        </w:tc>
      </w:tr>
      <w:tr>
        <w:trPr/>
        <w:tc>
          <w:tcPr>
            <w:tcW w:w="1684" w:type="dxa"/>
            <w:tcBorders/>
            <w:vAlign w:val="center"/>
          </w:tcPr>
          <w:p>
            <w:pPr>
              <w:pStyle w:val="TableContents"/>
              <w:bidi w:val="0"/>
              <w:spacing w:before="0" w:after="283"/>
              <w:rPr/>
            </w:pPr>
            <w:r>
              <w:rPr/>
              <w:t>Dec, δ</w:t>
            </w:r>
          </w:p>
        </w:tc>
        <w:tc>
          <w:tcPr>
            <w:tcW w:w="10476" w:type="dxa"/>
            <w:tcBorders/>
            <w:vAlign w:val="center"/>
          </w:tcPr>
          <w:p>
            <w:pPr>
              <w:pStyle w:val="TableContents"/>
              <w:bidi w:val="0"/>
              <w:spacing w:before="0" w:after="283"/>
              <w:rPr/>
            </w:pPr>
            <w:r>
              <w:rPr/>
              <w:t>Declination; celestial latitude north or south of the celestial equator.</w:t>
            </w:r>
          </w:p>
        </w:tc>
      </w:tr>
      <w:tr>
        <w:trPr/>
        <w:tc>
          <w:tcPr>
            <w:tcW w:w="1684" w:type="dxa"/>
            <w:tcBorders/>
            <w:vAlign w:val="center"/>
          </w:tcPr>
          <w:p>
            <w:pPr>
              <w:pStyle w:val="TableContents"/>
              <w:bidi w:val="0"/>
              <w:spacing w:before="0" w:after="283"/>
              <w:rPr/>
            </w:pPr>
            <w:r>
              <w:rPr/>
              <w:t>DOCX</w:t>
            </w:r>
          </w:p>
        </w:tc>
        <w:tc>
          <w:tcPr>
            <w:tcW w:w="10476" w:type="dxa"/>
            <w:tcBorders/>
            <w:vAlign w:val="center"/>
          </w:tcPr>
          <w:p>
            <w:pPr>
              <w:pStyle w:val="TableContents"/>
              <w:bidi w:val="0"/>
              <w:spacing w:before="0" w:after="283"/>
              <w:rPr/>
            </w:pPr>
            <w:r>
              <w:rPr/>
              <w:t>Office Open XML word-processing document; the editable contributor edition of this manual.</w:t>
            </w:r>
          </w:p>
        </w:tc>
      </w:tr>
      <w:tr>
        <w:trPr/>
        <w:tc>
          <w:tcPr>
            <w:tcW w:w="1684" w:type="dxa"/>
            <w:tcBorders/>
            <w:vAlign w:val="center"/>
          </w:tcPr>
          <w:p>
            <w:pPr>
              <w:pStyle w:val="TableContents"/>
              <w:bidi w:val="0"/>
              <w:spacing w:before="0" w:after="283"/>
              <w:rPr/>
            </w:pPr>
            <w:r>
              <w:rPr/>
              <w:t>DR</w:t>
            </w:r>
          </w:p>
        </w:tc>
        <w:tc>
          <w:tcPr>
            <w:tcW w:w="10476" w:type="dxa"/>
            <w:tcBorders/>
            <w:vAlign w:val="center"/>
          </w:tcPr>
          <w:p>
            <w:pPr>
              <w:pStyle w:val="TableContents"/>
              <w:bidi w:val="0"/>
              <w:spacing w:before="0" w:after="283"/>
              <w:rPr/>
            </w:pPr>
            <w:r>
              <w:rPr/>
              <w:t>Dead Reckoning (historically also “deduced reckoning”).</w:t>
            </w:r>
          </w:p>
        </w:tc>
      </w:tr>
      <w:tr>
        <w:trPr/>
        <w:tc>
          <w:tcPr>
            <w:tcW w:w="1684" w:type="dxa"/>
            <w:tcBorders/>
            <w:vAlign w:val="center"/>
          </w:tcPr>
          <w:p>
            <w:pPr>
              <w:pStyle w:val="TableContents"/>
              <w:bidi w:val="0"/>
              <w:spacing w:before="0" w:after="283"/>
              <w:rPr/>
            </w:pPr>
            <w:r>
              <w:rPr/>
              <w:t>DUT1</w:t>
            </w:r>
          </w:p>
        </w:tc>
        <w:tc>
          <w:tcPr>
            <w:tcW w:w="10476" w:type="dxa"/>
            <w:tcBorders/>
            <w:vAlign w:val="center"/>
          </w:tcPr>
          <w:p>
            <w:pPr>
              <w:pStyle w:val="TableContents"/>
              <w:bidi w:val="0"/>
              <w:spacing w:before="0" w:after="283"/>
              <w:rPr/>
            </w:pPr>
            <w:r>
              <w:rPr/>
              <w:t>UT1 − UTC.</w:t>
            </w:r>
          </w:p>
        </w:tc>
      </w:tr>
      <w:tr>
        <w:trPr/>
        <w:tc>
          <w:tcPr>
            <w:tcW w:w="1684" w:type="dxa"/>
            <w:tcBorders/>
            <w:vAlign w:val="center"/>
          </w:tcPr>
          <w:p>
            <w:pPr>
              <w:pStyle w:val="TableContents"/>
              <w:bidi w:val="0"/>
              <w:spacing w:before="0" w:after="283"/>
              <w:rPr/>
            </w:pPr>
            <w:r>
              <w:rPr/>
              <w:t>GHA</w:t>
            </w:r>
          </w:p>
        </w:tc>
        <w:tc>
          <w:tcPr>
            <w:tcW w:w="10476" w:type="dxa"/>
            <w:tcBorders/>
            <w:vAlign w:val="center"/>
          </w:tcPr>
          <w:p>
            <w:pPr>
              <w:pStyle w:val="TableContents"/>
              <w:bidi w:val="0"/>
              <w:spacing w:before="0" w:after="283"/>
              <w:rPr/>
            </w:pPr>
            <w:r>
              <w:rPr/>
              <w:t>Greenwich Hour Angle.</w:t>
            </w:r>
          </w:p>
        </w:tc>
      </w:tr>
      <w:tr>
        <w:trPr/>
        <w:tc>
          <w:tcPr>
            <w:tcW w:w="1684" w:type="dxa"/>
            <w:tcBorders/>
            <w:vAlign w:val="center"/>
          </w:tcPr>
          <w:p>
            <w:pPr>
              <w:pStyle w:val="TableContents"/>
              <w:bidi w:val="0"/>
              <w:spacing w:before="0" w:after="283"/>
              <w:rPr/>
            </w:pPr>
            <w:r>
              <w:rPr/>
              <w:t>GNSS</w:t>
            </w:r>
          </w:p>
        </w:tc>
        <w:tc>
          <w:tcPr>
            <w:tcW w:w="10476" w:type="dxa"/>
            <w:tcBorders/>
            <w:vAlign w:val="center"/>
          </w:tcPr>
          <w:p>
            <w:pPr>
              <w:pStyle w:val="TableContents"/>
              <w:bidi w:val="0"/>
              <w:spacing w:before="0" w:after="283"/>
              <w:rPr/>
            </w:pPr>
            <w:r>
              <w:rPr/>
              <w:t>Global Navigation Satellite System.</w:t>
            </w:r>
          </w:p>
        </w:tc>
      </w:tr>
      <w:tr>
        <w:trPr/>
        <w:tc>
          <w:tcPr>
            <w:tcW w:w="1684" w:type="dxa"/>
            <w:tcBorders/>
            <w:vAlign w:val="center"/>
          </w:tcPr>
          <w:p>
            <w:pPr>
              <w:pStyle w:val="TableContents"/>
              <w:bidi w:val="0"/>
              <w:spacing w:before="0" w:after="283"/>
              <w:rPr/>
            </w:pPr>
            <w:r>
              <w:rPr/>
              <w:t>GP</w:t>
            </w:r>
          </w:p>
        </w:tc>
        <w:tc>
          <w:tcPr>
            <w:tcW w:w="10476" w:type="dxa"/>
            <w:tcBorders/>
            <w:vAlign w:val="center"/>
          </w:tcPr>
          <w:p>
            <w:pPr>
              <w:pStyle w:val="TableContents"/>
              <w:bidi w:val="0"/>
              <w:spacing w:before="0" w:after="283"/>
              <w:rPr/>
            </w:pPr>
            <w:r>
              <w:rPr/>
              <w:t>Geographic Position of a celestial body.</w:t>
            </w:r>
          </w:p>
        </w:tc>
      </w:tr>
      <w:tr>
        <w:trPr/>
        <w:tc>
          <w:tcPr>
            <w:tcW w:w="1684" w:type="dxa"/>
            <w:tcBorders/>
            <w:vAlign w:val="center"/>
          </w:tcPr>
          <w:p>
            <w:pPr>
              <w:pStyle w:val="TableContents"/>
              <w:bidi w:val="0"/>
              <w:spacing w:before="0" w:after="283"/>
              <w:rPr/>
            </w:pPr>
            <w:r>
              <w:rPr/>
              <w:t>GPS</w:t>
            </w:r>
          </w:p>
        </w:tc>
        <w:tc>
          <w:tcPr>
            <w:tcW w:w="10476" w:type="dxa"/>
            <w:tcBorders/>
            <w:vAlign w:val="center"/>
          </w:tcPr>
          <w:p>
            <w:pPr>
              <w:pStyle w:val="TableContents"/>
              <w:bidi w:val="0"/>
              <w:spacing w:before="0" w:after="283"/>
              <w:rPr/>
            </w:pPr>
            <w:r>
              <w:rPr/>
              <w:t>Global Positioning System; one GNSS constellation and a common shorthand for a satellite-derived position.</w:t>
            </w:r>
          </w:p>
        </w:tc>
      </w:tr>
      <w:tr>
        <w:trPr/>
        <w:tc>
          <w:tcPr>
            <w:tcW w:w="1684" w:type="dxa"/>
            <w:tcBorders/>
            <w:vAlign w:val="center"/>
          </w:tcPr>
          <w:p>
            <w:pPr>
              <w:pStyle w:val="TableContents"/>
              <w:bidi w:val="0"/>
              <w:spacing w:before="0" w:after="283"/>
              <w:rPr/>
            </w:pPr>
            <w:r>
              <w:rPr/>
              <w:t>Ha</w:t>
            </w:r>
          </w:p>
        </w:tc>
        <w:tc>
          <w:tcPr>
            <w:tcW w:w="10476" w:type="dxa"/>
            <w:tcBorders/>
            <w:vAlign w:val="center"/>
          </w:tcPr>
          <w:p>
            <w:pPr>
              <w:pStyle w:val="TableContents"/>
              <w:bidi w:val="0"/>
              <w:spacing w:before="0" w:after="283"/>
              <w:rPr/>
            </w:pPr>
            <w:r>
              <w:rPr/>
              <w:t>Apparent altitude after index and dip/horizon corrections.</w:t>
            </w:r>
          </w:p>
        </w:tc>
      </w:tr>
      <w:tr>
        <w:trPr/>
        <w:tc>
          <w:tcPr>
            <w:tcW w:w="1684" w:type="dxa"/>
            <w:tcBorders/>
            <w:vAlign w:val="center"/>
          </w:tcPr>
          <w:p>
            <w:pPr>
              <w:pStyle w:val="TableContents"/>
              <w:bidi w:val="0"/>
              <w:spacing w:before="0" w:after="283"/>
              <w:rPr/>
            </w:pPr>
            <w:r>
              <w:rPr/>
              <w:t>Hc</w:t>
            </w:r>
          </w:p>
        </w:tc>
        <w:tc>
          <w:tcPr>
            <w:tcW w:w="10476" w:type="dxa"/>
            <w:tcBorders/>
            <w:vAlign w:val="center"/>
          </w:tcPr>
          <w:p>
            <w:pPr>
              <w:pStyle w:val="TableContents"/>
              <w:bidi w:val="0"/>
              <w:spacing w:before="0" w:after="283"/>
              <w:rPr/>
            </w:pPr>
            <w:r>
              <w:rPr/>
              <w:t>Computed altitude at the AP.</w:t>
            </w:r>
          </w:p>
        </w:tc>
      </w:tr>
      <w:tr>
        <w:trPr/>
        <w:tc>
          <w:tcPr>
            <w:tcW w:w="1684" w:type="dxa"/>
            <w:tcBorders/>
            <w:vAlign w:val="center"/>
          </w:tcPr>
          <w:p>
            <w:pPr>
              <w:pStyle w:val="TableContents"/>
              <w:bidi w:val="0"/>
              <w:spacing w:before="0" w:after="283"/>
              <w:rPr/>
            </w:pPr>
            <w:r>
              <w:rPr/>
              <w:t>Ho</w:t>
            </w:r>
          </w:p>
        </w:tc>
        <w:tc>
          <w:tcPr>
            <w:tcW w:w="10476" w:type="dxa"/>
            <w:tcBorders/>
            <w:vAlign w:val="center"/>
          </w:tcPr>
          <w:p>
            <w:pPr>
              <w:pStyle w:val="TableContents"/>
              <w:bidi w:val="0"/>
              <w:spacing w:before="0" w:after="283"/>
              <w:rPr/>
            </w:pPr>
            <w:r>
              <w:rPr/>
              <w:t>Observed, fully corrected altitude.</w:t>
            </w:r>
          </w:p>
        </w:tc>
      </w:tr>
      <w:tr>
        <w:trPr/>
        <w:tc>
          <w:tcPr>
            <w:tcW w:w="1684" w:type="dxa"/>
            <w:tcBorders/>
            <w:vAlign w:val="center"/>
          </w:tcPr>
          <w:p>
            <w:pPr>
              <w:pStyle w:val="TableContents"/>
              <w:bidi w:val="0"/>
              <w:spacing w:before="0" w:after="283"/>
              <w:rPr/>
            </w:pPr>
            <w:r>
              <w:rPr/>
              <w:t>HP</w:t>
            </w:r>
          </w:p>
        </w:tc>
        <w:tc>
          <w:tcPr>
            <w:tcW w:w="10476" w:type="dxa"/>
            <w:tcBorders/>
            <w:vAlign w:val="center"/>
          </w:tcPr>
          <w:p>
            <w:pPr>
              <w:pStyle w:val="TableContents"/>
              <w:bidi w:val="0"/>
              <w:spacing w:before="0" w:after="283"/>
              <w:rPr/>
            </w:pPr>
            <w:r>
              <w:rPr/>
              <w:t>Horizontal parallax.</w:t>
            </w:r>
          </w:p>
        </w:tc>
      </w:tr>
      <w:tr>
        <w:trPr/>
        <w:tc>
          <w:tcPr>
            <w:tcW w:w="1684" w:type="dxa"/>
            <w:tcBorders/>
            <w:vAlign w:val="center"/>
          </w:tcPr>
          <w:p>
            <w:pPr>
              <w:pStyle w:val="TableContents"/>
              <w:bidi w:val="0"/>
              <w:spacing w:before="0" w:after="283"/>
              <w:rPr/>
            </w:pPr>
            <w:r>
              <w:rPr/>
              <w:t>Hs</w:t>
            </w:r>
          </w:p>
        </w:tc>
        <w:tc>
          <w:tcPr>
            <w:tcW w:w="10476" w:type="dxa"/>
            <w:tcBorders/>
            <w:vAlign w:val="center"/>
          </w:tcPr>
          <w:p>
            <w:pPr>
              <w:pStyle w:val="TableContents"/>
              <w:bidi w:val="0"/>
              <w:spacing w:before="0" w:after="283"/>
              <w:rPr/>
            </w:pPr>
            <w:r>
              <w:rPr/>
              <w:t>Sextant altitude.</w:t>
            </w:r>
          </w:p>
        </w:tc>
      </w:tr>
      <w:tr>
        <w:trPr/>
        <w:tc>
          <w:tcPr>
            <w:tcW w:w="1684" w:type="dxa"/>
            <w:tcBorders/>
            <w:vAlign w:val="center"/>
          </w:tcPr>
          <w:p>
            <w:pPr>
              <w:pStyle w:val="TableContents"/>
              <w:bidi w:val="0"/>
              <w:spacing w:before="0" w:after="283"/>
              <w:rPr/>
            </w:pPr>
            <w:r>
              <w:rPr/>
              <w:t>HSA</w:t>
            </w:r>
          </w:p>
        </w:tc>
        <w:tc>
          <w:tcPr>
            <w:tcW w:w="10476" w:type="dxa"/>
            <w:tcBorders/>
            <w:vAlign w:val="center"/>
          </w:tcPr>
          <w:p>
            <w:pPr>
              <w:pStyle w:val="TableContents"/>
              <w:bidi w:val="0"/>
              <w:spacing w:before="0" w:after="283"/>
              <w:rPr/>
            </w:pPr>
            <w:r>
              <w:rPr/>
              <w:t>Horizontal Sextant Angle.</w:t>
            </w:r>
          </w:p>
        </w:tc>
      </w:tr>
      <w:tr>
        <w:trPr/>
        <w:tc>
          <w:tcPr>
            <w:tcW w:w="1684" w:type="dxa"/>
            <w:tcBorders/>
            <w:vAlign w:val="center"/>
          </w:tcPr>
          <w:p>
            <w:pPr>
              <w:pStyle w:val="TableContents"/>
              <w:bidi w:val="0"/>
              <w:spacing w:before="0" w:after="283"/>
              <w:rPr/>
            </w:pPr>
            <w:r>
              <w:rPr/>
              <w:t>HTML</w:t>
            </w:r>
          </w:p>
        </w:tc>
        <w:tc>
          <w:tcPr>
            <w:tcW w:w="10476" w:type="dxa"/>
            <w:tcBorders/>
            <w:vAlign w:val="center"/>
          </w:tcPr>
          <w:p>
            <w:pPr>
              <w:pStyle w:val="TableContents"/>
              <w:bidi w:val="0"/>
              <w:spacing w:before="0" w:after="283"/>
              <w:rPr/>
            </w:pPr>
            <w:r>
              <w:rPr/>
              <w:t>HyperText Markup Language; the offline edition opened by the plugin's Documentation button.</w:t>
            </w:r>
          </w:p>
        </w:tc>
      </w:tr>
      <w:tr>
        <w:trPr/>
        <w:tc>
          <w:tcPr>
            <w:tcW w:w="1684" w:type="dxa"/>
            <w:tcBorders/>
            <w:vAlign w:val="center"/>
          </w:tcPr>
          <w:p>
            <w:pPr>
              <w:pStyle w:val="TableContents"/>
              <w:bidi w:val="0"/>
              <w:spacing w:before="0" w:after="283"/>
              <w:rPr/>
            </w:pPr>
            <w:r>
              <w:rPr/>
              <w:t>IC</w:t>
            </w:r>
          </w:p>
        </w:tc>
        <w:tc>
          <w:tcPr>
            <w:tcW w:w="10476" w:type="dxa"/>
            <w:tcBorders/>
            <w:vAlign w:val="center"/>
          </w:tcPr>
          <w:p>
            <w:pPr>
              <w:pStyle w:val="TableContents"/>
              <w:bidi w:val="0"/>
              <w:spacing w:before="0" w:after="283"/>
              <w:rPr/>
            </w:pPr>
            <w:r>
              <w:rPr/>
              <w:t>Index Correction.</w:t>
            </w:r>
          </w:p>
        </w:tc>
      </w:tr>
      <w:tr>
        <w:trPr/>
        <w:tc>
          <w:tcPr>
            <w:tcW w:w="1684" w:type="dxa"/>
            <w:tcBorders/>
            <w:vAlign w:val="center"/>
          </w:tcPr>
          <w:p>
            <w:pPr>
              <w:pStyle w:val="TableContents"/>
              <w:bidi w:val="0"/>
              <w:spacing w:before="0" w:after="283"/>
              <w:rPr/>
            </w:pPr>
            <w:r>
              <w:rPr/>
              <w:t>IE</w:t>
            </w:r>
          </w:p>
        </w:tc>
        <w:tc>
          <w:tcPr>
            <w:tcW w:w="10476" w:type="dxa"/>
            <w:tcBorders/>
            <w:vAlign w:val="center"/>
          </w:tcPr>
          <w:p>
            <w:pPr>
              <w:pStyle w:val="TableContents"/>
              <w:bidi w:val="0"/>
              <w:spacing w:before="0" w:after="283"/>
              <w:rPr/>
            </w:pPr>
            <w:r>
              <w:rPr/>
              <w:t>Index Error.</w:t>
            </w:r>
          </w:p>
        </w:tc>
      </w:tr>
      <w:tr>
        <w:trPr/>
        <w:tc>
          <w:tcPr>
            <w:tcW w:w="1684" w:type="dxa"/>
            <w:tcBorders/>
            <w:vAlign w:val="center"/>
          </w:tcPr>
          <w:p>
            <w:pPr>
              <w:pStyle w:val="TableContents"/>
              <w:bidi w:val="0"/>
              <w:spacing w:before="0" w:after="283"/>
              <w:rPr/>
            </w:pPr>
            <w:r>
              <w:rPr/>
              <w:t>IERS</w:t>
            </w:r>
          </w:p>
        </w:tc>
        <w:tc>
          <w:tcPr>
            <w:tcW w:w="10476" w:type="dxa"/>
            <w:tcBorders/>
            <w:vAlign w:val="center"/>
          </w:tcPr>
          <w:p>
            <w:pPr>
              <w:pStyle w:val="TableContents"/>
              <w:bidi w:val="0"/>
              <w:spacing w:before="0" w:after="283"/>
              <w:rPr/>
            </w:pPr>
            <w:r>
              <w:rPr/>
              <w:t>International Earth Rotation and Reference Systems Service.</w:t>
            </w:r>
          </w:p>
        </w:tc>
      </w:tr>
      <w:tr>
        <w:trPr/>
        <w:tc>
          <w:tcPr>
            <w:tcW w:w="1684" w:type="dxa"/>
            <w:tcBorders/>
            <w:vAlign w:val="center"/>
          </w:tcPr>
          <w:p>
            <w:pPr>
              <w:pStyle w:val="TableContents"/>
              <w:bidi w:val="0"/>
              <w:spacing w:before="0" w:after="283"/>
              <w:rPr/>
            </w:pPr>
            <w:r>
              <w:rPr/>
              <w:t>JPL</w:t>
            </w:r>
          </w:p>
        </w:tc>
        <w:tc>
          <w:tcPr>
            <w:tcW w:w="10476" w:type="dxa"/>
            <w:tcBorders/>
            <w:vAlign w:val="center"/>
          </w:tcPr>
          <w:p>
            <w:pPr>
              <w:pStyle w:val="TableContents"/>
              <w:bidi w:val="0"/>
              <w:spacing w:before="0" w:after="283"/>
              <w:rPr/>
            </w:pPr>
            <w:r>
              <w:rPr/>
              <w:t>Jet Propulsion Laboratory.</w:t>
            </w:r>
          </w:p>
        </w:tc>
      </w:tr>
      <w:tr>
        <w:trPr/>
        <w:tc>
          <w:tcPr>
            <w:tcW w:w="1684" w:type="dxa"/>
            <w:tcBorders/>
            <w:vAlign w:val="center"/>
          </w:tcPr>
          <w:p>
            <w:pPr>
              <w:pStyle w:val="TableContents"/>
              <w:bidi w:val="0"/>
              <w:spacing w:before="0" w:after="283"/>
              <w:rPr/>
            </w:pPr>
            <w:r>
              <w:rPr/>
              <w:t>LAN</w:t>
            </w:r>
          </w:p>
        </w:tc>
        <w:tc>
          <w:tcPr>
            <w:tcW w:w="10476" w:type="dxa"/>
            <w:tcBorders/>
            <w:vAlign w:val="center"/>
          </w:tcPr>
          <w:p>
            <w:pPr>
              <w:pStyle w:val="TableContents"/>
              <w:bidi w:val="0"/>
              <w:spacing w:before="0" w:after="283"/>
              <w:rPr/>
            </w:pPr>
            <w:r>
              <w:rPr/>
              <w:t>Local Apparent Noon.</w:t>
            </w:r>
          </w:p>
        </w:tc>
      </w:tr>
      <w:tr>
        <w:trPr/>
        <w:tc>
          <w:tcPr>
            <w:tcW w:w="1684" w:type="dxa"/>
            <w:tcBorders/>
            <w:vAlign w:val="center"/>
          </w:tcPr>
          <w:p>
            <w:pPr>
              <w:pStyle w:val="TableContents"/>
              <w:bidi w:val="0"/>
              <w:spacing w:before="0" w:after="283"/>
              <w:rPr/>
            </w:pPr>
            <w:r>
              <w:rPr/>
              <w:t>LD / LDOpc</w:t>
            </w:r>
          </w:p>
        </w:tc>
        <w:tc>
          <w:tcPr>
            <w:tcW w:w="10476" w:type="dxa"/>
            <w:tcBorders/>
            <w:vAlign w:val="center"/>
          </w:tcPr>
          <w:p>
            <w:pPr>
              <w:pStyle w:val="TableContents"/>
              <w:bidi w:val="0"/>
              <w:spacing w:before="0" w:after="283"/>
              <w:rPr/>
            </w:pPr>
            <w:r>
              <w:rPr/>
              <w:t>Lunar Distance / observed raw lunar-distance measurement with selected contact.</w:t>
            </w:r>
          </w:p>
        </w:tc>
      </w:tr>
      <w:tr>
        <w:trPr/>
        <w:tc>
          <w:tcPr>
            <w:tcW w:w="1684" w:type="dxa"/>
            <w:tcBorders/>
            <w:vAlign w:val="center"/>
          </w:tcPr>
          <w:p>
            <w:pPr>
              <w:pStyle w:val="TableContents"/>
              <w:bidi w:val="0"/>
              <w:spacing w:before="0" w:after="283"/>
              <w:rPr/>
            </w:pPr>
            <w:r>
              <w:rPr/>
              <w:t>LDc</w:t>
            </w:r>
          </w:p>
        </w:tc>
        <w:tc>
          <w:tcPr>
            <w:tcW w:w="10476" w:type="dxa"/>
            <w:tcBorders/>
            <w:vAlign w:val="center"/>
          </w:tcPr>
          <w:p>
            <w:pPr>
              <w:pStyle w:val="TableContents"/>
              <w:bidi w:val="0"/>
              <w:spacing w:before="0" w:after="283"/>
              <w:rPr/>
            </w:pPr>
            <w:r>
              <w:rPr/>
              <w:t>Cleared lunar distance.</w:t>
            </w:r>
          </w:p>
        </w:tc>
      </w:tr>
      <w:tr>
        <w:trPr/>
        <w:tc>
          <w:tcPr>
            <w:tcW w:w="1684" w:type="dxa"/>
            <w:tcBorders/>
            <w:vAlign w:val="center"/>
          </w:tcPr>
          <w:p>
            <w:pPr>
              <w:pStyle w:val="TableContents"/>
              <w:bidi w:val="0"/>
              <w:spacing w:before="0" w:after="283"/>
              <w:rPr/>
            </w:pPr>
            <w:r>
              <w:rPr/>
              <w:t>LHA</w:t>
            </w:r>
          </w:p>
        </w:tc>
        <w:tc>
          <w:tcPr>
            <w:tcW w:w="10476" w:type="dxa"/>
            <w:tcBorders/>
            <w:vAlign w:val="center"/>
          </w:tcPr>
          <w:p>
            <w:pPr>
              <w:pStyle w:val="TableContents"/>
              <w:bidi w:val="0"/>
              <w:spacing w:before="0" w:after="283"/>
              <w:rPr/>
            </w:pPr>
            <w:r>
              <w:rPr/>
              <w:t>Local Hour Angle.</w:t>
            </w:r>
          </w:p>
        </w:tc>
      </w:tr>
      <w:tr>
        <w:trPr/>
        <w:tc>
          <w:tcPr>
            <w:tcW w:w="1684" w:type="dxa"/>
            <w:tcBorders/>
            <w:vAlign w:val="center"/>
          </w:tcPr>
          <w:p>
            <w:pPr>
              <w:pStyle w:val="TableContents"/>
              <w:bidi w:val="0"/>
              <w:spacing w:before="0" w:after="283"/>
              <w:rPr/>
            </w:pPr>
            <w:r>
              <w:rPr/>
              <w:t>LOLA</w:t>
            </w:r>
          </w:p>
        </w:tc>
        <w:tc>
          <w:tcPr>
            <w:tcW w:w="10476" w:type="dxa"/>
            <w:tcBorders/>
            <w:vAlign w:val="center"/>
          </w:tcPr>
          <w:p>
            <w:pPr>
              <w:pStyle w:val="TableContents"/>
              <w:bidi w:val="0"/>
              <w:spacing w:before="0" w:after="283"/>
              <w:rPr/>
            </w:pPr>
            <w:r>
              <w:rPr/>
              <w:t>Lunar Orbiter Laser Altimeter.</w:t>
            </w:r>
          </w:p>
        </w:tc>
      </w:tr>
      <w:tr>
        <w:trPr/>
        <w:tc>
          <w:tcPr>
            <w:tcW w:w="1684" w:type="dxa"/>
            <w:tcBorders/>
            <w:vAlign w:val="center"/>
          </w:tcPr>
          <w:p>
            <w:pPr>
              <w:pStyle w:val="TableContents"/>
              <w:bidi w:val="0"/>
              <w:spacing w:before="0" w:after="283"/>
              <w:rPr/>
            </w:pPr>
            <w:r>
              <w:rPr/>
              <w:t>LOP</w:t>
            </w:r>
          </w:p>
        </w:tc>
        <w:tc>
          <w:tcPr>
            <w:tcW w:w="10476" w:type="dxa"/>
            <w:tcBorders/>
            <w:vAlign w:val="center"/>
          </w:tcPr>
          <w:p>
            <w:pPr>
              <w:pStyle w:val="TableContents"/>
              <w:bidi w:val="0"/>
              <w:spacing w:before="0" w:after="283"/>
              <w:rPr/>
            </w:pPr>
            <w:r>
              <w:rPr/>
              <w:t>Line of Position.</w:t>
            </w:r>
          </w:p>
        </w:tc>
      </w:tr>
      <w:tr>
        <w:trPr/>
        <w:tc>
          <w:tcPr>
            <w:tcW w:w="1684" w:type="dxa"/>
            <w:tcBorders/>
            <w:vAlign w:val="center"/>
          </w:tcPr>
          <w:p>
            <w:pPr>
              <w:pStyle w:val="TableContents"/>
              <w:bidi w:val="0"/>
              <w:spacing w:before="0" w:after="283"/>
              <w:rPr/>
            </w:pPr>
            <w:r>
              <w:rPr/>
              <w:t>NMEA</w:t>
            </w:r>
          </w:p>
        </w:tc>
        <w:tc>
          <w:tcPr>
            <w:tcW w:w="10476" w:type="dxa"/>
            <w:tcBorders/>
            <w:vAlign w:val="center"/>
          </w:tcPr>
          <w:p>
            <w:pPr>
              <w:pStyle w:val="TableContents"/>
              <w:bidi w:val="0"/>
              <w:spacing w:before="0" w:after="283"/>
              <w:rPr/>
            </w:pPr>
            <w:r>
              <w:rPr/>
              <w:t>National Marine Electronics Association; commonly refers to marine data sentence/protocol families.</w:t>
            </w:r>
          </w:p>
        </w:tc>
      </w:tr>
      <w:tr>
        <w:trPr/>
        <w:tc>
          <w:tcPr>
            <w:tcW w:w="1684" w:type="dxa"/>
            <w:tcBorders/>
            <w:vAlign w:val="center"/>
          </w:tcPr>
          <w:p>
            <w:pPr>
              <w:pStyle w:val="TableContents"/>
              <w:bidi w:val="0"/>
              <w:spacing w:before="0" w:after="283"/>
              <w:rPr/>
            </w:pPr>
            <w:r>
              <w:rPr/>
              <w:t>NM</w:t>
            </w:r>
          </w:p>
        </w:tc>
        <w:tc>
          <w:tcPr>
            <w:tcW w:w="10476" w:type="dxa"/>
            <w:tcBorders/>
            <w:vAlign w:val="center"/>
          </w:tcPr>
          <w:p>
            <w:pPr>
              <w:pStyle w:val="TableContents"/>
              <w:bidi w:val="0"/>
              <w:spacing w:before="0" w:after="283"/>
              <w:rPr/>
            </w:pPr>
            <w:r>
              <w:rPr/>
              <w:t>Nautical mile.</w:t>
            </w:r>
          </w:p>
        </w:tc>
      </w:tr>
      <w:tr>
        <w:trPr/>
        <w:tc>
          <w:tcPr>
            <w:tcW w:w="1684" w:type="dxa"/>
            <w:tcBorders/>
            <w:vAlign w:val="center"/>
          </w:tcPr>
          <w:p>
            <w:pPr>
              <w:pStyle w:val="TableContents"/>
              <w:bidi w:val="0"/>
              <w:spacing w:before="0" w:after="283"/>
              <w:rPr/>
            </w:pPr>
            <w:r>
              <w:rPr/>
              <w:t>PA</w:t>
            </w:r>
          </w:p>
        </w:tc>
        <w:tc>
          <w:tcPr>
            <w:tcW w:w="10476" w:type="dxa"/>
            <w:tcBorders/>
            <w:vAlign w:val="center"/>
          </w:tcPr>
          <w:p>
            <w:pPr>
              <w:pStyle w:val="TableContents"/>
              <w:bidi w:val="0"/>
              <w:spacing w:before="0" w:after="283"/>
              <w:rPr/>
            </w:pPr>
            <w:r>
              <w:rPr/>
              <w:t>Parallax in Altitude.</w:t>
            </w:r>
          </w:p>
        </w:tc>
      </w:tr>
      <w:tr>
        <w:trPr/>
        <w:tc>
          <w:tcPr>
            <w:tcW w:w="1684" w:type="dxa"/>
            <w:tcBorders/>
            <w:vAlign w:val="center"/>
          </w:tcPr>
          <w:p>
            <w:pPr>
              <w:pStyle w:val="TableContents"/>
              <w:bidi w:val="0"/>
              <w:spacing w:before="0" w:after="283"/>
              <w:rPr/>
            </w:pPr>
            <w:r>
              <w:rPr/>
              <w:t>PCK</w:t>
            </w:r>
          </w:p>
        </w:tc>
        <w:tc>
          <w:tcPr>
            <w:tcW w:w="10476" w:type="dxa"/>
            <w:tcBorders/>
            <w:vAlign w:val="center"/>
          </w:tcPr>
          <w:p>
            <w:pPr>
              <w:pStyle w:val="TableContents"/>
              <w:bidi w:val="0"/>
              <w:spacing w:before="0" w:after="283"/>
              <w:rPr/>
            </w:pPr>
            <w:r>
              <w:rPr/>
              <w:t>Planetary Constants Kernel used for body orientation data.</w:t>
            </w:r>
          </w:p>
        </w:tc>
      </w:tr>
      <w:tr>
        <w:trPr/>
        <w:tc>
          <w:tcPr>
            <w:tcW w:w="1684" w:type="dxa"/>
            <w:tcBorders/>
            <w:vAlign w:val="center"/>
          </w:tcPr>
          <w:p>
            <w:pPr>
              <w:pStyle w:val="TableContents"/>
              <w:bidi w:val="0"/>
              <w:spacing w:before="0" w:after="283"/>
              <w:rPr/>
            </w:pPr>
            <w:r>
              <w:rPr/>
              <w:t>PDF</w:t>
            </w:r>
          </w:p>
        </w:tc>
        <w:tc>
          <w:tcPr>
            <w:tcW w:w="10476" w:type="dxa"/>
            <w:tcBorders/>
            <w:vAlign w:val="center"/>
          </w:tcPr>
          <w:p>
            <w:pPr>
              <w:pStyle w:val="TableContents"/>
              <w:bidi w:val="0"/>
              <w:spacing w:before="0" w:after="283"/>
              <w:rPr/>
            </w:pPr>
            <w:r>
              <w:rPr/>
              <w:t>Portable Document Format; the fixed-layout display and printable edition of this manual.</w:t>
            </w:r>
          </w:p>
        </w:tc>
      </w:tr>
      <w:tr>
        <w:trPr/>
        <w:tc>
          <w:tcPr>
            <w:tcW w:w="1684" w:type="dxa"/>
            <w:tcBorders/>
            <w:vAlign w:val="center"/>
          </w:tcPr>
          <w:p>
            <w:pPr>
              <w:pStyle w:val="TableContents"/>
              <w:bidi w:val="0"/>
              <w:spacing w:before="0" w:after="283"/>
              <w:rPr/>
            </w:pPr>
            <w:r>
              <w:rPr/>
              <w:t>RA</w:t>
            </w:r>
          </w:p>
        </w:tc>
        <w:tc>
          <w:tcPr>
            <w:tcW w:w="10476" w:type="dxa"/>
            <w:tcBorders/>
            <w:vAlign w:val="center"/>
          </w:tcPr>
          <w:p>
            <w:pPr>
              <w:pStyle w:val="TableContents"/>
              <w:bidi w:val="0"/>
              <w:spacing w:before="0" w:after="283"/>
              <w:rPr/>
            </w:pPr>
            <w:r>
              <w:rPr/>
              <w:t>Right Ascension.</w:t>
            </w:r>
          </w:p>
        </w:tc>
      </w:tr>
      <w:tr>
        <w:trPr/>
        <w:tc>
          <w:tcPr>
            <w:tcW w:w="1684" w:type="dxa"/>
            <w:tcBorders/>
            <w:vAlign w:val="center"/>
          </w:tcPr>
          <w:p>
            <w:pPr>
              <w:pStyle w:val="TableContents"/>
              <w:bidi w:val="0"/>
              <w:spacing w:before="0" w:after="283"/>
              <w:rPr/>
            </w:pPr>
            <w:r>
              <w:rPr/>
              <w:t>RMC</w:t>
            </w:r>
          </w:p>
        </w:tc>
        <w:tc>
          <w:tcPr>
            <w:tcW w:w="10476" w:type="dxa"/>
            <w:tcBorders/>
            <w:vAlign w:val="center"/>
          </w:tcPr>
          <w:p>
            <w:pPr>
              <w:pStyle w:val="TableContents"/>
              <w:bidi w:val="0"/>
              <w:spacing w:before="0" w:after="283"/>
              <w:rPr/>
            </w:pPr>
            <w:r>
              <w:rPr/>
              <w:t>NMEA Recommended Minimum Navigation Information sentence.</w:t>
            </w:r>
          </w:p>
        </w:tc>
      </w:tr>
      <w:tr>
        <w:trPr/>
        <w:tc>
          <w:tcPr>
            <w:tcW w:w="1684" w:type="dxa"/>
            <w:tcBorders/>
            <w:vAlign w:val="center"/>
          </w:tcPr>
          <w:p>
            <w:pPr>
              <w:pStyle w:val="TableContents"/>
              <w:bidi w:val="0"/>
              <w:spacing w:before="0" w:after="283"/>
              <w:rPr/>
            </w:pPr>
            <w:r>
              <w:rPr/>
              <w:t>RMS</w:t>
            </w:r>
          </w:p>
        </w:tc>
        <w:tc>
          <w:tcPr>
            <w:tcW w:w="10476" w:type="dxa"/>
            <w:tcBorders/>
            <w:vAlign w:val="center"/>
          </w:tcPr>
          <w:p>
            <w:pPr>
              <w:pStyle w:val="TableContents"/>
              <w:bidi w:val="0"/>
              <w:spacing w:before="0" w:after="283"/>
              <w:rPr/>
            </w:pPr>
            <w:r>
              <w:rPr/>
              <w:t>Root Mean Square; a summary measure of residual size. It does not by itself establish that a solution is correct.</w:t>
            </w:r>
          </w:p>
        </w:tc>
      </w:tr>
      <w:tr>
        <w:trPr/>
        <w:tc>
          <w:tcPr>
            <w:tcW w:w="1684" w:type="dxa"/>
            <w:tcBorders/>
            <w:vAlign w:val="center"/>
          </w:tcPr>
          <w:p>
            <w:pPr>
              <w:pStyle w:val="TableContents"/>
              <w:bidi w:val="0"/>
              <w:spacing w:before="0" w:after="283"/>
              <w:rPr/>
            </w:pPr>
            <w:r>
              <w:rPr/>
              <w:t>SD</w:t>
            </w:r>
          </w:p>
        </w:tc>
        <w:tc>
          <w:tcPr>
            <w:tcW w:w="10476" w:type="dxa"/>
            <w:tcBorders/>
            <w:vAlign w:val="center"/>
          </w:tcPr>
          <w:p>
            <w:pPr>
              <w:pStyle w:val="TableContents"/>
              <w:bidi w:val="0"/>
              <w:spacing w:before="0" w:after="283"/>
              <w:rPr/>
            </w:pPr>
            <w:r>
              <w:rPr/>
              <w:t>Semidiameter.</w:t>
            </w:r>
          </w:p>
        </w:tc>
      </w:tr>
      <w:tr>
        <w:trPr/>
        <w:tc>
          <w:tcPr>
            <w:tcW w:w="1684" w:type="dxa"/>
            <w:tcBorders/>
            <w:vAlign w:val="center"/>
          </w:tcPr>
          <w:p>
            <w:pPr>
              <w:pStyle w:val="TableContents"/>
              <w:bidi w:val="0"/>
              <w:spacing w:before="0" w:after="283"/>
              <w:rPr/>
            </w:pPr>
            <w:r>
              <w:rPr/>
              <w:t>SHA</w:t>
            </w:r>
          </w:p>
        </w:tc>
        <w:tc>
          <w:tcPr>
            <w:tcW w:w="10476" w:type="dxa"/>
            <w:tcBorders/>
            <w:vAlign w:val="center"/>
          </w:tcPr>
          <w:p>
            <w:pPr>
              <w:pStyle w:val="TableContents"/>
              <w:bidi w:val="0"/>
              <w:spacing w:before="0" w:after="283"/>
              <w:rPr/>
            </w:pPr>
            <w:r>
              <w:rPr/>
              <w:t>Sidereal Hour Angle.</w:t>
            </w:r>
          </w:p>
        </w:tc>
      </w:tr>
      <w:tr>
        <w:trPr/>
        <w:tc>
          <w:tcPr>
            <w:tcW w:w="1684" w:type="dxa"/>
            <w:tcBorders/>
            <w:vAlign w:val="center"/>
          </w:tcPr>
          <w:p>
            <w:pPr>
              <w:pStyle w:val="TableContents"/>
              <w:bidi w:val="0"/>
              <w:spacing w:before="0" w:after="283"/>
              <w:rPr/>
            </w:pPr>
            <w:r>
              <w:rPr/>
              <w:t>SOG</w:t>
            </w:r>
          </w:p>
        </w:tc>
        <w:tc>
          <w:tcPr>
            <w:tcW w:w="10476" w:type="dxa"/>
            <w:tcBorders/>
            <w:vAlign w:val="center"/>
          </w:tcPr>
          <w:p>
            <w:pPr>
              <w:pStyle w:val="TableContents"/>
              <w:bidi w:val="0"/>
              <w:spacing w:before="0" w:after="283"/>
              <w:rPr/>
            </w:pPr>
            <w:r>
              <w:rPr/>
              <w:t>Speed Over Ground in knots.</w:t>
            </w:r>
          </w:p>
        </w:tc>
      </w:tr>
      <w:tr>
        <w:trPr/>
        <w:tc>
          <w:tcPr>
            <w:tcW w:w="1684" w:type="dxa"/>
            <w:tcBorders/>
            <w:vAlign w:val="center"/>
          </w:tcPr>
          <w:p>
            <w:pPr>
              <w:pStyle w:val="TableContents"/>
              <w:bidi w:val="0"/>
              <w:spacing w:before="0" w:after="283"/>
              <w:rPr/>
            </w:pPr>
            <w:r>
              <w:rPr/>
              <w:t>TAI</w:t>
            </w:r>
          </w:p>
        </w:tc>
        <w:tc>
          <w:tcPr>
            <w:tcW w:w="10476" w:type="dxa"/>
            <w:tcBorders/>
            <w:vAlign w:val="center"/>
          </w:tcPr>
          <w:p>
            <w:pPr>
              <w:pStyle w:val="TableContents"/>
              <w:bidi w:val="0"/>
              <w:spacing w:before="0" w:after="283"/>
              <w:rPr/>
            </w:pPr>
            <w:r>
              <w:rPr/>
              <w:t>International Atomic Time.</w:t>
            </w:r>
          </w:p>
        </w:tc>
      </w:tr>
      <w:tr>
        <w:trPr/>
        <w:tc>
          <w:tcPr>
            <w:tcW w:w="1684" w:type="dxa"/>
            <w:tcBorders/>
            <w:vAlign w:val="center"/>
          </w:tcPr>
          <w:p>
            <w:pPr>
              <w:pStyle w:val="TableContents"/>
              <w:bidi w:val="0"/>
              <w:spacing w:before="0" w:after="283"/>
              <w:rPr/>
            </w:pPr>
            <w:r>
              <w:rPr/>
              <w:t>TT</w:t>
            </w:r>
          </w:p>
        </w:tc>
        <w:tc>
          <w:tcPr>
            <w:tcW w:w="10476" w:type="dxa"/>
            <w:tcBorders/>
            <w:vAlign w:val="center"/>
          </w:tcPr>
          <w:p>
            <w:pPr>
              <w:pStyle w:val="TableContents"/>
              <w:bidi w:val="0"/>
              <w:spacing w:before="0" w:after="283"/>
              <w:rPr/>
            </w:pPr>
            <w:r>
              <w:rPr/>
              <w:t>Terrestrial Time, used in ephemeris calculations.</w:t>
            </w:r>
          </w:p>
        </w:tc>
      </w:tr>
      <w:tr>
        <w:trPr/>
        <w:tc>
          <w:tcPr>
            <w:tcW w:w="1684" w:type="dxa"/>
            <w:tcBorders/>
            <w:vAlign w:val="center"/>
          </w:tcPr>
          <w:p>
            <w:pPr>
              <w:pStyle w:val="TableContents"/>
              <w:bidi w:val="0"/>
              <w:spacing w:before="0" w:after="283"/>
              <w:rPr/>
            </w:pPr>
            <w:r>
              <w:rPr/>
              <w:t>UI</w:t>
            </w:r>
          </w:p>
        </w:tc>
        <w:tc>
          <w:tcPr>
            <w:tcW w:w="10476" w:type="dxa"/>
            <w:tcBorders/>
            <w:vAlign w:val="center"/>
          </w:tcPr>
          <w:p>
            <w:pPr>
              <w:pStyle w:val="TableContents"/>
              <w:bidi w:val="0"/>
              <w:spacing w:before="0" w:after="283"/>
              <w:rPr/>
            </w:pPr>
            <w:r>
              <w:rPr/>
              <w:t>User Interface.</w:t>
            </w:r>
          </w:p>
        </w:tc>
      </w:tr>
      <w:tr>
        <w:trPr/>
        <w:tc>
          <w:tcPr>
            <w:tcW w:w="1684" w:type="dxa"/>
            <w:tcBorders/>
            <w:vAlign w:val="center"/>
          </w:tcPr>
          <w:p>
            <w:pPr>
              <w:pStyle w:val="TableContents"/>
              <w:bidi w:val="0"/>
              <w:spacing w:before="0" w:after="283"/>
              <w:rPr/>
            </w:pPr>
            <w:r>
              <w:rPr/>
              <w:t>USNO</w:t>
            </w:r>
          </w:p>
        </w:tc>
        <w:tc>
          <w:tcPr>
            <w:tcW w:w="10476" w:type="dxa"/>
            <w:tcBorders/>
            <w:vAlign w:val="center"/>
          </w:tcPr>
          <w:p>
            <w:pPr>
              <w:pStyle w:val="TableContents"/>
              <w:bidi w:val="0"/>
              <w:spacing w:before="0" w:after="283"/>
              <w:rPr/>
            </w:pPr>
            <w:r>
              <w:rPr/>
              <w:t>United States Naval Observatory.</w:t>
            </w:r>
          </w:p>
        </w:tc>
      </w:tr>
      <w:tr>
        <w:trPr/>
        <w:tc>
          <w:tcPr>
            <w:tcW w:w="1684" w:type="dxa"/>
            <w:tcBorders/>
            <w:vAlign w:val="center"/>
          </w:tcPr>
          <w:p>
            <w:pPr>
              <w:pStyle w:val="TableContents"/>
              <w:bidi w:val="0"/>
              <w:spacing w:before="0" w:after="283"/>
              <w:rPr/>
            </w:pPr>
            <w:r>
              <w:rPr/>
              <w:t>UT</w:t>
            </w:r>
          </w:p>
        </w:tc>
        <w:tc>
          <w:tcPr>
            <w:tcW w:w="10476" w:type="dxa"/>
            <w:tcBorders/>
            <w:vAlign w:val="center"/>
          </w:tcPr>
          <w:p>
            <w:pPr>
              <w:pStyle w:val="TableContents"/>
              <w:bidi w:val="0"/>
              <w:spacing w:before="0" w:after="283"/>
              <w:rPr/>
            </w:pPr>
            <w:r>
              <w:rPr/>
              <w:t>Universal Time; use the specifically stated form where precision matters.</w:t>
            </w:r>
          </w:p>
        </w:tc>
      </w:tr>
      <w:tr>
        <w:trPr/>
        <w:tc>
          <w:tcPr>
            <w:tcW w:w="1684" w:type="dxa"/>
            <w:tcBorders/>
            <w:vAlign w:val="center"/>
          </w:tcPr>
          <w:p>
            <w:pPr>
              <w:pStyle w:val="TableContents"/>
              <w:bidi w:val="0"/>
              <w:spacing w:before="0" w:after="283"/>
              <w:rPr/>
            </w:pPr>
            <w:r>
              <w:rPr/>
              <w:t>UT1</w:t>
            </w:r>
          </w:p>
        </w:tc>
        <w:tc>
          <w:tcPr>
            <w:tcW w:w="10476" w:type="dxa"/>
            <w:tcBorders/>
            <w:vAlign w:val="center"/>
          </w:tcPr>
          <w:p>
            <w:pPr>
              <w:pStyle w:val="TableContents"/>
              <w:bidi w:val="0"/>
              <w:spacing w:before="0" w:after="283"/>
              <w:rPr/>
            </w:pPr>
            <w:r>
              <w:rPr/>
              <w:t>Universal Time derived from Earth rotation.</w:t>
            </w:r>
          </w:p>
        </w:tc>
      </w:tr>
      <w:tr>
        <w:trPr/>
        <w:tc>
          <w:tcPr>
            <w:tcW w:w="1684" w:type="dxa"/>
            <w:tcBorders/>
            <w:vAlign w:val="center"/>
          </w:tcPr>
          <w:p>
            <w:pPr>
              <w:pStyle w:val="TableContents"/>
              <w:bidi w:val="0"/>
              <w:spacing w:before="0" w:after="283"/>
              <w:rPr/>
            </w:pPr>
            <w:r>
              <w:rPr/>
              <w:t>UTC</w:t>
            </w:r>
          </w:p>
        </w:tc>
        <w:tc>
          <w:tcPr>
            <w:tcW w:w="10476" w:type="dxa"/>
            <w:tcBorders/>
            <w:vAlign w:val="center"/>
          </w:tcPr>
          <w:p>
            <w:pPr>
              <w:pStyle w:val="TableContents"/>
              <w:bidi w:val="0"/>
              <w:spacing w:before="0" w:after="283"/>
              <w:rPr/>
            </w:pPr>
            <w:r>
              <w:rPr/>
              <w:t>Coordinated Universal Time.</w:t>
            </w:r>
          </w:p>
        </w:tc>
      </w:tr>
      <w:tr>
        <w:trPr/>
        <w:tc>
          <w:tcPr>
            <w:tcW w:w="1684" w:type="dxa"/>
            <w:tcBorders/>
            <w:vAlign w:val="center"/>
          </w:tcPr>
          <w:p>
            <w:pPr>
              <w:pStyle w:val="TableContents"/>
              <w:bidi w:val="0"/>
              <w:spacing w:before="0" w:after="283"/>
              <w:rPr/>
            </w:pPr>
            <w:r>
              <w:rPr/>
              <w:t>WMM</w:t>
            </w:r>
          </w:p>
        </w:tc>
        <w:tc>
          <w:tcPr>
            <w:tcW w:w="10476" w:type="dxa"/>
            <w:tcBorders/>
            <w:vAlign w:val="center"/>
          </w:tcPr>
          <w:p>
            <w:pPr>
              <w:pStyle w:val="TableContents"/>
              <w:bidi w:val="0"/>
              <w:spacing w:before="0" w:after="283"/>
              <w:rPr/>
            </w:pPr>
            <w:r>
              <w:rPr/>
              <w:t>World Magnetic Model.</w:t>
            </w:r>
          </w:p>
        </w:tc>
      </w:tr>
      <w:tr>
        <w:trPr/>
        <w:tc>
          <w:tcPr>
            <w:tcW w:w="1684" w:type="dxa"/>
            <w:tcBorders/>
            <w:vAlign w:val="center"/>
          </w:tcPr>
          <w:p>
            <w:pPr>
              <w:pStyle w:val="TableContents"/>
              <w:bidi w:val="0"/>
              <w:spacing w:before="0" w:after="283"/>
              <w:rPr/>
            </w:pPr>
            <w:r>
              <w:rPr/>
              <w:t>ZD</w:t>
            </w:r>
          </w:p>
        </w:tc>
        <w:tc>
          <w:tcPr>
            <w:tcW w:w="10476" w:type="dxa"/>
            <w:tcBorders/>
            <w:vAlign w:val="center"/>
          </w:tcPr>
          <w:p>
            <w:pPr>
              <w:pStyle w:val="TableContents"/>
              <w:bidi w:val="0"/>
              <w:spacing w:before="0" w:after="283"/>
              <w:rPr/>
            </w:pPr>
            <w:r>
              <w:rPr/>
              <w:t>Zone Description in traditional nautical time notation; do not confuse with zenith distance z.</w:t>
            </w:r>
          </w:p>
        </w:tc>
      </w:tr>
      <w:tr>
        <w:trPr/>
        <w:tc>
          <w:tcPr>
            <w:tcW w:w="1684" w:type="dxa"/>
            <w:tcBorders/>
            <w:vAlign w:val="center"/>
          </w:tcPr>
          <w:p>
            <w:pPr>
              <w:pStyle w:val="TableContents"/>
              <w:bidi w:val="0"/>
              <w:spacing w:before="0" w:after="283"/>
              <w:rPr/>
            </w:pPr>
            <w:r>
              <w:rPr/>
              <w:t>ZDA</w:t>
            </w:r>
          </w:p>
        </w:tc>
        <w:tc>
          <w:tcPr>
            <w:tcW w:w="10476" w:type="dxa"/>
            <w:tcBorders/>
            <w:vAlign w:val="center"/>
          </w:tcPr>
          <w:p>
            <w:pPr>
              <w:pStyle w:val="TableContents"/>
              <w:bidi w:val="0"/>
              <w:spacing w:before="0" w:after="283"/>
              <w:rPr/>
            </w:pPr>
            <w:r>
              <w:rPr/>
              <w:t>NMEA Time &amp; Date sentence.</w:t>
            </w:r>
          </w:p>
        </w:tc>
      </w:tr>
      <w:tr>
        <w:trPr/>
        <w:tc>
          <w:tcPr>
            <w:tcW w:w="1684" w:type="dxa"/>
            <w:tcBorders/>
            <w:vAlign w:val="center"/>
          </w:tcPr>
          <w:p>
            <w:pPr>
              <w:pStyle w:val="TableContents"/>
              <w:bidi w:val="0"/>
              <w:spacing w:before="0" w:after="283"/>
              <w:rPr/>
            </w:pPr>
            <w:r>
              <w:rPr/>
              <w:t>Zn</w:t>
            </w:r>
          </w:p>
        </w:tc>
        <w:tc>
          <w:tcPr>
            <w:tcW w:w="10476" w:type="dxa"/>
            <w:tcBorders/>
            <w:vAlign w:val="center"/>
          </w:tcPr>
          <w:p>
            <w:pPr>
              <w:pStyle w:val="TableContents"/>
              <w:bidi w:val="0"/>
              <w:spacing w:before="0" w:after="283"/>
              <w:rPr/>
            </w:pPr>
            <w:r>
              <w:rPr/>
              <w:t>True azimuth, normally 000°–360° clockwise from true north.</w:t>
            </w:r>
          </w:p>
        </w:tc>
      </w:tr>
      <w:tr>
        <w:trPr/>
        <w:tc>
          <w:tcPr>
            <w:tcW w:w="1684" w:type="dxa"/>
            <w:tcBorders/>
            <w:vAlign w:val="center"/>
          </w:tcPr>
          <w:p>
            <w:pPr>
              <w:pStyle w:val="TableContents"/>
              <w:bidi w:val="0"/>
              <w:spacing w:before="0" w:after="283"/>
              <w:rPr/>
            </w:pPr>
            <w:r>
              <w:rPr/>
              <w:t>z</w:t>
            </w:r>
          </w:p>
        </w:tc>
        <w:tc>
          <w:tcPr>
            <w:tcW w:w="10476" w:type="dxa"/>
            <w:tcBorders/>
            <w:vAlign w:val="center"/>
          </w:tcPr>
          <w:p>
            <w:pPr>
              <w:pStyle w:val="TableContents"/>
              <w:bidi w:val="0"/>
              <w:spacing w:before="0" w:after="283"/>
              <w:rPr/>
            </w:pPr>
            <w:r>
              <w:rPr/>
              <w:t>Zenith distance, 90° − altitude.</w:t>
            </w:r>
          </w:p>
        </w:tc>
      </w:tr>
      <w:tr>
        <w:trPr/>
        <w:tc>
          <w:tcPr>
            <w:tcW w:w="1684" w:type="dxa"/>
            <w:tcBorders/>
            <w:vAlign w:val="center"/>
          </w:tcPr>
          <w:p>
            <w:pPr>
              <w:pStyle w:val="TableContents"/>
              <w:bidi w:val="0"/>
              <w:spacing w:before="0" w:after="283"/>
              <w:rPr/>
            </w:pPr>
            <w:r>
              <w:rPr/>
              <w:t>ΔT</w:t>
            </w:r>
          </w:p>
        </w:tc>
        <w:tc>
          <w:tcPr>
            <w:tcW w:w="10476" w:type="dxa"/>
            <w:tcBorders/>
            <w:vAlign w:val="center"/>
          </w:tcPr>
          <w:p>
            <w:pPr>
              <w:pStyle w:val="TableContents"/>
              <w:bidi w:val="0"/>
              <w:spacing w:before="0" w:after="283"/>
              <w:rPr/>
            </w:pPr>
            <w:r>
              <w:rPr/>
              <w:t>TT − UT1, required when relating dynamical ephemeris time to Earth rotation.</w:t>
            </w:r>
          </w:p>
        </w:tc>
      </w:tr>
    </w:tbl>
    <w:p>
      <w:pPr>
        <w:pStyle w:val="Heading1"/>
        <w:bidi w:val="0"/>
        <w:ind w:hanging="0" w:start="0" w:end="0"/>
        <w:rPr/>
      </w:pPr>
      <w:bookmarkStart w:id="23" w:name="glossary"/>
      <w:bookmarkEnd w:id="23"/>
      <w:r>
        <w:rPr/>
        <w:t>Appendix B — Glossary</w:t>
      </w:r>
    </w:p>
    <w:p>
      <w:pPr>
        <w:pStyle w:val="ListHeading"/>
        <w:bidi w:val="0"/>
        <w:rPr/>
      </w:pPr>
      <w:r>
        <w:rPr>
          <w:rStyle w:val="Strong"/>
        </w:rPr>
        <w:t>Ageton table</w:t>
      </w:r>
    </w:p>
    <w:p>
      <w:pPr>
        <w:pStyle w:val="ListContents"/>
        <w:bidi w:val="0"/>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rPr/>
      </w:pPr>
      <w:r>
        <w:rPr>
          <w:rStyle w:val="Strong"/>
        </w:rPr>
        <w:t>Almanac</w:t>
      </w:r>
    </w:p>
    <w:p>
      <w:pPr>
        <w:pStyle w:val="ListContents"/>
        <w:bidi w:val="0"/>
        <w:rPr/>
      </w:pPr>
      <w:r>
        <w:rPr/>
        <w:t xml:space="preserve">Tabulation or computation of celestial coordinates and supporting navigation data for stated times. </w:t>
      </w:r>
    </w:p>
    <w:p>
      <w:pPr>
        <w:pStyle w:val="ListHeading"/>
        <w:bidi w:val="0"/>
        <w:rPr/>
      </w:pPr>
      <w:r>
        <w:rPr>
          <w:rStyle w:val="Strong"/>
        </w:rPr>
        <w:t>Altitude</w:t>
      </w:r>
    </w:p>
    <w:p>
      <w:pPr>
        <w:pStyle w:val="ListContents"/>
        <w:bidi w:val="0"/>
        <w:rPr/>
      </w:pPr>
      <w:r>
        <w:rPr/>
        <w:t xml:space="preserve">Angular height of a body above the observer's horizon, measured along a vertical circle. </w:t>
      </w:r>
    </w:p>
    <w:p>
      <w:pPr>
        <w:pStyle w:val="ListHeading"/>
        <w:bidi w:val="0"/>
        <w:rPr/>
      </w:pPr>
      <w:r>
        <w:rPr>
          <w:rStyle w:val="Strong"/>
        </w:rPr>
        <w:t>Apparent altitude (Ha)</w:t>
      </w:r>
    </w:p>
    <w:p>
      <w:pPr>
        <w:pStyle w:val="ListContents"/>
        <w:bidi w:val="0"/>
        <w:rPr/>
      </w:pPr>
      <w:r>
        <w:rPr/>
        <w:t xml:space="preserve">In this manual, Hs after index and dip/horizon correction, before the main body/atmospheric corrections. </w:t>
      </w:r>
    </w:p>
    <w:p>
      <w:pPr>
        <w:pStyle w:val="ListHeading"/>
        <w:bidi w:val="0"/>
        <w:rPr/>
      </w:pPr>
      <w:r>
        <w:rPr>
          <w:rStyle w:val="Strong"/>
        </w:rPr>
        <w:t>Artificial horizon</w:t>
      </w:r>
    </w:p>
    <w:p>
      <w:pPr>
        <w:pStyle w:val="ListContents"/>
        <w:bidi w:val="0"/>
        <w:rPr/>
      </w:pPr>
      <w:r>
        <w:rPr/>
        <w:t xml:space="preserve">A reflecting horizontal surface used when no natural sea horizon is available. The observed angle is normally doubled by reflection geometry. </w:t>
      </w:r>
    </w:p>
    <w:p>
      <w:pPr>
        <w:pStyle w:val="ListHeading"/>
        <w:bidi w:val="0"/>
        <w:rPr/>
      </w:pPr>
      <w:r>
        <w:rPr>
          <w:rStyle w:val="Strong"/>
        </w:rPr>
        <w:t>Assumed Position</w:t>
      </w:r>
    </w:p>
    <w:p>
      <w:pPr>
        <w:pStyle w:val="ListContents"/>
        <w:bidi w:val="0"/>
        <w:rPr/>
      </w:pPr>
      <w:r>
        <w:rPr/>
        <w:t xml:space="preserve">A convenient position near the DR at which Hc and Zn are computed. It is a calculation origin, not a claim that the vessel is there. </w:t>
      </w:r>
    </w:p>
    <w:p>
      <w:pPr>
        <w:pStyle w:val="ListHeading"/>
        <w:bidi w:val="0"/>
        <w:rPr/>
      </w:pPr>
      <w:r>
        <w:rPr>
          <w:rStyle w:val="Strong"/>
        </w:rPr>
        <w:t>Azimuth</w:t>
      </w:r>
    </w:p>
    <w:p>
      <w:pPr>
        <w:pStyle w:val="ListContents"/>
        <w:bidi w:val="0"/>
        <w:rPr/>
      </w:pPr>
      <w:r>
        <w:rPr/>
        <w:t xml:space="preserve">Horizontal direction of a body. Zn is true azimuth clockwise from true north; a raw compass bearing is not Zn until corrected. </w:t>
      </w:r>
    </w:p>
    <w:p>
      <w:pPr>
        <w:pStyle w:val="ListHeading"/>
        <w:bidi w:val="0"/>
        <w:rPr/>
      </w:pPr>
      <w:r>
        <w:rPr>
          <w:rStyle w:val="Strong"/>
        </w:rPr>
        <w:t>Back sight</w:t>
      </w:r>
    </w:p>
    <w:p>
      <w:pPr>
        <w:pStyle w:val="ListContents"/>
        <w:bidi w:val="0"/>
        <w:rPr/>
      </w:pPr>
      <w:r>
        <w:rPr/>
        <w:t xml:space="preserve">A sextant observation made with geometry opposite the normal forward observation, requiring correct interpretation of the angle and horizon. </w:t>
      </w:r>
    </w:p>
    <w:p>
      <w:pPr>
        <w:pStyle w:val="ListHeading"/>
        <w:bidi w:val="0"/>
        <w:rPr/>
      </w:pPr>
      <w:r>
        <w:rPr>
          <w:rStyle w:val="Strong"/>
        </w:rPr>
        <w:t>Calculated altitude (Hc)</w:t>
      </w:r>
    </w:p>
    <w:p>
      <w:pPr>
        <w:pStyle w:val="ListContents"/>
        <w:bidi w:val="0"/>
        <w:rPr/>
      </w:pPr>
      <w:r>
        <w:rPr/>
        <w:t xml:space="preserve">The altitude predicted for the selected body, time and AP. </w:t>
      </w:r>
    </w:p>
    <w:p>
      <w:pPr>
        <w:pStyle w:val="ListHeading"/>
        <w:bidi w:val="0"/>
        <w:rPr/>
      </w:pPr>
      <w:r>
        <w:rPr>
          <w:rStyle w:val="Strong"/>
        </w:rPr>
        <w:t>Calculator-complete backup</w:t>
      </w:r>
    </w:p>
    <w:p>
      <w:pPr>
        <w:pStyle w:val="ListContents"/>
        <w:bidi w:val="0"/>
        <w:rPr/>
      </w:pPr>
      <w:r>
        <w:rPr/>
        <w:t xml:space="preserve">A document containing the ephemeris, corrections, formulae and procedures required to reduce its supported sights using a scientific calculator. </w:t>
      </w:r>
    </w:p>
    <w:p>
      <w:pPr>
        <w:pStyle w:val="ListHeading"/>
        <w:bidi w:val="0"/>
        <w:rPr/>
      </w:pPr>
      <w:r>
        <w:rPr>
          <w:rStyle w:val="Strong"/>
        </w:rPr>
        <w:t>Calculator-free backup</w:t>
      </w:r>
    </w:p>
    <w:p>
      <w:pPr>
        <w:pStyle w:val="ListContents"/>
        <w:bidi w:val="0"/>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rPr/>
      </w:pPr>
      <w:r>
        <w:rPr>
          <w:rStyle w:val="Strong"/>
        </w:rPr>
        <w:t>Celestial equator</w:t>
      </w:r>
    </w:p>
    <w:p>
      <w:pPr>
        <w:pStyle w:val="ListContents"/>
        <w:bidi w:val="0"/>
        <w:rPr/>
      </w:pPr>
      <w:r>
        <w:rPr/>
        <w:t xml:space="preserve">Earth's equatorial plane extended to the celestial sphere. </w:t>
      </w:r>
    </w:p>
    <w:p>
      <w:pPr>
        <w:pStyle w:val="ListHeading"/>
        <w:bidi w:val="0"/>
        <w:rPr/>
      </w:pPr>
      <w:r>
        <w:rPr>
          <w:rStyle w:val="Strong"/>
        </w:rPr>
        <w:t>Celestial sphere</w:t>
      </w:r>
    </w:p>
    <w:p>
      <w:pPr>
        <w:pStyle w:val="ListContents"/>
        <w:bidi w:val="0"/>
        <w:rPr/>
      </w:pPr>
      <w:r>
        <w:rPr/>
        <w:t xml:space="preserve">A conceptual sphere on which directions to celestial bodies are represented. Distance to the body is irrelevant to the angular coordinate construction. </w:t>
      </w:r>
    </w:p>
    <w:p>
      <w:pPr>
        <w:pStyle w:val="ListHeading"/>
        <w:bidi w:val="0"/>
        <w:rPr/>
      </w:pPr>
      <w:r>
        <w:rPr>
          <w:rStyle w:val="Strong"/>
        </w:rPr>
        <w:t>Centering error</w:t>
      </w:r>
    </w:p>
    <w:p>
      <w:pPr>
        <w:pStyle w:val="ListContents"/>
        <w:bidi w:val="0"/>
        <w:rPr/>
      </w:pPr>
      <w:r>
        <w:rPr/>
        <w:t xml:space="preserve">Sextant arc error caused when the index-arm pivot is not exactly at the geometric centre of the graduated arc; it may vary with measured angle. </w:t>
      </w:r>
    </w:p>
    <w:p>
      <w:pPr>
        <w:pStyle w:val="ListHeading"/>
        <w:bidi w:val="0"/>
        <w:rPr/>
      </w:pPr>
      <w:r>
        <w:rPr>
          <w:rStyle w:val="Strong"/>
        </w:rPr>
        <w:t>Chronometer / deck watch</w:t>
      </w:r>
    </w:p>
    <w:p>
      <w:pPr>
        <w:pStyle w:val="ListContents"/>
        <w:bidi w:val="0"/>
        <w:rPr/>
      </w:pPr>
      <w:r>
        <w:rPr/>
        <w:t xml:space="preserve">A clock used to carry a known time reference. Rate stability and known error are more important than displaying an apparently exact value. </w:t>
      </w:r>
    </w:p>
    <w:p>
      <w:pPr>
        <w:pStyle w:val="ListHeading"/>
        <w:bidi w:val="0"/>
        <w:rPr/>
      </w:pPr>
      <w:r>
        <w:rPr>
          <w:rStyle w:val="Strong"/>
        </w:rPr>
        <w:t>Circle of Equal Altitude</w:t>
      </w:r>
    </w:p>
    <w:p>
      <w:pPr>
        <w:pStyle w:val="ListContents"/>
        <w:bidi w:val="0"/>
        <w:rPr/>
      </w:pPr>
      <w:r>
        <w:rPr/>
        <w:t xml:space="preserve">The locus of positions from which a body has the same corrected altitude at one instant; centred on the body's GP. </w:t>
      </w:r>
    </w:p>
    <w:p>
      <w:pPr>
        <w:pStyle w:val="ListHeading"/>
        <w:bidi w:val="0"/>
        <w:rPr/>
      </w:pPr>
      <w:r>
        <w:rPr>
          <w:rStyle w:val="Strong"/>
        </w:rPr>
        <w:t>Circle of Position</w:t>
      </w:r>
    </w:p>
    <w:p>
      <w:pPr>
        <w:pStyle w:val="ListContents"/>
        <w:bidi w:val="0"/>
        <w:rPr/>
      </w:pPr>
      <w:r>
        <w:rPr/>
        <w:t xml:space="preserve">Any circular position locus. An equal-altitude circle is the normal celestial COP. </w:t>
      </w:r>
    </w:p>
    <w:p>
      <w:pPr>
        <w:pStyle w:val="ListHeading"/>
        <w:bidi w:val="0"/>
        <w:rPr/>
      </w:pPr>
      <w:r>
        <w:rPr>
          <w:rStyle w:val="Strong"/>
        </w:rPr>
        <w:t>Clearing a lunar distance</w:t>
      </w:r>
    </w:p>
    <w:p>
      <w:pPr>
        <w:pStyle w:val="ListContents"/>
        <w:bidi w:val="0"/>
        <w:rPr/>
      </w:pPr>
      <w:r>
        <w:rPr/>
        <w:t xml:space="preserve">Converting the observed limb-to-limb/topocentric distance to the equivalent geocentric centre-to-centre angular distance by applying limb, refraction and parallax corrections. </w:t>
      </w:r>
    </w:p>
    <w:p>
      <w:pPr>
        <w:pStyle w:val="ListHeading"/>
        <w:bidi w:val="0"/>
        <w:rPr/>
      </w:pPr>
      <w:r>
        <w:rPr>
          <w:rStyle w:val="Strong"/>
        </w:rPr>
        <w:t>Clock correction</w:t>
      </w:r>
    </w:p>
    <w:p>
      <w:pPr>
        <w:pStyle w:val="ListContents"/>
        <w:bidi w:val="0"/>
        <w:rPr/>
      </w:pPr>
      <w:r>
        <w:rPr/>
        <w:t xml:space="preserve">The value applied to a displayed watch time to obtain the required reference time. State the sign convention; do not confuse it with “watch error.” </w:t>
      </w:r>
    </w:p>
    <w:p>
      <w:pPr>
        <w:pStyle w:val="ListHeading"/>
        <w:bidi w:val="0"/>
        <w:rPr/>
      </w:pPr>
      <w:r>
        <w:rPr>
          <w:rStyle w:val="Strong"/>
        </w:rPr>
        <w:t>Collimation error</w:t>
      </w:r>
    </w:p>
    <w:p>
      <w:pPr>
        <w:pStyle w:val="ListContents"/>
        <w:bidi w:val="0"/>
        <w:rPr/>
      </w:pPr>
      <w:r>
        <w:rPr/>
        <w:t xml:space="preserve">Sextant telescope/line-of-sight misalignment relative to the instrument plane. Correct it mechanically according to the maker's instructions. </w:t>
      </w:r>
    </w:p>
    <w:p>
      <w:pPr>
        <w:pStyle w:val="ListHeading"/>
        <w:bidi w:val="0"/>
        <w:rPr/>
      </w:pPr>
      <w:r>
        <w:rPr>
          <w:rStyle w:val="Strong"/>
        </w:rPr>
        <w:t>Compass deviation</w:t>
      </w:r>
    </w:p>
    <w:p>
      <w:pPr>
        <w:pStyle w:val="ListContents"/>
        <w:bidi w:val="0"/>
        <w:rPr/>
      </w:pPr>
      <w:r>
        <w:rPr/>
        <w:t xml:space="preserve">Error of the vessel's magnetic compass caused by the vessel and onboard fields. It varies with heading and installation. </w:t>
      </w:r>
    </w:p>
    <w:p>
      <w:pPr>
        <w:pStyle w:val="ListHeading"/>
        <w:bidi w:val="0"/>
        <w:rPr/>
      </w:pPr>
      <w:r>
        <w:rPr>
          <w:rStyle w:val="Strong"/>
        </w:rPr>
        <w:t>Computed altitude</w:t>
      </w:r>
    </w:p>
    <w:p>
      <w:pPr>
        <w:pStyle w:val="ListContents"/>
        <w:bidi w:val="0"/>
        <w:rPr/>
      </w:pPr>
      <w:r>
        <w:rPr/>
        <w:t xml:space="preserve">See Hc. </w:t>
      </w:r>
    </w:p>
    <w:p>
      <w:pPr>
        <w:pStyle w:val="ListHeading"/>
        <w:bidi w:val="0"/>
        <w:rPr/>
      </w:pPr>
      <w:r>
        <w:rPr>
          <w:rStyle w:val="Strong"/>
        </w:rPr>
        <w:t>Correction profile</w:t>
      </w:r>
    </w:p>
    <w:p>
      <w:pPr>
        <w:pStyle w:val="ListContents"/>
        <w:bidi w:val="0"/>
        <w:rPr/>
      </w:pPr>
      <w:r>
        <w:rPr/>
        <w:t xml:space="preserve">A documented set of angle-dependent corrections derived from repeated checks of one identified instrument. It supplements, and must not replace, proper mechanical adjustment. </w:t>
      </w:r>
    </w:p>
    <w:p>
      <w:pPr>
        <w:pStyle w:val="ListHeading"/>
        <w:bidi w:val="0"/>
        <w:rPr/>
      </w:pPr>
      <w:r>
        <w:rPr>
          <w:rStyle w:val="Strong"/>
        </w:rPr>
        <w:t>Coverage corridor</w:t>
      </w:r>
    </w:p>
    <w:p>
      <w:pPr>
        <w:pStyle w:val="ListContents"/>
        <w:bidi w:val="0"/>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rPr/>
      </w:pPr>
      <w:r>
        <w:rPr>
          <w:rStyle w:val="Strong"/>
        </w:rPr>
        <w:t>Dead reckoning</w:t>
      </w:r>
    </w:p>
    <w:p>
      <w:pPr>
        <w:pStyle w:val="ListContents"/>
        <w:bidi w:val="0"/>
        <w:rPr/>
      </w:pPr>
      <w:r>
        <w:rPr/>
        <w:t xml:space="preserve">Advancing a known position by courses and distances without using a new position observation. Set, drift and leeway must be considered separately or incorporated. </w:t>
      </w:r>
    </w:p>
    <w:p>
      <w:pPr>
        <w:pStyle w:val="ListHeading"/>
        <w:bidi w:val="0"/>
        <w:rPr/>
      </w:pPr>
      <w:r>
        <w:rPr>
          <w:rStyle w:val="Strong"/>
        </w:rPr>
        <w:t>Declination</w:t>
      </w:r>
    </w:p>
    <w:p>
      <w:pPr>
        <w:pStyle w:val="ListContents"/>
        <w:bidi w:val="0"/>
        <w:rPr/>
      </w:pPr>
      <w:r>
        <w:rPr/>
        <w:t xml:space="preserve">Angular distance north or south of the celestial equator. It is the latitude of the body's GP. </w:t>
      </w:r>
    </w:p>
    <w:p>
      <w:pPr>
        <w:pStyle w:val="ListHeading"/>
        <w:bidi w:val="0"/>
        <w:rPr/>
      </w:pPr>
      <w:r>
        <w:rPr>
          <w:rStyle w:val="Strong"/>
        </w:rPr>
        <w:t>Dip</w:t>
      </w:r>
    </w:p>
    <w:p>
      <w:pPr>
        <w:pStyle w:val="ListContents"/>
        <w:bidi w:val="0"/>
        <w:rPr/>
      </w:pPr>
      <w:r>
        <w:rPr/>
        <w:t xml:space="preserve">Angle between the observer's horizontal and the visible sea horizon, principally a function of height of eye and refraction. </w:t>
      </w:r>
    </w:p>
    <w:p>
      <w:pPr>
        <w:pStyle w:val="ListHeading"/>
        <w:bidi w:val="0"/>
        <w:rPr/>
      </w:pPr>
      <w:r>
        <w:rPr>
          <w:rStyle w:val="Strong"/>
        </w:rPr>
        <w:t>Dip short</w:t>
      </w:r>
    </w:p>
    <w:p>
      <w:pPr>
        <w:pStyle w:val="ListContents"/>
        <w:bidi w:val="0"/>
        <w:rPr/>
      </w:pPr>
      <w:r>
        <w:rPr/>
        <w:t xml:space="preserve">Horizon correction when the waterline used as a horizon is at a finite known distance. </w:t>
      </w:r>
    </w:p>
    <w:p>
      <w:pPr>
        <w:pStyle w:val="ListHeading"/>
        <w:bidi w:val="0"/>
        <w:rPr/>
      </w:pPr>
      <w:r>
        <w:rPr>
          <w:rStyle w:val="Strong"/>
        </w:rPr>
        <w:t>Ephemeris</w:t>
      </w:r>
    </w:p>
    <w:p>
      <w:pPr>
        <w:pStyle w:val="ListContents"/>
        <w:bidi w:val="0"/>
        <w:rPr/>
      </w:pPr>
      <w:r>
        <w:rPr/>
        <w:t xml:space="preserve">A table or numerical model giving celestial-body positions, and sometimes velocities, as functions of time. </w:t>
      </w:r>
    </w:p>
    <w:p>
      <w:pPr>
        <w:pStyle w:val="ListHeading"/>
        <w:bidi w:val="0"/>
        <w:rPr/>
      </w:pPr>
      <w:r>
        <w:rPr>
          <w:rStyle w:val="Strong"/>
        </w:rPr>
        <w:t>Epoch</w:t>
      </w:r>
    </w:p>
    <w:p>
      <w:pPr>
        <w:pStyle w:val="ListContents"/>
        <w:bidi w:val="0"/>
        <w:rPr/>
      </w:pPr>
      <w:r>
        <w:rPr/>
        <w:t xml:space="preserve">The stated instant to which a position, observation or running-fix line refers. </w:t>
      </w:r>
    </w:p>
    <w:p>
      <w:pPr>
        <w:pStyle w:val="ListHeading"/>
        <w:bidi w:val="0"/>
        <w:rPr/>
      </w:pPr>
      <w:r>
        <w:rPr>
          <w:rStyle w:val="Strong"/>
        </w:rPr>
        <w:t>Fix</w:t>
      </w:r>
    </w:p>
    <w:p>
      <w:pPr>
        <w:pStyle w:val="ListContents"/>
        <w:bidi w:val="0"/>
        <w:rPr/>
      </w:pPr>
      <w:r>
        <w:rPr/>
        <w:t xml:space="preserve">A position determined from two or more independent position constraints referred to a common epoch. </w:t>
      </w:r>
    </w:p>
    <w:p>
      <w:pPr>
        <w:pStyle w:val="ListHeading"/>
        <w:bidi w:val="0"/>
        <w:rPr/>
      </w:pPr>
      <w:r>
        <w:rPr>
          <w:rStyle w:val="Strong"/>
        </w:rPr>
        <w:t>Geocentric</w:t>
      </w:r>
    </w:p>
    <w:p>
      <w:pPr>
        <w:pStyle w:val="ListContents"/>
        <w:bidi w:val="0"/>
        <w:rPr/>
      </w:pPr>
      <w:r>
        <w:rPr/>
        <w:t xml:space="preserve">Referred to Earth's centre. </w:t>
      </w:r>
    </w:p>
    <w:p>
      <w:pPr>
        <w:pStyle w:val="ListHeading"/>
        <w:bidi w:val="0"/>
        <w:rPr/>
      </w:pPr>
      <w:r>
        <w:rPr>
          <w:rStyle w:val="Strong"/>
        </w:rPr>
        <w:t>Geographic Position</w:t>
      </w:r>
    </w:p>
    <w:p>
      <w:pPr>
        <w:pStyle w:val="ListContents"/>
        <w:bidi w:val="0"/>
        <w:rPr/>
      </w:pPr>
      <w:r>
        <w:rPr/>
        <w:t xml:space="preserve">The point on Earth where a celestial body is at the zenith at a stated instant. </w:t>
      </w:r>
    </w:p>
    <w:p>
      <w:pPr>
        <w:pStyle w:val="ListHeading"/>
        <w:bidi w:val="0"/>
        <w:rPr/>
      </w:pPr>
      <w:r>
        <w:rPr>
          <w:rStyle w:val="Strong"/>
        </w:rPr>
        <w:t>Great circle</w:t>
      </w:r>
    </w:p>
    <w:p>
      <w:pPr>
        <w:pStyle w:val="ListContents"/>
        <w:bidi w:val="0"/>
        <w:rPr/>
      </w:pPr>
      <w:r>
        <w:rPr/>
        <w:t xml:space="preserve">A circle on a sphere whose plane passes through the sphere's centre; the shortest surface route between non-antipodal points lies on one. </w:t>
      </w:r>
    </w:p>
    <w:p>
      <w:pPr>
        <w:pStyle w:val="ListHeading"/>
        <w:bidi w:val="0"/>
        <w:rPr/>
      </w:pPr>
      <w:r>
        <w:rPr>
          <w:rStyle w:val="Strong"/>
        </w:rPr>
        <w:t>Greenwich Hour Angle</w:t>
      </w:r>
    </w:p>
    <w:p>
      <w:pPr>
        <w:pStyle w:val="ListContents"/>
        <w:bidi w:val="0"/>
        <w:rPr/>
      </w:pPr>
      <w:r>
        <w:rPr/>
        <w:t xml:space="preserve">Angle measured westward from the Greenwich meridian to the body's hour circle, 0°–360°. </w:t>
      </w:r>
    </w:p>
    <w:p>
      <w:pPr>
        <w:pStyle w:val="ListHeading"/>
        <w:bidi w:val="0"/>
        <w:rPr/>
      </w:pPr>
      <w:r>
        <w:rPr>
          <w:rStyle w:val="Strong"/>
        </w:rPr>
        <w:t>Height of eye</w:t>
      </w:r>
    </w:p>
    <w:p>
      <w:pPr>
        <w:pStyle w:val="ListContents"/>
        <w:bidi w:val="0"/>
        <w:rPr/>
      </w:pPr>
      <w:r>
        <w:rPr/>
        <w:t xml:space="preserve">Observer's eye (effectively sextant telescope) height above the water surface used to calculate dip. </w:t>
      </w:r>
    </w:p>
    <w:p>
      <w:pPr>
        <w:pStyle w:val="ListHeading"/>
        <w:bidi w:val="0"/>
        <w:rPr/>
      </w:pPr>
      <w:r>
        <w:rPr>
          <w:rStyle w:val="Strong"/>
        </w:rPr>
        <w:t>Horizon</w:t>
      </w:r>
    </w:p>
    <w:p>
      <w:pPr>
        <w:pStyle w:val="ListContents"/>
        <w:bidi w:val="0"/>
        <w:rPr/>
      </w:pPr>
      <w:r>
        <w:rPr/>
        <w:t xml:space="preserve">The reference from which altitude is measured. Distinguish visible/sensible, celestial/true, artificial and finite-distance horizons. </w:t>
      </w:r>
    </w:p>
    <w:p>
      <w:pPr>
        <w:pStyle w:val="ListHeading"/>
        <w:bidi w:val="0"/>
        <w:rPr/>
      </w:pPr>
      <w:r>
        <w:rPr>
          <w:rStyle w:val="Strong"/>
        </w:rPr>
        <w:t>Hour angle</w:t>
      </w:r>
    </w:p>
    <w:p>
      <w:pPr>
        <w:pStyle w:val="ListContents"/>
        <w:bidi w:val="0"/>
        <w:rPr/>
      </w:pPr>
      <w:r>
        <w:rPr/>
        <w:t xml:space="preserve">Angular measure related to rotation from a reference meridian to a body's hour circle. </w:t>
      </w:r>
    </w:p>
    <w:p>
      <w:pPr>
        <w:pStyle w:val="ListHeading"/>
        <w:bidi w:val="0"/>
        <w:rPr/>
      </w:pPr>
      <w:r>
        <w:rPr>
          <w:rStyle w:val="Strong"/>
        </w:rPr>
        <w:t>Index correction</w:t>
      </w:r>
    </w:p>
    <w:p>
      <w:pPr>
        <w:pStyle w:val="ListContents"/>
        <w:bidi w:val="0"/>
        <w:rPr/>
      </w:pPr>
      <w:r>
        <w:rPr/>
        <w:t xml:space="preserve">The correction equal in magnitude and opposite in sign to index error. </w:t>
      </w:r>
    </w:p>
    <w:p>
      <w:pPr>
        <w:pStyle w:val="ListHeading"/>
        <w:bidi w:val="0"/>
        <w:rPr/>
      </w:pPr>
      <w:r>
        <w:rPr>
          <w:rStyle w:val="Strong"/>
        </w:rPr>
        <w:t>Index error</w:t>
      </w:r>
    </w:p>
    <w:p>
      <w:pPr>
        <w:pStyle w:val="ListContents"/>
        <w:bidi w:val="0"/>
        <w:rPr/>
      </w:pPr>
      <w:r>
        <w:rPr/>
        <w:t xml:space="preserve">Non-zero sextant reading when the index and horizon mirrors should indicate zero angle. </w:t>
      </w:r>
    </w:p>
    <w:p>
      <w:pPr>
        <w:pStyle w:val="ListHeading"/>
        <w:bidi w:val="0"/>
        <w:rPr/>
      </w:pPr>
      <w:r>
        <w:rPr>
          <w:rStyle w:val="Strong"/>
        </w:rPr>
        <w:t>Intercept</w:t>
      </w:r>
    </w:p>
    <w:p>
      <w:pPr>
        <w:pStyle w:val="ListContents"/>
        <w:bidi w:val="0"/>
        <w:rPr/>
      </w:pPr>
      <w:r>
        <w:rPr/>
        <w:t xml:space="preserve">Signed difference Ho − Hc. Plot its magnitude in NM towards the body if positive and away if negative. </w:t>
      </w:r>
    </w:p>
    <w:p>
      <w:pPr>
        <w:pStyle w:val="ListHeading"/>
        <w:bidi w:val="0"/>
        <w:rPr/>
      </w:pPr>
      <w:r>
        <w:rPr>
          <w:rStyle w:val="Strong"/>
        </w:rPr>
        <w:t>Latitude</w:t>
      </w:r>
    </w:p>
    <w:p>
      <w:pPr>
        <w:pStyle w:val="ListContents"/>
        <w:bidi w:val="0"/>
        <w:rPr/>
      </w:pPr>
      <w:r>
        <w:rPr/>
        <w:t xml:space="preserve">Angular distance north or south of Earth's equator. </w:t>
      </w:r>
    </w:p>
    <w:p>
      <w:pPr>
        <w:pStyle w:val="ListHeading"/>
        <w:bidi w:val="0"/>
        <w:rPr/>
      </w:pPr>
      <w:r>
        <w:rPr>
          <w:rStyle w:val="Strong"/>
        </w:rPr>
        <w:t>Leeway</w:t>
      </w:r>
    </w:p>
    <w:p>
      <w:pPr>
        <w:pStyle w:val="ListContents"/>
        <w:bidi w:val="0"/>
        <w:rPr/>
      </w:pPr>
      <w:r>
        <w:rPr/>
        <w:t xml:space="preserve">Sideways displacement through the water caused principally by wind; it can make heading differ from course through water. </w:t>
      </w:r>
    </w:p>
    <w:p>
      <w:pPr>
        <w:pStyle w:val="ListHeading"/>
        <w:bidi w:val="0"/>
        <w:rPr/>
      </w:pPr>
      <w:r>
        <w:rPr>
          <w:rStyle w:val="Strong"/>
        </w:rPr>
        <w:t>Limb</w:t>
      </w:r>
    </w:p>
    <w:p>
      <w:pPr>
        <w:pStyle w:val="ListContents"/>
        <w:bidi w:val="0"/>
        <w:rPr/>
      </w:pPr>
      <w:r>
        <w:rPr/>
        <w:t xml:space="preserve">Visible edge of the Sun or Moon. A semidiameter correction converts a limb observation to the centre as required. </w:t>
      </w:r>
    </w:p>
    <w:p>
      <w:pPr>
        <w:pStyle w:val="ListHeading"/>
        <w:bidi w:val="0"/>
        <w:rPr/>
      </w:pPr>
      <w:r>
        <w:rPr>
          <w:rStyle w:val="Strong"/>
        </w:rPr>
        <w:t>Line of Position</w:t>
      </w:r>
    </w:p>
    <w:p>
      <w:pPr>
        <w:pStyle w:val="ListContents"/>
        <w:bidi w:val="0"/>
        <w:rPr/>
      </w:pPr>
      <w:r>
        <w:rPr/>
        <w:t xml:space="preserve">A line on which the observer lies. In intercept sight reduction it is the local tangent approximation to the equal-altitude circle. </w:t>
      </w:r>
    </w:p>
    <w:p>
      <w:pPr>
        <w:pStyle w:val="ListHeading"/>
        <w:bidi w:val="0"/>
        <w:rPr/>
      </w:pPr>
      <w:r>
        <w:rPr>
          <w:rStyle w:val="Strong"/>
        </w:rPr>
        <w:t>Local apparent noon</w:t>
      </w:r>
    </w:p>
    <w:p>
      <w:pPr>
        <w:pStyle w:val="ListContents"/>
        <w:bidi w:val="0"/>
        <w:rPr/>
      </w:pPr>
      <w:r>
        <w:rPr/>
        <w:t xml:space="preserve">Instant when the apparent Sun crosses the observer's meridian, normally reaching its greatest altitude for that passage. </w:t>
      </w:r>
    </w:p>
    <w:p>
      <w:pPr>
        <w:pStyle w:val="ListHeading"/>
        <w:bidi w:val="0"/>
        <w:rPr/>
      </w:pPr>
      <w:r>
        <w:rPr>
          <w:rStyle w:val="Strong"/>
        </w:rPr>
        <w:t>Local Hour Angle</w:t>
      </w:r>
    </w:p>
    <w:p>
      <w:pPr>
        <w:pStyle w:val="ListContents"/>
        <w:bidi w:val="0"/>
        <w:rPr/>
      </w:pPr>
      <w:r>
        <w:rPr/>
        <w:t xml:space="preserve">Hour angle relative to the observer's local meridian, formed from GHA and longitude with the stated sign convention. </w:t>
      </w:r>
    </w:p>
    <w:p>
      <w:pPr>
        <w:pStyle w:val="ListHeading"/>
        <w:bidi w:val="0"/>
        <w:rPr/>
      </w:pPr>
      <w:r>
        <w:rPr>
          <w:rStyle w:val="Strong"/>
        </w:rPr>
        <w:t>Longitude</w:t>
      </w:r>
    </w:p>
    <w:p>
      <w:pPr>
        <w:pStyle w:val="ListContents"/>
        <w:bidi w:val="0"/>
        <w:rPr/>
      </w:pPr>
      <w:r>
        <w:rPr/>
        <w:t xml:space="preserve">Angular displacement east or west of the Greenwich meridian. </w:t>
      </w:r>
    </w:p>
    <w:p>
      <w:pPr>
        <w:pStyle w:val="ListHeading"/>
        <w:bidi w:val="0"/>
        <w:rPr/>
      </w:pPr>
      <w:r>
        <w:rPr>
          <w:rStyle w:val="Strong"/>
        </w:rPr>
        <w:t>Lunar distance</w:t>
      </w:r>
    </w:p>
    <w:p>
      <w:pPr>
        <w:pStyle w:val="ListContents"/>
        <w:bidi w:val="0"/>
        <w:rPr/>
      </w:pPr>
      <w:r>
        <w:rPr/>
        <w:t xml:space="preserve">Angular separation of the Moon from a selected Sun, planet or star, historically and computationally usable as a time reference. </w:t>
      </w:r>
    </w:p>
    <w:p>
      <w:pPr>
        <w:pStyle w:val="ListHeading"/>
        <w:bidi w:val="0"/>
        <w:rPr/>
      </w:pPr>
      <w:r>
        <w:rPr>
          <w:rStyle w:val="Strong"/>
        </w:rPr>
        <w:t>Magnetic compass</w:t>
      </w:r>
    </w:p>
    <w:p>
      <w:pPr>
        <w:pStyle w:val="ListContents"/>
        <w:bidi w:val="0"/>
        <w:rPr/>
      </w:pPr>
      <w:r>
        <w:rPr/>
        <w:t xml:space="preserve">A direction instrument aligned approximately with the local magnetic field; its reading requires deviation and variation corrections to obtain true bearing. </w:t>
      </w:r>
    </w:p>
    <w:p>
      <w:pPr>
        <w:pStyle w:val="ListHeading"/>
        <w:bidi w:val="0"/>
        <w:rPr/>
      </w:pPr>
      <w:r>
        <w:rPr>
          <w:rStyle w:val="Strong"/>
        </w:rPr>
        <w:t>Magnetic variation</w:t>
      </w:r>
    </w:p>
    <w:p>
      <w:pPr>
        <w:pStyle w:val="ListContents"/>
        <w:bidi w:val="0"/>
        <w:rPr/>
      </w:pPr>
      <w:r>
        <w:rPr/>
        <w:t xml:space="preserve">Angle between true north and magnetic north at a place and date. Also called magnetic declination; kept distinct here from celestial declination. </w:t>
      </w:r>
    </w:p>
    <w:p>
      <w:pPr>
        <w:pStyle w:val="ListHeading"/>
        <w:bidi w:val="0"/>
        <w:rPr/>
      </w:pPr>
      <w:r>
        <w:rPr>
          <w:rStyle w:val="Strong"/>
        </w:rPr>
        <w:t>Meridian passage</w:t>
      </w:r>
    </w:p>
    <w:p>
      <w:pPr>
        <w:pStyle w:val="ListContents"/>
        <w:bidi w:val="0"/>
        <w:rPr/>
      </w:pPr>
      <w:r>
        <w:rPr/>
        <w:t xml:space="preserve">Crossing of a body over the observer's meridian. Upper meridian passage is normally used for noon/maximum-altitude work. </w:t>
      </w:r>
    </w:p>
    <w:p>
      <w:pPr>
        <w:pStyle w:val="ListHeading"/>
        <w:bidi w:val="0"/>
        <w:rPr/>
      </w:pPr>
      <w:r>
        <w:rPr>
          <w:rStyle w:val="Strong"/>
        </w:rPr>
        <w:t>Nautical mile</w:t>
      </w:r>
    </w:p>
    <w:p>
      <w:pPr>
        <w:pStyle w:val="ListContents"/>
        <w:bidi w:val="0"/>
        <w:rPr/>
      </w:pPr>
      <w:r>
        <w:rPr/>
        <w:t xml:space="preserve">A distance of exactly 1,852 metres. One minute of arc along a great circle is one nautical mile by navigational convention to the working accuracy of ordinary plotting. </w:t>
      </w:r>
    </w:p>
    <w:p>
      <w:pPr>
        <w:pStyle w:val="ListHeading"/>
        <w:bidi w:val="0"/>
        <w:rPr/>
      </w:pPr>
      <w:r>
        <w:rPr>
          <w:rStyle w:val="Strong"/>
        </w:rPr>
        <w:t>Observed altitude (Ho)</w:t>
      </w:r>
    </w:p>
    <w:p>
      <w:pPr>
        <w:pStyle w:val="ListContents"/>
        <w:bidi w:val="0"/>
        <w:rPr/>
      </w:pPr>
      <w:r>
        <w:rPr/>
        <w:t xml:space="preserve">The corrected altitude used for comparison with Hc and for constructing the COP. </w:t>
      </w:r>
    </w:p>
    <w:p>
      <w:pPr>
        <w:pStyle w:val="ListHeading"/>
        <w:bidi w:val="0"/>
        <w:rPr/>
      </w:pPr>
      <w:r>
        <w:rPr>
          <w:rStyle w:val="Strong"/>
        </w:rPr>
        <w:t>Parallax</w:t>
      </w:r>
    </w:p>
    <w:p>
      <w:pPr>
        <w:pStyle w:val="ListContents"/>
        <w:bidi w:val="0"/>
        <w:rPr/>
      </w:pPr>
      <w:r>
        <w:rPr/>
        <w:t xml:space="preserve">Difference in apparent direction caused by observing from Earth's surface rather than its centre; large for the nearby Moon. </w:t>
      </w:r>
    </w:p>
    <w:p>
      <w:pPr>
        <w:pStyle w:val="ListHeading"/>
        <w:bidi w:val="0"/>
        <w:rPr/>
      </w:pPr>
      <w:r>
        <w:rPr>
          <w:rStyle w:val="Strong"/>
        </w:rPr>
        <w:t>Personal bias</w:t>
      </w:r>
    </w:p>
    <w:p>
      <w:pPr>
        <w:pStyle w:val="ListContents"/>
        <w:bidi w:val="0"/>
        <w:rPr/>
      </w:pPr>
      <w:r>
        <w:rPr/>
        <w:t xml:space="preserve">A repeatable tendency in an observer's sights. It must be established from sufficient independent data, not inferred from one sequence. </w:t>
      </w:r>
    </w:p>
    <w:p>
      <w:pPr>
        <w:pStyle w:val="ListHeading"/>
        <w:bidi w:val="0"/>
        <w:rPr/>
      </w:pPr>
      <w:r>
        <w:rPr>
          <w:rStyle w:val="Strong"/>
        </w:rPr>
        <w:t>Polar distance</w:t>
      </w:r>
    </w:p>
    <w:p>
      <w:pPr>
        <w:pStyle w:val="ListContents"/>
        <w:bidi w:val="0"/>
        <w:rPr/>
      </w:pPr>
      <w:r>
        <w:rPr/>
        <w:t xml:space="preserve">90° minus declination, a side of the navigational triangle. </w:t>
      </w:r>
    </w:p>
    <w:p>
      <w:pPr>
        <w:pStyle w:val="ListHeading"/>
        <w:bidi w:val="0"/>
        <w:rPr/>
      </w:pPr>
      <w:r>
        <w:rPr>
          <w:rStyle w:val="Strong"/>
        </w:rPr>
        <w:t>Rate</w:t>
      </w:r>
    </w:p>
    <w:p>
      <w:pPr>
        <w:pStyle w:val="ListContents"/>
        <w:bidi w:val="0"/>
        <w:rPr/>
      </w:pPr>
      <w:r>
        <w:rPr/>
        <w:t xml:space="preserve">The amount a watch gains or loses per unit time. A stable known rate allows its correction to be carried between checks. </w:t>
      </w:r>
    </w:p>
    <w:p>
      <w:pPr>
        <w:pStyle w:val="ListHeading"/>
        <w:bidi w:val="0"/>
        <w:rPr/>
      </w:pPr>
      <w:r>
        <w:rPr>
          <w:rStyle w:val="Strong"/>
        </w:rPr>
        <w:t>Refraction</w:t>
      </w:r>
    </w:p>
    <w:p>
      <w:pPr>
        <w:pStyle w:val="ListContents"/>
        <w:bidi w:val="0"/>
        <w:rPr/>
      </w:pPr>
      <w:r>
        <w:rPr/>
        <w:t xml:space="preserve">Atmospheric bending that raises the apparent position of a body, with the strongest and least predictable effects near the horizon. </w:t>
      </w:r>
    </w:p>
    <w:p>
      <w:pPr>
        <w:pStyle w:val="ListHeading"/>
        <w:bidi w:val="0"/>
        <w:rPr/>
      </w:pPr>
      <w:r>
        <w:rPr>
          <w:rStyle w:val="Strong"/>
        </w:rPr>
        <w:t>Residual</w:t>
      </w:r>
    </w:p>
    <w:p>
      <w:pPr>
        <w:pStyle w:val="ListContents"/>
        <w:bidi w:val="0"/>
        <w:rPr/>
      </w:pPr>
      <w:r>
        <w:rPr/>
        <w:t xml:space="preserve">Observed value minus the value predicted by a fitted solution, using the sign convention stated by the workflow. </w:t>
      </w:r>
    </w:p>
    <w:p>
      <w:pPr>
        <w:pStyle w:val="ListHeading"/>
        <w:bidi w:val="0"/>
        <w:rPr/>
      </w:pPr>
      <w:r>
        <w:rPr>
          <w:rStyle w:val="Strong"/>
        </w:rPr>
        <w:t>Robust fit</w:t>
      </w:r>
    </w:p>
    <w:p>
      <w:pPr>
        <w:pStyle w:val="ListContents"/>
        <w:bidi w:val="0"/>
        <w:rPr/>
      </w:pPr>
      <w:r>
        <w:rPr/>
        <w:t xml:space="preserve">An estimator that limits the leverage of discrepant data while retaining them for inspection; it is not permission to ignore an outlier's cause. </w:t>
      </w:r>
    </w:p>
    <w:p>
      <w:pPr>
        <w:pStyle w:val="ListHeading"/>
        <w:bidi w:val="0"/>
        <w:rPr/>
      </w:pPr>
      <w:r>
        <w:rPr>
          <w:rStyle w:val="Strong"/>
        </w:rPr>
        <w:t>Running fix</w:t>
      </w:r>
    </w:p>
    <w:p>
      <w:pPr>
        <w:pStyle w:val="ListContents"/>
        <w:bidi w:val="0"/>
        <w:rPr/>
      </w:pPr>
      <w:r>
        <w:rPr/>
        <w:t xml:space="preserve">A fix combining observations made at different times after advancing them by estimated vessel motion to a common epoch. </w:t>
      </w:r>
    </w:p>
    <w:p>
      <w:pPr>
        <w:pStyle w:val="ListHeading"/>
        <w:bidi w:val="0"/>
        <w:rPr/>
      </w:pPr>
      <w:r>
        <w:rPr>
          <w:rStyle w:val="Strong"/>
        </w:rPr>
        <w:t>Scale error</w:t>
      </w:r>
    </w:p>
    <w:p>
      <w:pPr>
        <w:pStyle w:val="ListContents"/>
        <w:bidi w:val="0"/>
        <w:rPr/>
      </w:pPr>
      <w:r>
        <w:rPr/>
        <w:t xml:space="preserve">Angle-dependent sextant reading error associated with graduation, centering or scale geometry after ordinary adjustments have been made. </w:t>
      </w:r>
    </w:p>
    <w:p>
      <w:pPr>
        <w:pStyle w:val="ListHeading"/>
        <w:bidi w:val="0"/>
        <w:rPr/>
      </w:pPr>
      <w:r>
        <w:rPr>
          <w:rStyle w:val="Strong"/>
        </w:rPr>
        <w:t>Semidiameter</w:t>
      </w:r>
    </w:p>
    <w:p>
      <w:pPr>
        <w:pStyle w:val="ListContents"/>
        <w:bidi w:val="0"/>
        <w:rPr/>
      </w:pPr>
      <w:r>
        <w:rPr/>
        <w:t xml:space="preserve">Apparent angular radius of an extended body such as Sun or Moon. </w:t>
      </w:r>
    </w:p>
    <w:p>
      <w:pPr>
        <w:pStyle w:val="ListHeading"/>
        <w:bidi w:val="0"/>
        <w:rPr/>
      </w:pPr>
      <w:r>
        <w:rPr>
          <w:rStyle w:val="Strong"/>
        </w:rPr>
        <w:t>Set and drift</w:t>
      </w:r>
    </w:p>
    <w:p>
      <w:pPr>
        <w:pStyle w:val="ListContents"/>
        <w:bidi w:val="0"/>
        <w:rPr/>
      </w:pPr>
      <w:r>
        <w:rPr/>
        <w:t xml:space="preserve">Direction towards which a current carries the vessel and the current's speed; together they contribute to motion over the ground. </w:t>
      </w:r>
    </w:p>
    <w:p>
      <w:pPr>
        <w:pStyle w:val="ListHeading"/>
        <w:bidi w:val="0"/>
        <w:rPr/>
      </w:pPr>
      <w:r>
        <w:rPr>
          <w:rStyle w:val="Strong"/>
        </w:rPr>
        <w:t>Sextant altitude (Hs)</w:t>
      </w:r>
    </w:p>
    <w:p>
      <w:pPr>
        <w:pStyle w:val="ListContents"/>
        <w:bidi w:val="0"/>
        <w:rPr/>
      </w:pPr>
      <w:r>
        <w:rPr/>
        <w:t xml:space="preserve">The angle read directly from the sextant before navigational corrections. </w:t>
      </w:r>
    </w:p>
    <w:p>
      <w:pPr>
        <w:pStyle w:val="ListHeading"/>
        <w:bidi w:val="0"/>
        <w:rPr/>
      </w:pPr>
      <w:r>
        <w:rPr>
          <w:rStyle w:val="Strong"/>
        </w:rPr>
        <w:t>Sidereal Hour Angle</w:t>
      </w:r>
    </w:p>
    <w:p>
      <w:pPr>
        <w:pStyle w:val="ListContents"/>
        <w:bidi w:val="0"/>
        <w:rPr/>
      </w:pPr>
      <w:r>
        <w:rPr/>
        <w:t xml:space="preserve">Angle measured westward from Aries to a star's hour circle; approximately constant for a catalogued star over short periods. </w:t>
      </w:r>
    </w:p>
    <w:p>
      <w:pPr>
        <w:pStyle w:val="ListHeading"/>
        <w:bidi w:val="0"/>
        <w:rPr/>
      </w:pPr>
      <w:r>
        <w:rPr>
          <w:rStyle w:val="Strong"/>
        </w:rPr>
        <w:t>Sight reduction</w:t>
      </w:r>
    </w:p>
    <w:p>
      <w:pPr>
        <w:pStyle w:val="ListContents"/>
        <w:bidi w:val="0"/>
        <w:rPr/>
      </w:pPr>
      <w:r>
        <w:rPr/>
        <w:t xml:space="preserve">Conversion of a timed sextant observation and almanac data into a COP/LOP, intercept and azimuth. </w:t>
      </w:r>
    </w:p>
    <w:p>
      <w:pPr>
        <w:pStyle w:val="ListHeading"/>
        <w:bidi w:val="0"/>
        <w:rPr/>
      </w:pPr>
      <w:r>
        <w:rPr>
          <w:rStyle w:val="Strong"/>
        </w:rPr>
        <w:t>Small circle</w:t>
      </w:r>
    </w:p>
    <w:p>
      <w:pPr>
        <w:pStyle w:val="ListContents"/>
        <w:bidi w:val="0"/>
        <w:rPr/>
      </w:pPr>
      <w:r>
        <w:rPr/>
        <w:t xml:space="preserve">A circle on a sphere whose plane does not pass through the centre. A non-degenerate Circle of Equal Altitude is a small circle. </w:t>
      </w:r>
    </w:p>
    <w:p>
      <w:pPr>
        <w:pStyle w:val="ListHeading"/>
        <w:bidi w:val="0"/>
        <w:rPr/>
      </w:pPr>
      <w:r>
        <w:rPr>
          <w:rStyle w:val="Strong"/>
        </w:rPr>
        <w:t>Spherical triangle</w:t>
      </w:r>
    </w:p>
    <w:p>
      <w:pPr>
        <w:pStyle w:val="ListContents"/>
        <w:bidi w:val="0"/>
        <w:rPr/>
      </w:pPr>
      <w:r>
        <w:rPr/>
        <w:t xml:space="preserve">A triangle on a sphere bounded by three great-circle arcs; celestial sight reduction uses the pole–observer–body triangle. </w:t>
      </w:r>
    </w:p>
    <w:p>
      <w:pPr>
        <w:pStyle w:val="ListHeading"/>
        <w:bidi w:val="0"/>
        <w:rPr/>
      </w:pPr>
      <w:r>
        <w:rPr>
          <w:rStyle w:val="Strong"/>
        </w:rPr>
        <w:t>Topocentric</w:t>
      </w:r>
    </w:p>
    <w:p>
      <w:pPr>
        <w:pStyle w:val="ListContents"/>
        <w:bidi w:val="0"/>
        <w:rPr/>
      </w:pPr>
      <w:r>
        <w:rPr/>
        <w:t xml:space="preserve">Referred to the observer's actual position on or near Earth's surface. </w:t>
      </w:r>
    </w:p>
    <w:p>
      <w:pPr>
        <w:pStyle w:val="ListHeading"/>
        <w:bidi w:val="0"/>
        <w:rPr/>
      </w:pPr>
      <w:r>
        <w:rPr>
          <w:rStyle w:val="Strong"/>
        </w:rPr>
        <w:t>Twilight</w:t>
      </w:r>
    </w:p>
    <w:p>
      <w:pPr>
        <w:pStyle w:val="ListContents"/>
        <w:bidi w:val="0"/>
        <w:rPr/>
      </w:pPr>
      <w:r>
        <w:rPr/>
        <w:t xml:space="preserve">Period when the horizon and suitable bodies may both be visible. Civil, nautical and astronomical twilight use different Sun-altitude thresholds. </w:t>
      </w:r>
    </w:p>
    <w:p>
      <w:pPr>
        <w:pStyle w:val="ListHeading"/>
        <w:bidi w:val="0"/>
        <w:rPr/>
      </w:pPr>
      <w:r>
        <w:rPr>
          <w:rStyle w:val="Strong"/>
        </w:rPr>
        <w:t>Vertical circle</w:t>
      </w:r>
    </w:p>
    <w:p>
      <w:pPr>
        <w:pStyle w:val="ListContents"/>
        <w:bidi w:val="0"/>
        <w:rPr/>
      </w:pPr>
      <w:r>
        <w:rPr/>
        <w:t xml:space="preserve">Great circle of the celestial sphere through the zenith and nadir. Altitude is measured along it. </w:t>
      </w:r>
    </w:p>
    <w:p>
      <w:pPr>
        <w:pStyle w:val="ListHeading"/>
        <w:bidi w:val="0"/>
        <w:rPr/>
      </w:pPr>
      <w:r>
        <w:rPr>
          <w:rStyle w:val="Strong"/>
        </w:rPr>
        <w:t>Visible horizon</w:t>
      </w:r>
    </w:p>
    <w:p>
      <w:pPr>
        <w:pStyle w:val="ListContents"/>
        <w:bidi w:val="0"/>
        <w:rPr/>
      </w:pPr>
      <w:r>
        <w:rPr/>
        <w:t xml:space="preserve">The apparent boundary between sea and sky used by a marine sextant; it is depressed below the observer's horizontal by dip. </w:t>
      </w:r>
    </w:p>
    <w:p>
      <w:pPr>
        <w:pStyle w:val="ListHeading"/>
        <w:bidi w:val="0"/>
        <w:rPr/>
      </w:pPr>
      <w:r>
        <w:rPr>
          <w:rStyle w:val="Strong"/>
        </w:rPr>
        <w:t>Watch error</w:t>
      </w:r>
    </w:p>
    <w:p>
      <w:pPr>
        <w:pStyle w:val="ListContents"/>
        <w:bidi w:val="0"/>
        <w:rPr/>
      </w:pPr>
      <w:r>
        <w:rPr/>
        <w:t xml:space="preserve">Difference between watch indication and reference time. Always state whether “fast” or “slow” and how the correction is applied. </w:t>
      </w:r>
    </w:p>
    <w:p>
      <w:pPr>
        <w:pStyle w:val="ListHeading"/>
        <w:bidi w:val="0"/>
        <w:rPr/>
      </w:pPr>
      <w:r>
        <w:rPr>
          <w:rStyle w:val="Strong"/>
        </w:rPr>
        <w:t>Zenith</w:t>
      </w:r>
    </w:p>
    <w:p>
      <w:pPr>
        <w:pStyle w:val="ListContents"/>
        <w:bidi w:val="0"/>
        <w:rPr/>
      </w:pPr>
      <w:r>
        <w:rPr/>
        <w:t xml:space="preserve">Direction directly above the observer, opposite the local gravity direction. </w:t>
      </w:r>
    </w:p>
    <w:p>
      <w:pPr>
        <w:pStyle w:val="ListHeading"/>
        <w:bidi w:val="0"/>
        <w:rPr/>
      </w:pPr>
      <w:r>
        <w:rPr>
          <w:rStyle w:val="Strong"/>
        </w:rPr>
        <w:t>Zenith distance</w:t>
      </w:r>
    </w:p>
    <w:p>
      <w:pPr>
        <w:pStyle w:val="ListContents"/>
        <w:bidi w:val="0"/>
        <w:spacing w:before="0" w:after="283"/>
        <w:rPr/>
      </w:pPr>
      <w:r>
        <w:rPr/>
        <w:t xml:space="preserve">Angular distance from zenith to body, z = 90° − altitude. </w:t>
      </w:r>
    </w:p>
    <w:p>
      <w:pPr>
        <w:pStyle w:val="Heading1"/>
        <w:bidi w:val="0"/>
        <w:ind w:hanging="0" w:start="0" w:end="0"/>
        <w:rPr/>
      </w:pPr>
      <w:bookmarkStart w:id="24" w:name="formulae"/>
      <w:bookmarkEnd w:id="24"/>
      <w:r>
        <w:rPr/>
        <w:t>Appendix C — Formulae and sign conventions</w:t>
      </w:r>
    </w:p>
    <w:p>
      <w:pPr>
        <w:pStyle w:val="Heading2"/>
        <w:bidi w:val="0"/>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rPr/>
      </w:pPr>
      <w:r>
        <w:rPr/>
        <w:t>C.2 Position signs</w:t>
      </w:r>
    </w:p>
    <w:p>
      <w:pPr>
        <w:pStyle w:val="BodyText"/>
        <w:numPr>
          <w:ilvl w:val="0"/>
          <w:numId w:val="19"/>
        </w:numPr>
        <w:tabs>
          <w:tab w:val="clear" w:pos="1134"/>
          <w:tab w:val="left" w:pos="709" w:leader="none"/>
        </w:tabs>
        <w:bidi w:val="0"/>
        <w:spacing w:before="0" w:after="0"/>
        <w:ind w:hanging="283" w:start="709"/>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rPr/>
      </w:pPr>
      <w:r>
        <w:rPr/>
        <w:t xml:space="preserve">Azimuth Zn: 000°–360° clockwise from true north. </w:t>
      </w:r>
    </w:p>
    <w:p>
      <w:pPr>
        <w:pStyle w:val="Heading2"/>
        <w:bidi w:val="0"/>
        <w:rPr/>
      </w:pPr>
      <w:r>
        <w:rPr/>
        <w:t>C.3 Magnetic conversion fields</w:t>
      </w:r>
    </w:p>
    <w:p>
      <w:pPr>
        <w:pStyle w:val="BodyText"/>
        <w:bidi w:val="0"/>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rPr/>
      </w:pPr>
      <w:r>
        <w:rPr/>
        <w:t>C.4 Time scales</w:t>
      </w:r>
    </w:p>
    <w:tbl>
      <w:tblPr>
        <w:tblW w:w="10275" w:type="dxa"/>
        <w:jc w:val="start"/>
        <w:tblInd w:w="0" w:type="dxa"/>
        <w:tblLayout w:type="fixed"/>
        <w:tblCellMar>
          <w:top w:w="28" w:type="dxa"/>
          <w:start w:w="28" w:type="dxa"/>
          <w:bottom w:w="28" w:type="dxa"/>
          <w:end w:w="28" w:type="dxa"/>
        </w:tblCellMar>
      </w:tblPr>
      <w:tblGrid>
        <w:gridCol w:w="669"/>
        <w:gridCol w:w="9606"/>
      </w:tblGrid>
      <w:tr>
        <w:trPr/>
        <w:tc>
          <w:tcPr>
            <w:tcW w:w="669" w:type="dxa"/>
            <w:tcBorders/>
            <w:vAlign w:val="center"/>
          </w:tcPr>
          <w:p>
            <w:pPr>
              <w:pStyle w:val="TableHeading"/>
              <w:suppressLineNumbers/>
              <w:shd w:fill="17365D" w:val="clear"/>
              <w:bidi w:val="0"/>
              <w:spacing w:before="0" w:after="283"/>
              <w:jc w:val="start"/>
              <w:rPr/>
            </w:pPr>
            <w:r>
              <w:rPr/>
              <w:t>Scale</w:t>
            </w:r>
          </w:p>
        </w:tc>
        <w:tc>
          <w:tcPr>
            <w:tcW w:w="9606" w:type="dxa"/>
            <w:tcBorders/>
            <w:vAlign w:val="center"/>
          </w:tcPr>
          <w:p>
            <w:pPr>
              <w:pStyle w:val="TableHeading"/>
              <w:suppressLineNumbers/>
              <w:shd w:fill="17365D" w:val="clear"/>
              <w:bidi w:val="0"/>
              <w:spacing w:before="0" w:after="283"/>
              <w:jc w:val="start"/>
              <w:rPr/>
            </w:pPr>
            <w:r>
              <w:rPr/>
              <w:t>Role</w:t>
            </w:r>
          </w:p>
        </w:tc>
      </w:tr>
      <w:tr>
        <w:trPr/>
        <w:tc>
          <w:tcPr>
            <w:tcW w:w="669" w:type="dxa"/>
            <w:tcBorders/>
            <w:vAlign w:val="center"/>
          </w:tcPr>
          <w:p>
            <w:pPr>
              <w:pStyle w:val="TableContents"/>
              <w:bidi w:val="0"/>
              <w:spacing w:before="0" w:after="283"/>
              <w:rPr/>
            </w:pPr>
            <w:r>
              <w:rPr/>
              <w:t>UTC</w:t>
            </w:r>
          </w:p>
        </w:tc>
        <w:tc>
          <w:tcPr>
            <w:tcW w:w="9606" w:type="dxa"/>
            <w:tcBorders/>
            <w:vAlign w:val="center"/>
          </w:tcPr>
          <w:p>
            <w:pPr>
              <w:pStyle w:val="TableContents"/>
              <w:bidi w:val="0"/>
              <w:spacing w:before="0" w:after="283"/>
              <w:rPr/>
            </w:pPr>
            <w:r>
              <w:rPr/>
              <w:t>Civil time used for observation records; discontinuous from TAI by an integer number of leap seconds.</w:t>
            </w:r>
          </w:p>
        </w:tc>
      </w:tr>
      <w:tr>
        <w:trPr/>
        <w:tc>
          <w:tcPr>
            <w:tcW w:w="669" w:type="dxa"/>
            <w:tcBorders/>
            <w:vAlign w:val="center"/>
          </w:tcPr>
          <w:p>
            <w:pPr>
              <w:pStyle w:val="TableContents"/>
              <w:bidi w:val="0"/>
              <w:spacing w:before="0" w:after="283"/>
              <w:rPr/>
            </w:pPr>
            <w:r>
              <w:rPr/>
              <w:t>UT1</w:t>
            </w:r>
          </w:p>
        </w:tc>
        <w:tc>
          <w:tcPr>
            <w:tcW w:w="9606" w:type="dxa"/>
            <w:tcBorders/>
            <w:vAlign w:val="center"/>
          </w:tcPr>
          <w:p>
            <w:pPr>
              <w:pStyle w:val="TableContents"/>
              <w:bidi w:val="0"/>
              <w:spacing w:before="0" w:after="283"/>
              <w:rPr/>
            </w:pPr>
            <w:r>
              <w:rPr/>
              <w:t>Earth-rotation time used for hour angle and stated eclipse circumstances.</w:t>
            </w:r>
          </w:p>
        </w:tc>
      </w:tr>
      <w:tr>
        <w:trPr/>
        <w:tc>
          <w:tcPr>
            <w:tcW w:w="669" w:type="dxa"/>
            <w:tcBorders/>
            <w:vAlign w:val="center"/>
          </w:tcPr>
          <w:p>
            <w:pPr>
              <w:pStyle w:val="TableContents"/>
              <w:bidi w:val="0"/>
              <w:spacing w:before="0" w:after="283"/>
              <w:rPr/>
            </w:pPr>
            <w:r>
              <w:rPr/>
              <w:t>TT</w:t>
            </w:r>
          </w:p>
        </w:tc>
        <w:tc>
          <w:tcPr>
            <w:tcW w:w="9606" w:type="dxa"/>
            <w:tcBorders/>
            <w:vAlign w:val="center"/>
          </w:tcPr>
          <w:p>
            <w:pPr>
              <w:pStyle w:val="TableContents"/>
              <w:bidi w:val="0"/>
              <w:spacing w:before="0" w:after="283"/>
              <w:rPr/>
            </w:pPr>
            <w:r>
              <w:rPr/>
              <w:t>Uniform terrestrial time used for ephemerides.</w:t>
            </w:r>
          </w:p>
        </w:tc>
      </w:tr>
      <w:tr>
        <w:trPr/>
        <w:tc>
          <w:tcPr>
            <w:tcW w:w="669" w:type="dxa"/>
            <w:tcBorders/>
            <w:vAlign w:val="center"/>
          </w:tcPr>
          <w:p>
            <w:pPr>
              <w:pStyle w:val="TableContents"/>
              <w:bidi w:val="0"/>
              <w:spacing w:before="0" w:after="283"/>
              <w:rPr/>
            </w:pPr>
            <w:r>
              <w:rPr/>
              <w:t>ΔT</w:t>
            </w:r>
          </w:p>
        </w:tc>
        <w:tc>
          <w:tcPr>
            <w:tcW w:w="9606" w:type="dxa"/>
            <w:tcBorders/>
            <w:vAlign w:val="center"/>
          </w:tcPr>
          <w:p>
            <w:pPr>
              <w:pStyle w:val="TableContents"/>
              <w:bidi w:val="0"/>
              <w:spacing w:before="0" w:after="283"/>
              <w:rPr/>
            </w:pPr>
            <w:r>
              <w:rPr/>
              <w:t>TT − UT1; modelled for future epochs when no observed value exists.</w:t>
            </w:r>
          </w:p>
        </w:tc>
      </w:tr>
    </w:tbl>
    <w:p>
      <w:pPr>
        <w:pStyle w:val="Heading1"/>
        <w:bidi w:val="0"/>
        <w:ind w:hanging="0" w:start="0" w:end="0"/>
        <w:rPr/>
      </w:pPr>
      <w:bookmarkStart w:id="25" w:name="references"/>
      <w:bookmarkEnd w:id="25"/>
      <w:r>
        <w:rPr/>
        <w:t>Appendix D — References and provenance</w:t>
      </w:r>
    </w:p>
    <w:p>
      <w:pPr>
        <w:pStyle w:val="BodyText"/>
        <w:bidi w:val="0"/>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2">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Celestial Navigation Data for Assumed Position and Time</w:t>
      </w:r>
      <w:r>
        <w:rPr/>
        <w:t xml:space="preserve">. </w:t>
      </w:r>
      <w:hyperlink r:id="rId13">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Computing Altitude and Azimuth from Greenwich Apparent Sidereal Time</w:t>
      </w:r>
      <w:r>
        <w:rPr/>
        <w:t xml:space="preserve">. </w:t>
      </w:r>
      <w:hyperlink r:id="rId14">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USNO and HM Nautical Almanac Office, </w:t>
      </w:r>
      <w:r>
        <w:rPr>
          <w:rStyle w:val="Emphasis"/>
        </w:rPr>
        <w:t>The Nautical Almanac</w:t>
      </w:r>
      <w:r>
        <w:rPr/>
        <w:t xml:space="preserve">. </w:t>
      </w:r>
      <w:hyperlink r:id="rId15">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His Majesty's Nautical Almanac Office, overview and astronomical navigation services. </w:t>
      </w:r>
      <w:hyperlink r:id="rId16">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rPr/>
      </w:pPr>
      <w:r>
        <w:rPr/>
        <w:t xml:space="preserve">OpenCPN Celestial Navigation plugin source and automated regression tests in this repository. </w:t>
      </w:r>
    </w:p>
    <w:p>
      <w:pPr>
        <w:pStyle w:val="BodyTextsmall"/>
        <w:bidi w:val="0"/>
        <w:spacing w:before="0" w:after="283"/>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Serif">
    <w:altName w:val="Times New Roman"/>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Free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Free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Free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msi.nga.mil/Publications/APN" TargetMode="External"/><Relationship Id="rId13" Type="http://schemas.openxmlformats.org/officeDocument/2006/relationships/hyperlink" Target="https://aa.usno.navy.mil/data/celnav" TargetMode="External"/><Relationship Id="rId14" Type="http://schemas.openxmlformats.org/officeDocument/2006/relationships/hyperlink" Target="https://aa.usno.navy.mil/faq/alt_az" TargetMode="External"/><Relationship Id="rId15" Type="http://schemas.openxmlformats.org/officeDocument/2006/relationships/hyperlink" Target="https://aa.usno.navy.mil/publications/na" TargetMode="External"/><Relationship Id="rId16" Type="http://schemas.openxmlformats.org/officeDocument/2006/relationships/hyperlink" Target="https://www.gov.uk/government/organisations/hm-nautical-almanac-office/about"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