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" w:hAnsi="Helvetica" w:cs="Helvetica"/>
          <w:sz w:val="37"/>
          <w:sz-cs w:val="37"/>
          <w:b/>
          <w:spacing w:val="0"/>
          <w:color w:val="000000"/>
        </w:rPr>
        <w:t xml:space="preserve">Лабораторная работа №8.1</w:t>
      </w:r>
    </w:p>
    <w:p>
      <w:pPr>
        <w:spacing w:after="240"/>
      </w:pPr>
      <w:r>
        <w:rPr>
          <w:rFonts w:ascii="Helvetica" w:hAnsi="Helvetica" w:cs="Helvetica"/>
          <w:sz w:val="37"/>
          <w:sz-cs w:val="37"/>
          <w:b/>
          <w:spacing w:val="0"/>
          <w:color w:val="000000"/>
        </w:rPr>
        <w:t xml:space="preserve">Одномерные и двумерные массивы </w:t>
      </w:r>
    </w:p>
    <w:p>
      <w:pPr>
        <w:spacing w:after="24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>Вариант 1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Два выпуклых многоугольника заданы на плоскости перечислением координат вершин в порядке обхода границы. Определить площади многоугольников и проверить, лежит ли один из них строго внутри другого.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