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Helvetica" w:hAnsi="Helvetica" w:cs="Helvetica"/>
          <w:sz w:val="40"/>
          <w:sz-cs w:val="40"/>
          <w:b/>
          <w:spacing w:val="0"/>
          <w:color w:val="000000"/>
        </w:rPr>
        <w:t xml:space="preserve">Лабораторная работа №10.2</w:t>
      </w:r>
    </w:p>
    <w:p>
      <w:pPr>
        <w:spacing w:after="240"/>
      </w:pPr>
      <w:r>
        <w:rPr>
          <w:rFonts w:ascii="Helvetica" w:hAnsi="Helvetica" w:cs="Helvetica"/>
          <w:sz w:val="40"/>
          <w:sz-cs w:val="40"/>
          <w:b/>
          <w:spacing w:val="0"/>
          <w:color w:val="000000"/>
        </w:rPr>
        <w:t xml:space="preserve">Двумерные массивы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>Вариант 1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Дана целочисленная прямоугольная матрица. Определить:</w:t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1) количество строк, не содержащих ни одного нулевого элемента.</w:t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2) максимальное из чисел, встречающихся в заданной матрице более одного раза.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