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{{ProjectTitle}}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{{ImplementInsti}}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{{CollabInsti}}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{{ProjectLead}}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{{ProjectDur}}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{{ProjectMembers}}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{{TotalProjectCost}}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{{ProjectLeaderCaps}}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