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172A"/>
          <w:sz w:val="52"/>
        </w:rPr>
        <w:t>LegalEase</w:t>
      </w:r>
    </w:p>
    <w:p>
      <w:pPr>
        <w:jc w:val="center"/>
      </w:pPr>
      <w:r>
        <w:rPr>
          <w:b/>
          <w:color w:val="38BDF8"/>
          <w:sz w:val="20"/>
        </w:rPr>
        <w:t>AI-Powered Legal Document Generator</w:t>
      </w:r>
    </w:p>
    <w:p>
      <w:pPr>
        <w:jc w:val="center"/>
      </w:pPr>
      <w:r>
        <w:rPr>
          <w:color w:val="38BDF8"/>
          <w:sz w:val="12"/>
        </w:rPr>
        <w:t>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0F172A"/>
          <w:sz w:val="28"/>
        </w:rPr>
        <w:t>Phase 08 — Demonstration Guide</w:t>
      </w:r>
    </w:p>
    <w:p>
      <w:pPr>
        <w:jc w:val="center"/>
      </w:pPr>
      <w:r>
        <w:rPr>
          <w:i/>
          <w:color w:val="64748B"/>
          <w:sz w:val="18"/>
        </w:rPr>
        <w:t>Checklist, steps, fallback and 5-minute timing</w:t>
      </w:r>
    </w:p>
    <w:p>
      <w:pPr>
        <w:spacing w:before="24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Project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LegalEase AI-Powered Legal Document Generator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24 September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FastAPI 8000 + Streamlit 8501 + Gemini + python-docx/fpdf2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Demo mode (offline) with live fallback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Submitted by: [YOUR NAME]   Mentor: [MENTOR NAME]</w:t>
            </w:r>
          </w:p>
        </w:tc>
      </w:tr>
    </w:tbl>
    <w:p>
      <w:pPr>
        <w:jc w:val="center"/>
      </w:pPr>
      <w:r>
        <w:rPr>
          <w:i/>
          <w:color w:val="94A3B8"/>
          <w:sz w:val="14"/>
        </w:rPr>
        <w:t>Academic Project — Internship Submission  •  Confidential</w:t>
      </w:r>
    </w:p>
    <w:p>
      <w:pPr>
        <w:jc w:val="center"/>
      </w:pPr>
      <w:r>
        <w:rPr>
          <w:i/>
          <w:color w:val="B45309"/>
          <w:sz w:val="14"/>
        </w:rPr>
        <w:t>AI-generated templates are not legal advice. Have a qualified lawyer review before signing.</w:t>
      </w:r>
    </w:p>
    <w:p>
      <w:pPr>
        <w:pStyle w:val="Heading1"/>
      </w:pPr>
      <w:r>
        <w:t>Table of Contents</w:t>
      </w:r>
    </w:p>
    <w:p>
      <w:r>
        <w:rPr>
          <w:sz w:val="18"/>
        </w:rPr>
        <w:t>1  Introduction</w:t>
      </w:r>
      <w:r>
        <w:rPr>
          <w:sz w:val="18"/>
        </w:rPr>
        <w:t xml:space="preserve">  ······························  3</w:t>
      </w:r>
    </w:p>
    <w:p>
      <w:r>
        <w:rPr>
          <w:sz w:val="18"/>
        </w:rPr>
        <w:t>2  Contents</w:t>
      </w:r>
      <w:r>
        <w:rPr>
          <w:sz w:val="18"/>
        </w:rPr>
        <w:t xml:space="preserve">  ······························  3</w:t>
      </w:r>
    </w:p>
    <w:p>
      <w:r>
        <w:rPr>
          <w:sz w:val="18"/>
        </w:rPr>
        <w:t>3  Details &amp; Analysis</w:t>
      </w:r>
      <w:r>
        <w:rPr>
          <w:sz w:val="18"/>
        </w:rPr>
        <w:t xml:space="preserve">  ······························  4</w:t>
      </w:r>
    </w:p>
    <w:p>
      <w:r>
        <w:rPr>
          <w:sz w:val="18"/>
        </w:rPr>
        <w:t>4  Results / Evidence</w:t>
      </w:r>
      <w:r>
        <w:rPr>
          <w:sz w:val="18"/>
        </w:rPr>
        <w:t xml:space="preserve">  ······························  5</w:t>
      </w:r>
    </w:p>
    <w:p>
      <w:r>
        <w:rPr>
          <w:sz w:val="18"/>
        </w:rPr>
        <w:t>5  Conclusion</w:t>
      </w:r>
      <w:r>
        <w:rPr>
          <w:sz w:val="18"/>
        </w:rPr>
        <w:t xml:space="preserve">  ······························  6</w:t>
      </w:r>
    </w:p>
    <w:p>
      <w:r>
        <w:t>Note: Update fields in Word (Ctrl+A → F9).</w:t>
      </w:r>
    </w:p>
    <w:p>
      <w:pPr>
        <w:pStyle w:val="Heading1"/>
      </w:pPr>
      <w:r>
        <w:t>1  Pre-Demo Checklist (5 min before)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Charged, charger packed, Wi-Fi or hotspot, DejaVu fonts present (/usr/share/fonts/truetype/dejavu/DejaVuSans.ttf)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Repo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LegalEase/ unzipped, .venv active, pip -r requirements.txt done, playwright chromium installed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.env has LEGALEASE_FORCE_DEMO=0; for live demo paste GEMINI_API_KEY, else demo is fine (every screenshot was demo)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Ports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8000 and 8501 free: lsof -i :8000,:8501 — kill if needed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Run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./run.sh — wait for 'Backend health' and 'Streamlit on :8501' — open http://127.0.0.1:8501 and http://127.0.0.1:8000/docs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docs/screenshots (17 PNGs), media/*.mp4 playable with ffplay, docs/evidence/pytest_output.log shows 63 passed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If Gemini 429 during live, the fallback banner is expected — it is a feature, not a failure; keep .env empty to force demo</w:t>
            </w:r>
          </w:p>
        </w:tc>
      </w:tr>
    </w:tbl>
    <w:p>
      <w:pPr>
        <w:pStyle w:val="Heading1"/>
      </w:pPr>
      <w:r>
        <w:t>2  Exact Demo Steps &amp; Sample Inputs (the 3 spec scenarios + edit/download)</w:t>
      </w:r>
    </w:p>
    <w:p>
      <w:pPr/>
      <w:r>
        <w:t>Use the Quick samples in the sidebar — they pre-fill correctly. The sample inputs below are exactly what was screenshotted: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Inputs (copy-paste)</w:t>
            </w:r>
          </w:p>
        </w:tc>
        <w:tc>
          <w:tcPr>
            <w:tcW w:type="dxa" w:w="2556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Preview Title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Freelance Work Contract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Document type: Freelance Work Contract | Party1: Jane Doe / Service Provider / 12 MG Road, Bengaluru, KA 560001 | Party2: TechNova Inc. / Client / Plot 45, Cyber City, Hyderabad, TG 500081 | Terms: Scope: UI/UX design for TechNova's customer portal including wireframes, high-fidelity mockups and design system; Fees: INR 2,40,000 payable 50% advance and 50% on delivery; Timeline: 6 weeks from kick-off with weekly check-ins; Revisions: 3 rounds included, extra at INR 3,000 per round; Intellectual property assigned to Client on full payment; Confidentiality for 3 years; Payment within 14 days of invoice | Date: 2026-03-12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FREELANCE WORK CONTRACT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NDA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Document type: Non-Disclosure Agreement (NDA) | Party1: Jane Doe / Disclosing Party | Party2: TechNova Inc. / Receiving Party | Terms: Purpose: evaluation of a potential UI/UX engagement for TechNova's portal; Confidential information covers designs, source code, customer data and pricing; Exclusions: public, independently developed or lawfully received information; Obligations: use only for the Purpose and protect with reasonable care; Term: 2 years, trade secrets perpetual; Return or destroy on request within 10 days; No licence granted | Date: 2026-04-01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NON-DISCLOSURE AGREEMENT (NDA)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Residential Lease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Document type: Residential Lease Agreement | Party1: R. Kumar / Landlord / 45 Anna Nagar, Chennai, TN 600040 | Party2: S. Priya / Tenant | Terms: Premises: Flat 3B, Green View Apartments, Anna Nagar, Chennai — 2BHK, 950 sq ft, first floor; Rent: Rs. 28,000 per month payable by 5th of each month; Security deposit: Rs. 56,000 (two months' rent) refundable within 30 days of vacating; Term: 11 months from 1 June 2026 to 30 April 2027; Utilities and maintenance as per society rules, electricity at actuals; No subletting without written consent; Notice period 1 month for early termination | Date: 2026-06-01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RESIDENTIAL LEASE AGREEMENT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Edit + Export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After (1): Click to Edit Document → add: [EDITED by QA: updated payment to 30 days and added witness line] → check live preview → Download as TXT/DOCX/PDF (all from edited text) → open DOCX (term table, logo, footer) and PDF (header/footer every page) → show PNG renders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Edited text appears in downloads</w:t>
            </w:r>
          </w:p>
        </w:tc>
      </w:tr>
    </w:tbl>
    <w:p>
      <w:pPr>
        <w:pStyle w:val="Heading1"/>
      </w:pPr>
      <w:r>
        <w:t>3  What to Say at Each Step (timing for 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3408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What to Say (verbatim)</w:t>
            </w:r>
          </w:p>
        </w:tc>
        <w:tc>
          <w:tcPr>
            <w:tcW w:type="dxa" w:w="3408"/>
            <w:shd w:fill="0F172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On Screen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LegalEase drafts execution-ready legal templates from a simple form — no blank page. Today is demo mode, so offline templates, but the same code path is used live with fallback.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Logo, DEMO MODE badge, disclaimer, pre-filled Freelance form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0:30–1:20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Scenario 1: Jane Doe is Service Provider, TechNova Client, terms semicolon-separated. Each term becomes one numbered clause. I click Generate — the preview is styled HTML from the same parser as the exports.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Freelance preview: FREELANCE WORK CONTRACT, sections 1–9, Specific Terms, Signatures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1:20–2:00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Spec bug fix: downloads used generated_text, so edits were lost. I click Edit, add a witness line, and the live preview updates. Now every download exports the edited text — I'll prove it by opening the DOCX.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Edit textarea, live preview, then DOCX table + PDF header/footer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2:00–3:00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NDA then Lease — same flow, different section lists because doc_types drives them. Notice the lease lifts Rs. 28,000 into the boilerplate rent clause — that is the term inference.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NDA: NON-DISCLOSURE..., Lease: RESIDENTIAL LEASE..., Premises/Rent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3:00–3:40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Resilience: health shows mode and model (from GEMINI_MODEL env, default 2.5-flash — the 1.5 IDs no longer resolve). With a bad key, fallback returns a template with a notice, not a crash; with fallback off it is 503 with JSON.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/health JSON, /docs Swagger, fallback banner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3:40–4:00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Every export and the UI carry 'not legal advice; have a lawyer review.' The 63 tests, 17 screenshots and two MP4s were produced by running the code, not mocking. Thank you.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Disclaimer footer, media/Demo_Video.mp4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4:00–5:00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Q&amp;A — viva questions are in Viva_Questions.docx (25 Q&amp;A).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Pause for questions</w:t>
            </w:r>
          </w:p>
        </w:tc>
      </w:tr>
    </w:tbl>
    <w:p>
      <w:pPr>
        <w:pStyle w:val="Heading1"/>
      </w:pPr>
      <w:r>
        <w:t>4  What to Do If the API Fails (during live)</w:t>
      </w:r>
    </w:p>
    <w:p>
      <w:pPr/>
      <w:r>
        <w:t>If a live Gemini call returns 429/503/timeout during the 5-minute window, do not panic — it is part of the demo. Streamlit will show a yellow banner: 'Gemini call failed (429)… A template document was produced instead.' Explain that fallback is intentional (ALLOW_FALLBACK_TO_DEMO=1) and that the template still has the same structure and disclaimer. If you want to force demo, set LEGALEASE_FORCE_DEMO=1 in .env and restart. The fallback path is unit-tested with a fake 429 generator (see test_generator.py).</w:t>
      </w:r>
    </w:p>
    <w:p>
      <w:pPr>
        <w:pStyle w:val="Heading1"/>
      </w:pPr>
      <w:r>
        <w:t>5  Timing Plan (5 min total, 1 min buffer)</w:t>
      </w:r>
    </w:p>
    <w:p>
      <w:pPr/>
      <w:r>
        <w:t>0:00 Intro (30s) → 0:30 Freelance (50s) → 1:20 Edit/Export (40s) → 2:00 NDA (30s) → 2:30 Lease (30s) → 3:00 Health/Fallback (40s) → 3:40 Close (20s) → 4:00 Q&amp;A (60s). Rehearse once with ./run.sh and the three Quick samples so each Generate is &lt;2s in demo.</w:t>
      </w:r>
    </w:p>
    <w:p>
      <w:pPr>
        <w:pStyle w:val="Heading1"/>
      </w:pPr>
      <w:r>
        <w:t>6  Links to Videos</w:t>
      </w:r>
    </w:p>
    <w:p>
      <w:pPr/>
      <w:r>
        <w:t>media/Demo_Video.mp4 — 3–4 min walkthrough of all scenarios with caption overlays (Playwright recordVideo → ffmpeg MP4, drawtext).</w:t>
      </w:r>
    </w:p>
    <w:p>
      <w:pPr/>
      <w:r>
        <w:t>media/Testing_Video.mp4 — 2–3 min: pytest 63 passed, then empty/invalid/unicode and fallback edge cases in the UI.</w:t>
      </w:r>
    </w:p>
    <w:p>
      <w:pPr/>
      <w:r>
        <w:t>docs/demo_script.md — Full narration text for both videos (use for voice-over).</w:t>
      </w:r>
    </w:p>
    <w:p>
      <w:pPr/>
      <w:r>
        <w:t>If the projector has no sound, play the videos muted and read the demo_script aloud — timing marks are included.</w:t>
      </w:r>
    </w:p>
    <w:sectPr w:rsidR="00FC693F" w:rsidRPr="0006063C" w:rsidSect="00034616">
      <w:footerReference w:type="default" r:id="rId9"/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fldChar w:fldCharType="begin"/>
      <w:instrText xml:space="preserve">PAGE</w:instrText>
      <w:fldChar w:fldCharType="end"/>
    </w:r>
    <w:r>
      <w:rPr>
        <w:color w:val="94A3B8"/>
        <w:sz w:val="14"/>
      </w:rPr>
      <w:t xml:space="preserve">  |  LegalEase v1.0.0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