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0D1520"/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72"/>
            <w:shd w:val="clear" w:color="auto" w:fill="2BC4BA"/>
            <w:tcMar>
              <w:top w:w="35" w:type="dxa"/>
              <w:right w:w="35" w:type="dxa"/>
              <w:bottom w:w="35" w:type="dxa"/>
              <w:left w:w="35" w:type="dxa"/>
            </w:tcMar>
            <w:vAlign w:val="top"/>
          </w:tcPr>
          <w:p/>
        </w:tc>
        <w:tc>
          <w:tcPr>
            <w:tcW w:type="dxa" w:w="1087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80" w:line="240" w:lineRule="auto"/>
            </w:pPr>
            <w:r/>
            <w:r>
              <w:rPr>
                <w:rFonts w:ascii="Arial" w:hAnsi="Arial"/>
                <w:b/>
                <w:color w:val="6EF8EC"/>
                <w:sz w:val="22"/>
              </w:rPr>
              <w:t>P5</w:t>
            </w:r>
          </w:p>
          <w:p>
            <w:pPr>
              <w:spacing w:before="0" w:after="100" w:line="288" w:lineRule="auto"/>
            </w:pPr>
            <w:r>
              <w:rPr>
                <w:rFonts w:ascii="Arial" w:hAnsi="Arial"/>
                <w:b w:val="0"/>
                <w:color w:val="F0F4F8"/>
                <w:sz w:val="36"/>
              </w:rPr>
              <w:t>Preparazione di parcheggi e magazzini per l'operazione</w:t>
            </w:r>
          </w:p>
          <w:p>
            <w:pPr>
              <w:spacing w:before="0" w:after="0" w:line="300" w:lineRule="auto"/>
            </w:pPr>
            <w:r>
              <w:rPr>
                <w:rFonts w:ascii="Arial" w:hAnsi="Arial"/>
                <w:b w:val="0"/>
                <w:color w:val="94A3B8"/>
                <w:sz w:val="19"/>
              </w:rPr>
              <w:t>Scopri come impostare i parcheggi e i magazzini in modo coerente in modo che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72"/>
            <w:shd w:val="clear" w:color="auto" w:fill="6EF8EC"/>
            <w:tcMar>
              <w:top w:w="35" w:type="dxa"/>
              <w:right w:w="35" w:type="dxa"/>
              <w:bottom w:w="35" w:type="dxa"/>
              <w:left w:w="35" w:type="dxa"/>
            </w:tcMar>
            <w:vAlign w:val="top"/>
          </w:tcPr>
          <w:p/>
        </w:tc>
        <w:tc>
          <w:tcPr>
            <w:tcW w:type="dxa" w:w="10872"/>
            <w:shd w:val="clear" w:color="auto" w:fill="1A264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/>
                <w:b/>
                <w:color w:val="6EF8EC"/>
                <w:sz w:val="25"/>
              </w:rPr>
              <w:t>01  Configurazione del deposito come struttura operativa e di relè</w:t>
            </w:r>
          </w:p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 xml:space="preserve">Prima di creare il parcheggio, è necessario controllare il </w:t>
      </w:r>
      <w:r>
        <w:rPr>
          <w:rFonts w:ascii="Arial" w:hAnsi="Arial"/>
          <w:b/>
          <w:color w:val="F0F4F8"/>
          <w:sz w:val="19"/>
        </w:rPr>
        <w:t>deposito</w:t>
      </w:r>
      <w:r>
        <w:rPr>
          <w:rFonts w:ascii="Arial" w:hAnsi="Arial"/>
          <w:b w:val="0"/>
          <w:color w:val="94A3B8"/>
          <w:sz w:val="19"/>
        </w:rPr>
        <w:t>. In GoalBus, il deposito è la base operativa dell'organizzazione ed è il collegamento obbligatorio per veicoli e piloti. Inoltre, la sua configurazione serve non solo per identificare l'unità, ma anche per definire dove i turni possono iniziare o finire, compresi intestazioni autorizzate o terminali che consentono relè efficienti e ridurre il chilometraggio sottovuoto.</w:t>
      </w:r>
    </w:p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Prima di iniziare questa sezione, assicurarsi che: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Sai quale deposito è responsabile per la linea o il servizio che stai preparando.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Si capisce che il deposito è l'entità principale e che il parcheggio dipende da esso.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Hai già creato tutti i tipi di veicoli necessari per l'operazione.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Per creare o convalidare il deposito del caso: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In GoalBus, aprire il modulo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depositi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.</w:t>
                  </w:r>
                </w:p>
              </w:tc>
            </w:tr>
          </w:tbl>
          <w:p/>
        </w:tc>
      </w:tr>
    </w:tbl>
    <w:p/>
    <w:p>
      <w:pPr>
        <w:keepLines/>
        <w:spacing w:before="0" w:after="1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949440" cy="119805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5_Imagen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949440" cy="1198054"/>
                    </a:xfrm>
                    <a:prstGeom prst="rect"/>
                    <a:ln w="7620">
                      <a:solidFill>
                        <a:srgbClr val="2A3340"/>
                      </a:solidFill>
                      <a:prstDash val="solid"/>
                    </a:ln>
                    <a:effectLst>
                      <a:outerShdw blurRad="63500" dist="38100" dir="5400000" algn="ctr" rotWithShape="0">
                        <a:srgbClr val="000000">
                          <a:alpha val="9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Vedere se il deposito necessario esiste già.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Se il deposito esiste già, aprilo e controlla le impostazioni.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Se non esiste, creane una nuova.</w:t>
                  </w:r>
                </w:p>
              </w:tc>
            </w:tr>
          </w:tbl>
          <w:p/>
        </w:tc>
      </w:tr>
    </w:tbl>
    <w:p/>
    <w:p>
      <w:pPr>
        <w:keepLines/>
        <w:spacing w:before="0" w:after="1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059200" cy="71999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5_Imagen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59200" cy="719999"/>
                    </a:xfrm>
                    <a:prstGeom prst="rect"/>
                    <a:ln w="7620">
                      <a:solidFill>
                        <a:srgbClr val="2A3340"/>
                      </a:solidFill>
                      <a:prstDash val="solid"/>
                    </a:ln>
                    <a:effectLst>
                      <a:outerShdw blurRad="63500" dist="38100" dir="5400000" algn="ctr" rotWithShape="0">
                        <a:srgbClr val="000000">
                          <a:alpha val="9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⑤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Definisce o convalida questi campi: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 xml:space="preserve">1. </w:t>
                  </w:r>
                  <w:r>
                    <w:rPr>
                      <w:rFonts w:ascii="Arial" w:hAnsi="Arial"/>
                      <w:b/>
                      <w:color w:val="94A3B8"/>
                      <w:sz w:val="17"/>
                    </w:rPr>
                    <w:t>Codice</w:t>
                  </w: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 xml:space="preserve"> come identificatore unico.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 xml:space="preserve">2. </w:t>
                  </w:r>
                  <w:r>
                    <w:rPr>
                      <w:rFonts w:ascii="Arial" w:hAnsi="Arial"/>
                      <w:b/>
                      <w:color w:val="94A3B8"/>
                      <w:sz w:val="17"/>
                    </w:rPr>
                    <w:t>Nome corto</w:t>
                  </w: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 xml:space="preserve"> per viste compatte.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 xml:space="preserve">3. </w:t>
                  </w:r>
                  <w:r>
                    <w:rPr>
                      <w:rFonts w:ascii="Arial" w:hAnsi="Arial"/>
                      <w:b/>
                      <w:color w:val="94A3B8"/>
                      <w:sz w:val="17"/>
                    </w:rPr>
                    <w:t>Quota %</w:t>
                  </w: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 xml:space="preserve"> come quota di deposito nel totale delle operazioni. Tra tutti i depositi deve aggiungere il 100%.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 xml:space="preserve">4. </w:t>
                  </w:r>
                  <w:r>
                    <w:rPr>
                      <w:rFonts w:ascii="Arial" w:hAnsi="Arial"/>
                      <w:b/>
                      <w:color w:val="94A3B8"/>
                      <w:sz w:val="17"/>
                    </w:rPr>
                    <w:t>Nome lungo</w:t>
                  </w: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 xml:space="preserve"> come nome principale del deposito.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 xml:space="preserve">5. </w:t>
                  </w:r>
                  <w:r>
                    <w:rPr>
                      <w:rFonts w:ascii="Arial" w:hAnsi="Arial"/>
                      <w:b/>
                      <w:color w:val="94A3B8"/>
                      <w:sz w:val="17"/>
                    </w:rPr>
                    <w:t>ID esterno</w:t>
                  </w: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, se il cliente lavora con integrazioni ERP o HR.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⑥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Aggiungere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Fermate autorizzate di inizio e fine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 come intestazioni o terminali dove sono consentiti i relè o la fine dello shift.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⑦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Risparmia il deposito.</w:t>
                  </w:r>
                </w:p>
              </w:tc>
            </w:tr>
          </w:tbl>
          <w:p/>
        </w:tc>
      </w:tr>
    </w:tbl>
    <w:p/>
    <w:p>
      <w:pPr>
        <w:keepLines/>
        <w:spacing w:before="0" w:after="1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727771" cy="306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5_Imagen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27771" cy="3060000"/>
                    </a:xfrm>
                    <a:prstGeom prst="rect"/>
                    <a:ln w="7620">
                      <a:solidFill>
                        <a:srgbClr val="2A3340"/>
                      </a:solidFill>
                      <a:prstDash val="solid"/>
                    </a:ln>
                    <a:effectLst>
                      <a:outerShdw blurRad="63500" dist="38100" dir="5400000" algn="ctr" rotWithShape="0">
                        <a:srgbClr val="000000">
                          <a:alpha val="9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⑧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Conferma che il deposito può già sostenere operativamente il caso che stai costruendo.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Per il caso di riferimento, verificare che: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Il Deposito Nord è il deposito organizzativo corretto.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Le intestazioni o i terminali L1 rilevanti sono autorizzati come posizioni di inizio o di fine quando si applicano.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Quando si conclude questa sezione, si dovrebbe avere un deposito correttamente identificato collegato alle vostre posizioni operative autorizzate.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72"/>
            <w:shd w:val="clear" w:color="auto" w:fill="6EF8EC"/>
            <w:tcMar>
              <w:top w:w="35" w:type="dxa"/>
              <w:right w:w="35" w:type="dxa"/>
              <w:bottom w:w="35" w:type="dxa"/>
              <w:left w:w="35" w:type="dxa"/>
            </w:tcMar>
            <w:vAlign w:val="top"/>
          </w:tcPr>
          <w:p/>
        </w:tc>
        <w:tc>
          <w:tcPr>
            <w:tcW w:type="dxa" w:w="10872"/>
            <w:shd w:val="clear" w:color="auto" w:fill="1A264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/>
                <w:b/>
                <w:color w:val="6EF8EC"/>
                <w:sz w:val="25"/>
              </w:rPr>
              <w:t>02  Configurazione del parcheggio come nodo fisico della rete</w:t>
            </w:r>
          </w:p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 xml:space="preserve">Dopo aver definito il deposito e prima di andare in gite vuote, flotta o regole di programmazione, è necessario lasciare </w:t>
      </w:r>
      <w:r>
        <w:rPr>
          <w:rFonts w:ascii="Arial" w:hAnsi="Arial"/>
          <w:b/>
          <w:color w:val="F0F4F8"/>
          <w:sz w:val="19"/>
        </w:rPr>
        <w:t>parcheggio</w:t>
      </w:r>
      <w:r>
        <w:rPr>
          <w:rFonts w:ascii="Arial" w:hAnsi="Arial"/>
          <w:b w:val="0"/>
          <w:color w:val="94A3B8"/>
          <w:sz w:val="19"/>
        </w:rPr>
        <w:t xml:space="preserve"> ben configurato che terrà il caso. In GoalBus, un parcheggio non è solo un'etichetta amministrativa. Si tratta di un nodo fisico geolocalizzato della rete, e quando si crea il sistema genera automaticamente una fermata associata a quelle coordinate in modo che il motore possa calcolare le distanze, i tempi di ingresso e i tempi di uscita in modo coerente. Inoltre, ogni parcheggio deve essere collegato a un deposito organizzativo.</w:t>
      </w:r>
    </w:p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Utilizza questo avvio rapido quando hai già creato la rete di base e hai bisogno di collegare quella rete all'infrastruttura fisica reale prima di procedere e programmare.</w:t>
      </w:r>
    </w:p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Prima di iniziare, assicurati che: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Sei chiaro che linea o servizio userai come caso di riferimento.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Sai da che base fisica dovrebbe uscire l'operazione.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Hai già organizzato i depositi operativi.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Hai già creato tutti i tipi di veicoli necessari.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Per questo avvio rapido, utilizzare questo caso di riferimento: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944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tcBorders>
              <w:top w:val="single" w:sz="8" w:space="0" w:color="60A5FA"/>
              <w:left w:val="single" w:sz="8" w:space="0" w:color="60A5FA"/>
              <w:bottom w:val="single" w:sz="8" w:space="0" w:color="60A5FA"/>
              <w:right w:val="single" w:sz="8" w:space="0" w:color="60A5FA"/>
            </w:tcBorders>
            <w:vAlign w:val="top"/>
          </w:tcPr>
          <w:p>
            <w:pPr>
              <w:spacing w:before="0" w:after="0" w:line="288" w:lineRule="auto"/>
            </w:pPr>
            <w:r/>
            <w:r>
              <w:rPr>
                <w:rFonts w:ascii="Arial" w:hAnsi="Arial"/>
                <w:b/>
                <w:color w:val="F0F4F8"/>
                <w:sz w:val="19"/>
              </w:rPr>
              <w:t>Preparo il parcheggio North Depot e convalido che il vostro rapporto con il deposito e la linea L1 è coerente prima di continuare con viaggi vuoti e programmazione.</w:t>
            </w:r>
          </w:p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Per creare o convalidare il parcheggio del caso: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In GoalBus, aprire il modulo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parcheggi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 o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parcheggi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 all'interno dell'infrastruttura di rete.</w:t>
                  </w:r>
                </w:p>
              </w:tc>
            </w:tr>
          </w:tbl>
          <w:p/>
        </w:tc>
      </w:tr>
    </w:tbl>
    <w:p/>
    <w:p>
      <w:pPr>
        <w:keepLines/>
        <w:spacing w:before="0" w:after="1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949440" cy="119805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5_Imagen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949440" cy="1198054"/>
                    </a:xfrm>
                    <a:prstGeom prst="rect"/>
                    <a:ln w="7620">
                      <a:solidFill>
                        <a:srgbClr val="2A3340"/>
                      </a:solidFill>
                      <a:prstDash val="solid"/>
                    </a:ln>
                    <a:effectLst>
                      <a:outerShdw blurRad="63500" dist="38100" dir="5400000" algn="ctr" rotWithShape="0">
                        <a:srgbClr val="000000">
                          <a:alpha val="9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Vedi se il parcheggio di cui hai bisogno esiste già.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Se il parcheggio esiste già, aprilo e controlla la sua configurazione.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Se il parcheggio non esiste, creane una nuova.</w:t>
                  </w:r>
                </w:p>
              </w:tc>
            </w:tr>
          </w:tbl>
          <w:p/>
        </w:tc>
      </w:tr>
    </w:tbl>
    <w:p/>
    <w:p>
      <w:pPr>
        <w:keepLines/>
        <w:spacing w:before="0" w:after="1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260800" cy="71999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5_Imagen2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260800" cy="719999"/>
                    </a:xfrm>
                    <a:prstGeom prst="rect"/>
                    <a:ln w="7620">
                      <a:solidFill>
                        <a:srgbClr val="2A3340"/>
                      </a:solidFill>
                      <a:prstDash val="solid"/>
                    </a:ln>
                    <a:effectLst>
                      <a:outerShdw blurRad="63500" dist="38100" dir="5400000" algn="ctr" rotWithShape="0">
                        <a:srgbClr val="000000">
                          <a:alpha val="9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⑤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Definisce o convalida questi campi: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 xml:space="preserve">1. </w:t>
                  </w:r>
                  <w:r>
                    <w:rPr>
                      <w:rFonts w:ascii="Arial" w:hAnsi="Arial"/>
                      <w:b/>
                      <w:color w:val="94A3B8"/>
                      <w:sz w:val="17"/>
                    </w:rPr>
                    <w:t>Codice</w:t>
                  </w: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 xml:space="preserve"> come breve identificatore per le viste compatte.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 xml:space="preserve">2. </w:t>
                  </w:r>
                  <w:r>
                    <w:rPr>
                      <w:rFonts w:ascii="Arial" w:hAnsi="Arial"/>
                      <w:b/>
                      <w:color w:val="94A3B8"/>
                      <w:sz w:val="17"/>
                    </w:rPr>
                    <w:t>Nome corto</w:t>
                  </w: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 xml:space="preserve"> per viste compatte.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 xml:space="preserve">3. </w:t>
                  </w:r>
                  <w:r>
                    <w:rPr>
                      <w:rFonts w:ascii="Arial" w:hAnsi="Arial"/>
                      <w:b/>
                      <w:color w:val="94A3B8"/>
                      <w:sz w:val="17"/>
                    </w:rPr>
                    <w:t>Nome lungo</w:t>
                  </w: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 xml:space="preserve"> come nome descrittivo del garage o del patio.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 xml:space="preserve">4. </w:t>
                  </w:r>
                  <w:r>
                    <w:rPr>
                      <w:rFonts w:ascii="Arial" w:hAnsi="Arial"/>
                      <w:b/>
                      <w:color w:val="94A3B8"/>
                      <w:sz w:val="17"/>
                    </w:rPr>
                    <w:t>Coordinate</w:t>
                  </w: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 xml:space="preserve"> per individuare correttamente il parcheggio sulla mappa.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 xml:space="preserve">5. </w:t>
                  </w:r>
                  <w:r>
                    <w:rPr>
                      <w:rFonts w:ascii="Arial" w:hAnsi="Arial"/>
                      <w:b/>
                      <w:color w:val="94A3B8"/>
                      <w:sz w:val="17"/>
                    </w:rPr>
                    <w:t>ID esterno</w:t>
                  </w: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, se il cliente lavora con integrazioni ERP o HR.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⑥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Verificare che il parcheggio sia collegato al corretto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deposito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 precedentemente creato.</w:t>
                  </w:r>
                </w:p>
              </w:tc>
            </w:tr>
          </w:tbl>
          <w:p/>
        </w:tc>
      </w:tr>
    </w:tbl>
    <w:p/>
    <w:p>
      <w:pPr>
        <w:keepLines/>
        <w:spacing w:before="0" w:after="1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492780" cy="306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5_Imagen6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492780" cy="3060000"/>
                    </a:xfrm>
                    <a:prstGeom prst="rect"/>
                    <a:ln w="7620">
                      <a:solidFill>
                        <a:srgbClr val="2A3340"/>
                      </a:solidFill>
                      <a:prstDash val="solid"/>
                    </a:ln>
                    <a:effectLst>
                      <a:outerShdw blurRad="63500" dist="38100" dir="5400000" algn="ctr" rotWithShape="0">
                        <a:srgbClr val="000000">
                          <a:alpha val="9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⑦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Fare clic su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Avanti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 per configurare la capacità di parcheggio e i tipi di veicolo consentiti. Questo può essere modificato in futuro a mano che le condizioni cambiano.</w:t>
                  </w:r>
                </w:p>
              </w:tc>
            </w:tr>
          </w:tbl>
          <w:p/>
        </w:tc>
      </w:tr>
    </w:tbl>
    <w:p/>
    <w:p>
      <w:pPr>
        <w:keepLines/>
        <w:spacing w:before="0" w:after="1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933351" cy="306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5_Imagen7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33351" cy="3060000"/>
                    </a:xfrm>
                    <a:prstGeom prst="rect"/>
                    <a:ln w="7620">
                      <a:solidFill>
                        <a:srgbClr val="2A3340"/>
                      </a:solidFill>
                      <a:prstDash val="solid"/>
                    </a:ln>
                    <a:effectLst>
                      <a:outerShdw blurRad="63500" dist="38100" dir="5400000" algn="ctr" rotWithShape="0">
                        <a:srgbClr val="000000">
                          <a:alpha val="9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⑧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Controlla visualmente la mappa che la tua posizione ha senso per l'operazione effettiva.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⑨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Conferma che il sistema può già trattare quel parcheggio come la fonte o destinazione logistica dell'operazione.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Quando si termina questa sezione, si dovrebbe avere un posto auto adeguatamente geo-localizzato e adeguatamente subordinato al deposito appropriato.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72"/>
            <w:shd w:val="clear" w:color="auto" w:fill="6EF8EC"/>
            <w:tcMar>
              <w:top w:w="35" w:type="dxa"/>
              <w:right w:w="35" w:type="dxa"/>
              <w:bottom w:w="35" w:type="dxa"/>
              <w:left w:w="35" w:type="dxa"/>
            </w:tcMar>
            <w:vAlign w:val="top"/>
          </w:tcPr>
          <w:p/>
        </w:tc>
        <w:tc>
          <w:tcPr>
            <w:tcW w:type="dxa" w:w="10872"/>
            <w:shd w:val="clear" w:color="auto" w:fill="1A264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/>
                <w:b/>
                <w:color w:val="6EF8EC"/>
                <w:sz w:val="25"/>
              </w:rPr>
              <w:t>03  Convalida della coerenza tra parcheggio, deposito e linea</w:t>
            </w:r>
          </w:p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 xml:space="preserve">Ora che avete già impostato il parcheggio e lo stoccaggio, dovete verificare che questa infrastruttura si adatta alla logica di linea e l'efficienza logistica che GoalBus si aspetta. Il modello di linea stesso consente di definire </w:t>
      </w:r>
      <w:r>
        <w:rPr>
          <w:rFonts w:ascii="Arial" w:hAnsi="Arial"/>
          <w:b/>
          <w:color w:val="F0F4F8"/>
          <w:sz w:val="19"/>
        </w:rPr>
        <w:t>parcheggi o magazzini autorizzati</w:t>
      </w:r>
      <w:r>
        <w:rPr>
          <w:rFonts w:ascii="Arial" w:hAnsi="Arial"/>
          <w:b w:val="0"/>
          <w:color w:val="94A3B8"/>
          <w:sz w:val="19"/>
        </w:rPr>
        <w:t xml:space="preserve"> per costringere il sistema a iniziare il servizio dalle basi geograficamente corrette e minimizzare il chilometraggio vuoto. Questa non è una preferenza cosmetica: guidare il programmatore direttamente quando si costruiscono soluzioni.</w:t>
      </w:r>
    </w:p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Prima di continuare, assicurarsi che: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Il parcheggio è già collegato al deposito corretto.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Il magazzino ha già le sue posizioni autorizzate.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Per convalidare la coerenza completa dell'infrastruttura (se si dispone già di una linea):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Apri la configurazione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riga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 che userai come riferimento.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Controllare la sezione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posti auto consentiti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 o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Depositi autorizzati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Verificare che il deposito corretto sia autorizzato per avviare i servizi su quella linea.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Se il deposito corretto non è autorizzato, aggiungetelo.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⑤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Conferma che non stai lasciando depositi abilitati che non hanno un significato geografico per quella linea.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⑥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Controllare se il rapporto tra linea, deposito e parcheggio minimizza la guida senza reddito.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⑦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Conferma che l'infrastruttura fisica che hai appena preparato potrebbe supportare il servizio che creerai o calcolerai in seguito.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⑧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Se rilevate incongruenze, correggeteli prima di continuare.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Per il caso di riferimento, chiedetevi: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La linea L1 è autorizzata a partire dal North Depot?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Quel magazzino usa il parcheggio nord come base fisica?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La logica risultante riduce le miglia in un vuoto piuttosto che aumentarle?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Quando si termina questa sezione, si dovrebbe essere in grado di dire che la linea, il deposito e il parcheggio formano la stessa logica operativa e logistica.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72"/>
            <w:shd w:val="clear" w:color="auto" w:fill="6EF8EC"/>
            <w:tcMar>
              <w:top w:w="35" w:type="dxa"/>
              <w:right w:w="35" w:type="dxa"/>
              <w:bottom w:w="35" w:type="dxa"/>
              <w:left w:w="35" w:type="dxa"/>
            </w:tcMar>
            <w:vAlign w:val="top"/>
          </w:tcPr>
          <w:p/>
        </w:tc>
        <w:tc>
          <w:tcPr>
            <w:tcW w:type="dxa" w:w="10872"/>
            <w:shd w:val="clear" w:color="auto" w:fill="1A264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/>
                <w:b/>
                <w:color w:val="6EF8EC"/>
                <w:sz w:val="25"/>
              </w:rPr>
              <w:t>04  Letture aggiuntive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tcBorders>
              <w:top w:val="single" w:sz="8" w:space="0" w:color="60A5FA"/>
              <w:left w:val="single" w:sz="8" w:space="0" w:color="60A5FA"/>
              <w:bottom w:val="single" w:sz="8" w:space="0" w:color="60A5FA"/>
              <w:right w:val="single" w:sz="8" w:space="0" w:color="60A5FA"/>
            </w:tcBorders>
            <w:vAlign w:val="top"/>
          </w:tcPr>
          <w:p>
            <w:pPr>
              <w:spacing w:before="0" w:after="40" w:line="288" w:lineRule="auto"/>
              <w:ind w:right="173"/>
            </w:pPr>
            <w:r/>
            <w:r>
              <w:rPr>
                <w:rFonts w:ascii="Arial" w:hAnsi="Arial"/>
                <w:b w:val="0"/>
                <w:color w:val="60A5FA"/>
                <w:sz w:val="18"/>
              </w:rPr>
              <w:t>→ Rete master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080" w:right="648" w:bottom="864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left"/>
    </w:pPr>
    <w:r/>
    <w:r>
      <w:rPr>
        <w:rFonts w:ascii="Arial" w:hAnsi="Arial"/>
        <w:color w:val="64748B"/>
        <w:sz w:val="15"/>
      </w:rPr>
      <w:t>goalbus  •  Preparazione di parcheggi e magazzini per l'operazione</w:t>
    </w:r>
  </w:p>
  <w:p>
    <w:pPr>
      <w:spacing w:before="0" w:after="0" w:line="240" w:lineRule="auto"/>
      <w:jc w:val="right"/>
    </w:pPr>
    <w:r>
      <w:rPr>
        <w:rFonts w:ascii="Arial" w:hAnsi="Arial"/>
        <w:color w:val="64748B"/>
        <w:sz w:val="15"/>
      </w:rPr>
      <w:t xml:space="preserve">Página </w:t>
    </w:r>
    <w:r>
      <w:fldChar w:fldCharType="begin"/>
      <w:instrText xml:space="preserve"> PAGE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40" w:line="240" w:lineRule="auto"/>
      <w:jc w:val="left"/>
    </w:pPr>
    <w:r/>
    <w:r>
      <w:drawing>
        <wp:inline xmlns:a="http://schemas.openxmlformats.org/drawingml/2006/main" xmlns:pic="http://schemas.openxmlformats.org/drawingml/2006/picture">
          <wp:extent cx="1005840" cy="55515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goal-logo-whit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05840" cy="555150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before="0" w:after="0" w:line="240" w:lineRule="auto"/>
      <w:jc w:val="right"/>
    </w:pPr>
    <w:r>
      <w:rPr>
        <w:rFonts w:ascii="Arial" w:hAnsi="Arial"/>
        <w:color w:val="64748B"/>
        <w:sz w:val="16"/>
      </w:rPr>
      <w:t>goalbus  •  Quick Start P5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94A3B8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