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P21</w:t>
            </w:r>
          </w:p>
          <w:p>
            <w:pPr>
              <w:spacing w:before="0" w:after="100" w:line="288" w:lineRule="auto"/>
            </w:pPr>
            <w:r>
              <w:rPr>
                <w:rFonts w:ascii="Arial" w:hAnsi="Arial"/>
                <w:b w:val="0"/>
                <w:color w:val="F0F4F8"/>
                <w:sz w:val="36"/>
              </w:rPr>
              <w:t>Managing the operational secondment of the driver</w:t>
            </w:r>
          </w:p>
          <w:p>
            <w:pPr>
              <w:spacing w:before="0" w:after="0" w:line="300" w:lineRule="auto"/>
            </w:pPr>
            <w:r>
              <w:rPr>
                <w:rFonts w:ascii="Arial" w:hAnsi="Arial"/>
                <w:b w:val="0"/>
                <w:color w:val="94A3B8"/>
                <w:sz w:val="19"/>
              </w:rPr>
              <w:t>Learn how to link each driver with their deposit, business unit and work group,</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Understanding the operational secondment of the driver</w:t>
            </w:r>
          </w:p>
        </w:tc>
      </w:tr>
    </w:tbl>
    <w:p/>
    <w:p>
      <w:pPr>
        <w:spacing w:before="0" w:after="120" w:line="300" w:lineRule="auto"/>
      </w:pPr>
      <w:r>
        <w:rPr>
          <w:rFonts w:ascii="Arial" w:hAnsi="Arial"/>
          <w:b w:val="0"/>
          <w:color w:val="94A3B8"/>
          <w:sz w:val="19"/>
        </w:rPr>
        <w:t xml:space="preserve">Before you define advanced rules, absences or Rostering calculations, you need to understand how </w:t>
      </w:r>
      <w:r>
        <w:rPr>
          <w:rFonts w:ascii="Arial" w:hAnsi="Arial"/>
          <w:b/>
          <w:color w:val="F0F4F8"/>
          <w:sz w:val="19"/>
        </w:rPr>
        <w:t>seconded</w:t>
      </w:r>
      <w:r>
        <w:rPr>
          <w:rFonts w:ascii="Arial" w:hAnsi="Arial"/>
          <w:b w:val="0"/>
          <w:color w:val="94A3B8"/>
          <w:sz w:val="19"/>
        </w:rPr>
        <w:t xml:space="preserve"> is left for each driver within the organization. In GoalBus, operational secondment is not based on a single field. It is built by combining three main coordinates: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Deposit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Business unit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Working Group</w:t>
                  </w:r>
                </w:p>
              </w:tc>
            </w:tr>
          </w:tbl>
          <w:p/>
        </w:tc>
      </w:tr>
    </w:tbl>
    <w:p/>
    <w:p>
      <w:pPr>
        <w:spacing w:before="0" w:after="120" w:line="300" w:lineRule="auto"/>
      </w:pPr>
      <w:r>
        <w:rPr>
          <w:rFonts w:ascii="Arial" w:hAnsi="Arial"/>
          <w:b w:val="0"/>
          <w:color w:val="94A3B8"/>
          <w:sz w:val="19"/>
        </w:rPr>
        <w:t>This combination defines where the person works, what division he belongs to and what type of tasks he can receive. It also conditions the visibility of the resource for planners and managers.</w:t>
      </w:r>
    </w:p>
    <w:p>
      <w:pPr>
        <w:spacing w:before="0" w:after="120" w:line="300" w:lineRule="auto"/>
      </w:pPr>
      <w:r>
        <w:rPr>
          <w:rFonts w:ascii="Arial" w:hAnsi="Arial"/>
          <w:b w:val="0"/>
          <w:color w:val="94A3B8"/>
          <w:sz w:val="19"/>
        </w:rPr>
        <w:t>Use this quick start when you already have the driver template loaded and need to make sure that each person is located in the right operating context before moving on to rules and availability.</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loaded and checked the drivers at P20.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deposits, units and groups use your operation.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which staff group will participate in the Rostering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that bad secondment can make a person ineligible even if it exists in the system.</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 will check that the drivers that will cover the L1 line are attached to the correct deposit, unit and task force before setting up rules and availability.</w:t>
            </w:r>
          </w:p>
        </w:tc>
      </w:tr>
    </w:tbl>
    <w:p/>
    <w:p>
      <w:pPr>
        <w:spacing w:before="0" w:after="120" w:line="300" w:lineRule="auto"/>
      </w:pPr>
      <w:r>
        <w:rPr>
          <w:rFonts w:ascii="Arial" w:hAnsi="Arial"/>
          <w:b w:val="0"/>
          <w:color w:val="94A3B8"/>
          <w:sz w:val="19"/>
        </w:rPr>
        <w:t>To understand operational secondment: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It treats the </w:t>
                  </w:r>
                  <w:r>
                    <w:rPr>
                      <w:rFonts w:ascii="Arial" w:hAnsi="Arial"/>
                      <w:b/>
                      <w:color w:val="F0F4F8"/>
                      <w:sz w:val="18"/>
                    </w:rPr>
                    <w:t>deposit</w:t>
                  </w:r>
                  <w:r>
                    <w:rPr>
                      <w:rFonts w:ascii="Arial" w:hAnsi="Arial"/>
                      <w:b w:val="0"/>
                      <w:color w:val="94A3B8"/>
                      <w:sz w:val="18"/>
                    </w:rPr>
                    <w:t xml:space="preserve"> as the physical base location of the resource.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It treats </w:t>
                  </w:r>
                  <w:r>
                    <w:rPr>
                      <w:rFonts w:ascii="Arial" w:hAnsi="Arial"/>
                      <w:b/>
                      <w:color w:val="F0F4F8"/>
                      <w:sz w:val="18"/>
                    </w:rPr>
                    <w:t>business unit</w:t>
                  </w:r>
                  <w:r>
                    <w:rPr>
                      <w:rFonts w:ascii="Arial" w:hAnsi="Arial"/>
                      <w:b w:val="0"/>
                      <w:color w:val="94A3B8"/>
                      <w:sz w:val="18"/>
                    </w:rPr>
                    <w:t xml:space="preserve"> as the strategic or modal division to which the person belongs.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Treat the </w:t>
                  </w:r>
                  <w:r>
                    <w:rPr>
                      <w:rFonts w:ascii="Arial" w:hAnsi="Arial"/>
                      <w:b/>
                      <w:color w:val="F0F4F8"/>
                      <w:sz w:val="18"/>
                    </w:rPr>
                    <w:t>working group</w:t>
                  </w:r>
                  <w:r>
                    <w:rPr>
                      <w:rFonts w:ascii="Arial" w:hAnsi="Arial"/>
                      <w:b w:val="0"/>
                      <w:color w:val="94A3B8"/>
                      <w:sz w:val="18"/>
                    </w:rPr>
                    <w:t xml:space="preserve"> as the function that determines what type of tasks you can receive.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this reading rule:</w:t>
                  </w:r>
                </w:p>
                <w:p>
                  <w:pPr>
                    <w:spacing w:before="0" w:after="24" w:line="274" w:lineRule="auto"/>
                    <w:ind w:left="288" w:right="173"/>
                  </w:pPr>
                  <w:r>
                    <w:rPr>
                      <w:rFonts w:ascii="Arial" w:hAnsi="Arial"/>
                      <w:b w:val="0"/>
                      <w:color w:val="64748B"/>
                      <w:sz w:val="17"/>
                    </w:rPr>
                    <w:t xml:space="preserve">1. the deposit responds to </w:t>
                  </w:r>
                  <w:r>
                    <w:rPr>
                      <w:rFonts w:ascii="Arial" w:hAnsi="Arial"/>
                      <w:b/>
                      <w:color w:val="94A3B8"/>
                      <w:sz w:val="17"/>
                    </w:rPr>
                    <w:t>where he works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the unit responds to </w:t>
                  </w:r>
                  <w:r>
                    <w:rPr>
                      <w:rFonts w:ascii="Arial" w:hAnsi="Arial"/>
                      <w:b/>
                      <w:color w:val="94A3B8"/>
                      <w:sz w:val="17"/>
                    </w:rPr>
                    <w:t>in which business or mode it operates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the group responds to </w:t>
                  </w:r>
                  <w:r>
                    <w:rPr>
                      <w:rFonts w:ascii="Arial" w:hAnsi="Arial"/>
                      <w:b/>
                      <w:color w:val="94A3B8"/>
                      <w:sz w:val="17"/>
                    </w:rPr>
                    <w:t>what kind of work you can do</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 not mix these three concepts as if they were the same.</w:t>
                  </w:r>
                </w:p>
              </w:tc>
            </w:tr>
          </w:tbl>
          <w:p/>
        </w:tc>
      </w:tr>
    </w:tbl>
    <w:p/>
    <w:p>
      <w:pPr>
        <w:spacing w:before="0" w:after="120" w:line="300" w:lineRule="auto"/>
      </w:pPr>
      <w:r>
        <w:rPr>
          <w:rFonts w:ascii="Arial" w:hAnsi="Arial"/>
          <w:b w:val="0"/>
          <w:color w:val="94A3B8"/>
          <w:sz w:val="19"/>
        </w:rPr>
        <w:t>When you finish this section, you should be clear that operational secondment is a composite structure and not a single isolated attribute.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Checking tank, unit and working group on driver profile</w:t>
            </w:r>
          </w:p>
        </w:tc>
      </w:tr>
    </w:tbl>
    <w:p/>
    <w:p>
      <w:pPr>
        <w:spacing w:before="0" w:after="120" w:line="300" w:lineRule="auto"/>
      </w:pPr>
      <w:r>
        <w:rPr>
          <w:rFonts w:ascii="Arial" w:hAnsi="Arial"/>
          <w:b w:val="0"/>
          <w:color w:val="94A3B8"/>
          <w:sz w:val="19"/>
        </w:rPr>
        <w:t>Once the logic is understood, you need to check how it is configured in the actual driver profile. These fields are part of the “structural DNA” of the employee and are the basis of their operating context. If they are poorly defined, the rear mapping is contaminated from the source.</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drivers created in the template.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which driver or group you'll use as a sample.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want to review the structural secondment, not yet a temporary assignment.</w:t>
                  </w:r>
                </w:p>
              </w:tc>
            </w:tr>
          </w:tbl>
          <w:p/>
        </w:tc>
      </w:tr>
    </w:tbl>
    <w:p/>
    <w:p>
      <w:pPr>
        <w:spacing w:before="0" w:after="120" w:line="300" w:lineRule="auto"/>
      </w:pPr>
      <w:r>
        <w:rPr>
          <w:rFonts w:ascii="Arial" w:hAnsi="Arial"/>
          <w:b w:val="0"/>
          <w:color w:val="94A3B8"/>
          <w:sz w:val="19"/>
        </w:rPr>
        <w:t>To review the secondment in the profile: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On the general list of drivers, open a person's profile.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structural data sidebar.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at least:</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Main deposit</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Business unit</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Working Group</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Area</w:t>
                  </w:r>
                  <w:r>
                    <w:rPr>
                      <w:rFonts w:ascii="Arial" w:hAnsi="Arial"/>
                      <w:b w:val="0"/>
                      <w:color w:val="64748B"/>
                      <w:sz w:val="17"/>
                    </w:rPr>
                    <w:t>, if your operation uses 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those values coincide with the actual context where the person should work.</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a data is incorrect, update it in the profile.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changes.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Repeat the review on multiple drivers to confirm that the template is consistent.</w:t>
                  </w:r>
                </w:p>
              </w:tc>
            </w:tr>
          </w:tbl>
          <w:p/>
        </w:tc>
      </w:tr>
    </w:tbl>
    <w:p/>
    <w:p>
      <w:pPr>
        <w:spacing w:before="0" w:after="120" w:line="300" w:lineRule="auto"/>
      </w:pPr>
      <w:r>
        <w:rPr>
          <w:rFonts w:ascii="Arial" w:hAnsi="Arial"/>
          <w:b w:val="0"/>
          <w:color w:val="94A3B8"/>
          <w:sz w:val="19"/>
        </w:rPr>
        <w:t>For the reference case, it finds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L1 drivers belong to the correct tank.</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business unit matches the expected mode or business.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working group really corresponds to </w:t>
                  </w:r>
                  <w:r>
                    <w:rPr>
                      <w:rFonts w:ascii="Arial" w:hAnsi="Arial"/>
                      <w:b/>
                      <w:color w:val="F0F4F8"/>
                      <w:sz w:val="18"/>
                    </w:rPr>
                    <w:t>Drivers</w:t>
                  </w:r>
                  <w:r>
                    <w:rPr>
                      <w:rFonts w:ascii="Arial" w:hAnsi="Arial"/>
                      <w:b w:val="0"/>
                      <w:color w:val="94A3B8"/>
                      <w:sz w:val="18"/>
                    </w:rPr>
                    <w:t xml:space="preserve"> and not to another role.</w:t>
                  </w:r>
                </w:p>
              </w:tc>
            </w:tr>
          </w:tbl>
          <w:p/>
        </w:tc>
      </w:tr>
    </w:tbl>
    <w:p/>
    <w:p>
      <w:pPr>
        <w:spacing w:before="0" w:after="120" w:line="300" w:lineRule="auto"/>
      </w:pPr>
      <w:r>
        <w:rPr>
          <w:rFonts w:ascii="Arial" w:hAnsi="Arial"/>
          <w:b w:val="0"/>
          <w:color w:val="94A3B8"/>
          <w:sz w:val="19"/>
        </w:rPr>
        <w:t>When you finish this section, you should have revised the structural attachment of drivers who will participate in the calculation.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Understanding the difference between main secondment, habilitation and assignment</w:t>
            </w:r>
          </w:p>
        </w:tc>
      </w:tr>
    </w:tbl>
    <w:p/>
    <w:p>
      <w:pPr>
        <w:spacing w:before="0" w:after="120" w:line="300" w:lineRule="auto"/>
      </w:pPr>
      <w:r>
        <w:rPr>
          <w:rFonts w:ascii="Arial" w:hAnsi="Arial"/>
          <w:b w:val="0"/>
          <w:color w:val="94A3B8"/>
          <w:sz w:val="19"/>
        </w:rPr>
        <w:t>Before you go on, you need to distinguish three concepts that are often confused:</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Principal secondment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Enabling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Transfer or temporary transfer</w:t>
                  </w:r>
                </w:p>
              </w:tc>
            </w:tr>
          </w:tbl>
          <w:p/>
        </w:tc>
      </w:tr>
    </w:tbl>
    <w:p/>
    <w:p>
      <w:pPr>
        <w:spacing w:before="0" w:after="120" w:line="300" w:lineRule="auto"/>
      </w:pPr>
      <w:r>
        <w:rPr>
          <w:rFonts w:ascii="Arial" w:hAnsi="Arial"/>
          <w:b w:val="0"/>
          <w:color w:val="94A3B8"/>
          <w:sz w:val="19"/>
        </w:rPr>
        <w:t xml:space="preserve">The main adscription defines where the person belongs structurally. The habilitation responds to whether </w:t>
      </w:r>
      <w:r>
        <w:rPr>
          <w:rFonts w:ascii="Arial" w:hAnsi="Arial"/>
          <w:b/>
          <w:color w:val="F0F4F8"/>
          <w:sz w:val="19"/>
        </w:rPr>
        <w:t>may</w:t>
      </w:r>
      <w:r>
        <w:rPr>
          <w:rFonts w:ascii="Arial" w:hAnsi="Arial"/>
          <w:b w:val="0"/>
          <w:color w:val="94A3B8"/>
          <w:sz w:val="19"/>
        </w:rPr>
        <w:t xml:space="preserve"> work legally or technically in another context. The cession responds to where </w:t>
      </w:r>
      <w:r>
        <w:rPr>
          <w:rFonts w:ascii="Arial" w:hAnsi="Arial"/>
          <w:b/>
          <w:color w:val="F0F4F8"/>
          <w:sz w:val="19"/>
        </w:rPr>
        <w:t>He's really working.</w:t>
      </w:r>
      <w:r>
        <w:rPr>
          <w:rFonts w:ascii="Arial" w:hAnsi="Arial"/>
          <w:b w:val="0"/>
          <w:color w:val="94A3B8"/>
          <w:sz w:val="19"/>
        </w:rPr>
        <w:t xml:space="preserve"> for a temporary period. These three layers coexist, but do not mean the same.</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the main secondment in the profile.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that some people can work outside of their main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want to avoid misinterpretation between “belongs to”, “can work on” and “is working on”.</w:t>
                  </w:r>
                </w:p>
              </w:tc>
            </w:tr>
          </w:tbl>
          <w:p/>
        </w:tc>
      </w:tr>
    </w:tbl>
    <w:p/>
    <w:p>
      <w:pPr>
        <w:spacing w:before="0" w:after="120" w:line="300" w:lineRule="auto"/>
      </w:pPr>
      <w:r>
        <w:rPr>
          <w:rFonts w:ascii="Arial" w:hAnsi="Arial"/>
          <w:b w:val="0"/>
          <w:color w:val="94A3B8"/>
          <w:sz w:val="19"/>
        </w:rPr>
        <w:t>To correctly distinguish these concepts: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Use the </w:t>
                  </w:r>
                  <w:r>
                    <w:rPr>
                      <w:rFonts w:ascii="Arial" w:hAnsi="Arial"/>
                      <w:b/>
                      <w:color w:val="F0F4F8"/>
                      <w:sz w:val="18"/>
                    </w:rPr>
                    <w:t>main secondment</w:t>
                  </w:r>
                  <w:r>
                    <w:rPr>
                      <w:rFonts w:ascii="Arial" w:hAnsi="Arial"/>
                      <w:b w:val="0"/>
                      <w:color w:val="94A3B8"/>
                      <w:sz w:val="18"/>
                    </w:rPr>
                    <w:t xml:space="preserve"> to describe the basic structural context of the driver.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Use the </w:t>
                  </w:r>
                  <w:r>
                    <w:rPr>
                      <w:rFonts w:ascii="Arial" w:hAnsi="Arial"/>
                      <w:b/>
                      <w:color w:val="F0F4F8"/>
                      <w:sz w:val="18"/>
                    </w:rPr>
                    <w:t>rating</w:t>
                  </w:r>
                  <w:r>
                    <w:rPr>
                      <w:rFonts w:ascii="Arial" w:hAnsi="Arial"/>
                      <w:b w:val="0"/>
                      <w:color w:val="94A3B8"/>
                      <w:sz w:val="18"/>
                    </w:rPr>
                    <w:t xml:space="preserve"> to indicate that the driver can work in another tank, group or unit.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Use the </w:t>
                  </w:r>
                  <w:r>
                    <w:rPr>
                      <w:rFonts w:ascii="Arial" w:hAnsi="Arial"/>
                      <w:b/>
                      <w:color w:val="F0F4F8"/>
                      <w:sz w:val="18"/>
                    </w:rPr>
                    <w:t>assignment</w:t>
                  </w:r>
                  <w:r>
                    <w:rPr>
                      <w:rFonts w:ascii="Arial" w:hAnsi="Arial"/>
                      <w:b w:val="0"/>
                      <w:color w:val="94A3B8"/>
                      <w:sz w:val="18"/>
                    </w:rPr>
                    <w:t xml:space="preserve"> to indicate that the driver is temporarily moved to another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 not use an assignment to correct a misdefined main secondment.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Don't use a rating like it's an active move.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Keep these questions as a guide:</w:t>
                  </w:r>
                </w:p>
                <w:p>
                  <w:pPr>
                    <w:spacing w:before="0" w:after="24" w:line="274" w:lineRule="auto"/>
                    <w:ind w:left="288" w:right="173"/>
                  </w:pPr>
                  <w:r>
                    <w:rPr>
                      <w:rFonts w:ascii="Arial" w:hAnsi="Arial"/>
                      <w:b w:val="0"/>
                      <w:color w:val="64748B"/>
                      <w:sz w:val="17"/>
                    </w:rPr>
                    <w:t>1. Where does this person belong? → main subscription</w:t>
                  </w:r>
                </w:p>
                <w:p>
                  <w:pPr>
                    <w:spacing w:before="0" w:after="24" w:line="274" w:lineRule="auto"/>
                    <w:ind w:left="288" w:right="173"/>
                  </w:pPr>
                  <w:r>
                    <w:rPr>
                      <w:rFonts w:ascii="Arial" w:hAnsi="Arial"/>
                      <w:b w:val="0"/>
                      <w:color w:val="64748B"/>
                      <w:sz w:val="17"/>
                    </w:rPr>
                    <w:t>2. Where could I work legally? → Enabling</w:t>
                  </w:r>
                </w:p>
                <w:p>
                  <w:pPr>
                    <w:spacing w:before="0" w:after="24" w:line="274" w:lineRule="auto"/>
                    <w:ind w:left="288" w:right="173"/>
                  </w:pPr>
                  <w:r>
                    <w:rPr>
                      <w:rFonts w:ascii="Arial" w:hAnsi="Arial"/>
                      <w:b w:val="0"/>
                      <w:color w:val="64748B"/>
                      <w:sz w:val="17"/>
                    </w:rPr>
                    <w:t>3. Where are you working right now? → cession</w:t>
                  </w:r>
                </w:p>
              </w:tc>
            </w:tr>
          </w:tbl>
          <w:p/>
        </w:tc>
      </w:tr>
    </w:tbl>
    <w:p/>
    <w:p>
      <w:pPr>
        <w:spacing w:before="0" w:after="120" w:line="300" w:lineRule="auto"/>
      </w:pPr>
      <w:r>
        <w:rPr>
          <w:rFonts w:ascii="Arial" w:hAnsi="Arial"/>
          <w:b w:val="0"/>
          <w:color w:val="94A3B8"/>
          <w:sz w:val="19"/>
        </w:rPr>
        <w:t>For the reference case, ask yourself: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driver belongs to the North Depot?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Can you work in another warehouse if necessary?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it temporarily transferred to another base or is it still in its usual context?</w:t>
                  </w:r>
                </w:p>
              </w:tc>
            </w:tr>
          </w:tbl>
          <w:p/>
        </w:tc>
      </w:tr>
    </w:tbl>
    <w:p/>
    <w:p>
      <w:pPr>
        <w:spacing w:before="0" w:after="120" w:line="300" w:lineRule="auto"/>
      </w:pPr>
      <w:r>
        <w:rPr>
          <w:rFonts w:ascii="Arial" w:hAnsi="Arial"/>
          <w:b w:val="0"/>
          <w:color w:val="94A3B8"/>
          <w:sz w:val="19"/>
        </w:rPr>
        <w:t>When you finish this section, you should have a correct reading of the hierarchy between secondment, habilitation and assignment.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Validating that the secondment allows to view and assign the driver correctly</w:t>
            </w:r>
          </w:p>
        </w:tc>
      </w:tr>
    </w:tbl>
    <w:p/>
    <w:p>
      <w:pPr>
        <w:spacing w:before="0" w:after="120" w:line="300" w:lineRule="auto"/>
      </w:pPr>
      <w:r>
        <w:rPr>
          <w:rFonts w:ascii="Arial" w:hAnsi="Arial"/>
          <w:b w:val="0"/>
          <w:color w:val="94A3B8"/>
          <w:sz w:val="19"/>
        </w:rPr>
        <w:t>Adscription not only serves to describe the driver’s profile. It also conditions how the system sees it and what tasks it can receive. An ill-adscribed person may be left out of the correct filter, appear in the wrong place or receive tasks that do not correspond to him. The opposite may also occur: that a valid person is hidden or ineligible by a poorly defined attachment.</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warehouse, unit and group in several profiles.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understand the difference between secondment and assignment.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already clear which collective will participate in the next calculation.</w:t>
                  </w:r>
                </w:p>
              </w:tc>
            </w:tr>
          </w:tbl>
          <w:p/>
        </w:tc>
      </w:tr>
    </w:tbl>
    <w:p/>
    <w:p>
      <w:pPr>
        <w:spacing w:before="0" w:after="120" w:line="300" w:lineRule="auto"/>
      </w:pPr>
      <w:r>
        <w:rPr>
          <w:rFonts w:ascii="Arial" w:hAnsi="Arial"/>
          <w:b w:val="0"/>
          <w:color w:val="94A3B8"/>
          <w:sz w:val="19"/>
        </w:rPr>
        <w:t>To validate the operational impact of secondment: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which set of drivers should be visible for the context of your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right people appear under the right deposit, unit and group.</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there are drivers in the wrong group.</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there are drivers who should belong to the context and do not appear as such.</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detect a secondment error, correct it before moving on to rules or availability.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Saves the final configuration of affected profiles.</w:t>
                  </w:r>
                </w:p>
              </w:tc>
            </w:tr>
          </w:tbl>
          <w:p/>
        </w:tc>
      </w:tr>
    </w:tbl>
    <w:p/>
    <w:p>
      <w:pPr>
        <w:spacing w:before="0" w:after="120" w:line="300" w:lineRule="auto"/>
      </w:pPr>
      <w:r>
        <w:rPr>
          <w:rFonts w:ascii="Arial" w:hAnsi="Arial"/>
          <w:b w:val="0"/>
          <w:color w:val="94A3B8"/>
          <w:sz w:val="19"/>
        </w:rPr>
        <w:t>For the reference case,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Drivers who will cover L1 appear in the correct operating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They do not mix with groups that should not receive driving tasks.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system could filter and assign only relevant personnel.</w:t>
                  </w:r>
                </w:p>
              </w:tc>
            </w:tr>
          </w:tbl>
          <w:p/>
        </w:tc>
      </w:tr>
    </w:tbl>
    <w:p/>
    <w:p>
      <w:pPr>
        <w:spacing w:before="0" w:after="120" w:line="300" w:lineRule="auto"/>
      </w:pPr>
      <w:r>
        <w:rPr>
          <w:rFonts w:ascii="Arial" w:hAnsi="Arial"/>
          <w:b w:val="0"/>
          <w:color w:val="94A3B8"/>
          <w:sz w:val="19"/>
        </w:rPr>
        <w:t>When you finish this section, you should have an operating secondment base that helps the system see and use the right people.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Confirming that operational secondment is already ready for the next layer</w:t>
            </w:r>
          </w:p>
        </w:tc>
      </w:tr>
    </w:tbl>
    <w:p/>
    <w:p>
      <w:pPr>
        <w:spacing w:before="0" w:after="120" w:line="300" w:lineRule="auto"/>
      </w:pPr>
      <w:r>
        <w:rPr>
          <w:rFonts w:ascii="Arial" w:hAnsi="Arial"/>
          <w:b w:val="0"/>
          <w:color w:val="94A3B8"/>
          <w:sz w:val="19"/>
        </w:rPr>
        <w:t>The last step is to check that the secondment was solid enough to continue with rules, absences and calculation. Here the goal is not only to have filled fields, but to have left a clear structure that the engine can interpret unambiguously.</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the structural secondment of the key profiles.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distinguish secondment, habilitation and assignment.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validated that the visible collective is the right 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corrected the main misalignments.</w:t>
                  </w:r>
                </w:p>
              </w:tc>
            </w:tr>
          </w:tbl>
          <w:p/>
        </w:tc>
      </w:tr>
    </w:tbl>
    <w:p/>
    <w:p>
      <w:pPr>
        <w:spacing w:before="0" w:after="120" w:line="300" w:lineRule="auto"/>
      </w:pPr>
      <w:r>
        <w:rPr>
          <w:rFonts w:ascii="Arial" w:hAnsi="Arial"/>
          <w:b w:val="0"/>
          <w:color w:val="94A3B8"/>
          <w:sz w:val="19"/>
        </w:rPr>
        <w:t>To confirm that the secondment is already ready: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Go back to the general list of drivers.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relevant collective for your case appears in the correct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there are no obvious deposit, unit or group errors.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Ask yourself if the system could already:</w:t>
                  </w:r>
                </w:p>
                <w:p>
                  <w:pPr>
                    <w:spacing w:before="0" w:after="24" w:line="274" w:lineRule="auto"/>
                    <w:ind w:left="288" w:right="173"/>
                  </w:pPr>
                  <w:r>
                    <w:rPr>
                      <w:rFonts w:ascii="Arial" w:hAnsi="Arial"/>
                      <w:b w:val="0"/>
                      <w:color w:val="64748B"/>
                      <w:sz w:val="17"/>
                    </w:rPr>
                    <w:t>1. properly filter the drivers of the case,</w:t>
                  </w:r>
                </w:p>
                <w:p>
                  <w:pPr>
                    <w:spacing w:before="0" w:after="24" w:line="274" w:lineRule="auto"/>
                    <w:ind w:left="288" w:right="173"/>
                  </w:pPr>
                  <w:r>
                    <w:rPr>
                      <w:rFonts w:ascii="Arial" w:hAnsi="Arial"/>
                      <w:b w:val="0"/>
                      <w:color w:val="64748B"/>
                      <w:sz w:val="17"/>
                    </w:rPr>
                    <w:t>2. apply to them rules of the right collective,</w:t>
                  </w:r>
                </w:p>
                <w:p>
                  <w:pPr>
                    <w:spacing w:before="0" w:after="24" w:line="274" w:lineRule="auto"/>
                    <w:ind w:left="288" w:right="173"/>
                  </w:pPr>
                  <w:r>
                    <w:rPr>
                      <w:rFonts w:ascii="Arial" w:hAnsi="Arial"/>
                      <w:b w:val="0"/>
                      <w:color w:val="64748B"/>
                      <w:sz w:val="17"/>
                    </w:rPr>
                    <w:t>3. and treat them as a basis for availability and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yes, continue with the next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no, correct the secondment before continuing.</w:t>
                  </w:r>
                </w:p>
              </w:tc>
            </w:tr>
          </w:tbl>
          <w:p/>
        </w:tc>
      </w:tr>
    </w:tbl>
    <w:p/>
    <w:p>
      <w:pPr>
        <w:spacing w:before="0" w:after="120" w:line="300" w:lineRule="auto"/>
      </w:pPr>
      <w:r>
        <w:rPr>
          <w:rFonts w:ascii="Arial" w:hAnsi="Arial"/>
          <w:b w:val="0"/>
          <w:color w:val="94A3B8"/>
          <w:sz w:val="19"/>
        </w:rPr>
        <w:t>For the reference case, do not continue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L1 drivers are attached to the correct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who belongs, who can work, and who's ceded.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base is now ready to apply Rostering rules and availability.</w:t>
                  </w:r>
                </w:p>
              </w:tc>
            </w:tr>
          </w:tbl>
          <w:p/>
        </w:tc>
      </w:tr>
    </w:tbl>
    <w:p/>
    <w:p>
      <w:pPr>
        <w:spacing w:before="0" w:after="120" w:line="300" w:lineRule="auto"/>
      </w:pPr>
      <w:r>
        <w:rPr>
          <w:rFonts w:ascii="Arial" w:hAnsi="Arial"/>
          <w:b w:val="0"/>
          <w:color w:val="94A3B8"/>
          <w:sz w:val="19"/>
        </w:rPr>
        <w:t>When you finish this section, you should have an operating secondment clear enough to continue with the next layer of the process.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Defining Rostering rules for staff assignment</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Managing the operational secondment of the driver</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