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P5</w:t>
            </w:r>
          </w:p>
          <w:p>
            <w:pPr>
              <w:spacing w:before="0" w:after="100" w:line="288" w:lineRule="auto"/>
            </w:pPr>
            <w:r>
              <w:rPr>
                <w:rFonts w:ascii="Arial" w:hAnsi="Arial"/>
                <w:b w:val="0"/>
                <w:color w:val="F0F4F8"/>
                <w:sz w:val="36"/>
              </w:rPr>
              <w:t>Preparing parking lots and warehouses for the operation</w:t>
            </w:r>
          </w:p>
          <w:p>
            <w:pPr>
              <w:spacing w:before="0" w:after="0" w:line="300" w:lineRule="auto"/>
            </w:pPr>
            <w:r>
              <w:rPr>
                <w:rFonts w:ascii="Arial" w:hAnsi="Arial"/>
                <w:b w:val="0"/>
                <w:color w:val="94A3B8"/>
                <w:sz w:val="19"/>
              </w:rPr>
              <w:t>Learn how to set up parking spaces and warehouses consistently so that Scheduling</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Configuring the deposit as operational and relay structure</w:t>
            </w:r>
          </w:p>
        </w:tc>
      </w:tr>
    </w:tbl>
    <w:p/>
    <w:p>
      <w:pPr>
        <w:spacing w:before="0" w:after="120" w:line="300" w:lineRule="auto"/>
      </w:pPr>
      <w:r>
        <w:rPr>
          <w:rFonts w:ascii="Arial" w:hAnsi="Arial"/>
          <w:b w:val="0"/>
          <w:color w:val="94A3B8"/>
          <w:sz w:val="19"/>
        </w:rPr>
        <w:t xml:space="preserve">Before creating the parking, you need to check the </w:t>
      </w:r>
      <w:r>
        <w:rPr>
          <w:rFonts w:ascii="Arial" w:hAnsi="Arial"/>
          <w:b/>
          <w:color w:val="F0F4F8"/>
          <w:sz w:val="19"/>
        </w:rPr>
        <w:t>deposit</w:t>
      </w:r>
      <w:r>
        <w:rPr>
          <w:rFonts w:ascii="Arial" w:hAnsi="Arial"/>
          <w:b w:val="0"/>
          <w:color w:val="94A3B8"/>
          <w:sz w:val="19"/>
        </w:rPr>
        <w:t>. In GoalBus, the deposit is the operating base of the organization and is the mandatory link for vehicles and drivers. In addition, its configuration not only serves to identify the unit, but also to define where the shifts can start or end, including authorized headers or terminals that allow efficient relays and reduce vacuum mileage.</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which deposit is responsible for the line or service you're preparing.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understand that the deposit is the main entity and that the parking depends on 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created all the types of vehicles needed for the operation.</w:t>
                  </w:r>
                </w:p>
              </w:tc>
            </w:tr>
          </w:tbl>
          <w:p/>
        </w:tc>
      </w:tr>
    </w:tbl>
    <w:p/>
    <w:p>
      <w:pPr>
        <w:spacing w:before="0" w:after="120" w:line="300" w:lineRule="auto"/>
      </w:pPr>
      <w:r>
        <w:rPr>
          <w:rFonts w:ascii="Arial" w:hAnsi="Arial"/>
          <w:b w:val="0"/>
          <w:color w:val="94A3B8"/>
          <w:sz w:val="19"/>
        </w:rPr>
        <w:t>To create or validate your case deposit: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open the </w:t>
                  </w:r>
                  <w:r>
                    <w:rPr>
                      <w:rFonts w:ascii="Arial" w:hAnsi="Arial"/>
                      <w:b/>
                      <w:color w:val="F0F4F8"/>
                      <w:sz w:val="18"/>
                    </w:rPr>
                    <w:t>deposits</w:t>
                  </w:r>
                  <w:r>
                    <w:rPr>
                      <w:rFonts w:ascii="Arial" w:hAnsi="Arial"/>
                      <w:b w:val="0"/>
                      <w:color w:val="94A3B8"/>
                      <w:sz w:val="18"/>
                    </w:rPr>
                    <w:t xml:space="preserve"> module.</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198054"/>
            <wp:docPr id="1" name="Picture 1"/>
            <wp:cNvGraphicFramePr>
              <a:graphicFrameLocks noChangeAspect="1"/>
            </wp:cNvGraphicFramePr>
            <a:graphic>
              <a:graphicData uri="http://schemas.openxmlformats.org/drawingml/2006/picture">
                <pic:pic>
                  <pic:nvPicPr>
                    <pic:cNvPr id="0" name="P5_Imagen3.png"/>
                    <pic:cNvPicPr/>
                  </pic:nvPicPr>
                  <pic:blipFill>
                    <a:blip r:embed="rId11"/>
                    <a:stretch>
                      <a:fillRect/>
                    </a:stretch>
                  </pic:blipFill>
                  <pic:spPr>
                    <a:xfrm>
                      <a:off x="0" y="0"/>
                      <a:ext cx="6949440" cy="119805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See if the deposit you need already exists.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deposit already exists, open it and check its settings.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it doesn't exist, create a new one.</w:t>
                  </w:r>
                </w:p>
              </w:tc>
            </w:tr>
          </w:tbl>
          <w:p/>
        </w:tc>
      </w:tr>
    </w:tbl>
    <w:p/>
    <w:p>
      <w:pPr>
        <w:keepLines/>
        <w:spacing w:before="0" w:after="140" w:line="240" w:lineRule="auto"/>
        <w:jc w:val="center"/>
      </w:pPr>
      <w:r>
        <w:drawing>
          <wp:inline xmlns:a="http://schemas.openxmlformats.org/drawingml/2006/main" xmlns:pic="http://schemas.openxmlformats.org/drawingml/2006/picture">
            <wp:extent cx="1800000" cy="719999"/>
            <wp:docPr id="2" name="Picture 2"/>
            <wp:cNvGraphicFramePr>
              <a:graphicFrameLocks noChangeAspect="1"/>
            </wp:cNvGraphicFramePr>
            <a:graphic>
              <a:graphicData uri="http://schemas.openxmlformats.org/drawingml/2006/picture">
                <pic:pic>
                  <pic:nvPicPr>
                    <pic:cNvPr id="0" name="P5_Imagen4.png"/>
                    <pic:cNvPicPr/>
                  </pic:nvPicPr>
                  <pic:blipFill>
                    <a:blip r:embed="rId12"/>
                    <a:stretch>
                      <a:fillRect/>
                    </a:stretch>
                  </pic:blipFill>
                  <pic:spPr>
                    <a:xfrm>
                      <a:off x="0" y="0"/>
                      <a:ext cx="18000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Defines or validates these fields: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Code</w:t>
                  </w:r>
                  <w:r>
                    <w:rPr>
                      <w:rFonts w:ascii="Arial" w:hAnsi="Arial"/>
                      <w:b w:val="0"/>
                      <w:color w:val="64748B"/>
                      <w:sz w:val="17"/>
                    </w:rPr>
                    <w:t xml:space="preserve"> as a unique identifier.</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Short name</w:t>
                  </w:r>
                  <w:r>
                    <w:rPr>
                      <w:rFonts w:ascii="Arial" w:hAnsi="Arial"/>
                      <w:b w:val="0"/>
                      <w:color w:val="64748B"/>
                      <w:sz w:val="17"/>
                    </w:rPr>
                    <w:t xml:space="preserve"> for compact views.</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Share %</w:t>
                  </w:r>
                  <w:r>
                    <w:rPr>
                      <w:rFonts w:ascii="Arial" w:hAnsi="Arial"/>
                      <w:b w:val="0"/>
                      <w:color w:val="64748B"/>
                      <w:sz w:val="17"/>
                    </w:rPr>
                    <w:t xml:space="preserve"> as a deposit share in total operations. Among all deposits must add 100%.</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Long name</w:t>
                  </w:r>
                  <w:r>
                    <w:rPr>
                      <w:rFonts w:ascii="Arial" w:hAnsi="Arial"/>
                      <w:b w:val="0"/>
                      <w:color w:val="64748B"/>
                      <w:sz w:val="17"/>
                    </w:rPr>
                    <w:t xml:space="preserve"> as the main name of the deposit.</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External ID</w:t>
                  </w:r>
                  <w:r>
                    <w:rPr>
                      <w:rFonts w:ascii="Arial" w:hAnsi="Arial"/>
                      <w:b w:val="0"/>
                      <w:color w:val="64748B"/>
                      <w:sz w:val="17"/>
                    </w:rPr>
                    <w:t>, if the client works with ERP or HR integrations.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Add the </w:t>
                  </w:r>
                  <w:r>
                    <w:rPr>
                      <w:rFonts w:ascii="Arial" w:hAnsi="Arial"/>
                      <w:b/>
                      <w:color w:val="F0F4F8"/>
                      <w:sz w:val="18"/>
                    </w:rPr>
                    <w:t>Authorised start and end stops</w:t>
                  </w:r>
                  <w:r>
                    <w:rPr>
                      <w:rFonts w:ascii="Arial" w:hAnsi="Arial"/>
                      <w:b w:val="0"/>
                      <w:color w:val="94A3B8"/>
                      <w:sz w:val="18"/>
                    </w:rPr>
                    <w:t xml:space="preserve"> as headers or terminals where relays or end of shift are allowed.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deposit.</w:t>
                  </w:r>
                </w:p>
              </w:tc>
            </w:tr>
          </w:tbl>
          <w:p/>
        </w:tc>
      </w:tr>
    </w:tbl>
    <w:p/>
    <w:p>
      <w:pPr>
        <w:keepLines/>
        <w:spacing w:before="0" w:after="140" w:line="240" w:lineRule="auto"/>
        <w:jc w:val="center"/>
      </w:pPr>
      <w:r>
        <w:drawing>
          <wp:inline xmlns:a="http://schemas.openxmlformats.org/drawingml/2006/main" xmlns:pic="http://schemas.openxmlformats.org/drawingml/2006/picture">
            <wp:extent cx="2727771" cy="3060000"/>
            <wp:docPr id="3" name="Picture 3"/>
            <wp:cNvGraphicFramePr>
              <a:graphicFrameLocks noChangeAspect="1"/>
            </wp:cNvGraphicFramePr>
            <a:graphic>
              <a:graphicData uri="http://schemas.openxmlformats.org/drawingml/2006/picture">
                <pic:pic>
                  <pic:nvPicPr>
                    <pic:cNvPr id="0" name="P5_Imagen5.png"/>
                    <pic:cNvPicPr/>
                  </pic:nvPicPr>
                  <pic:blipFill>
                    <a:blip r:embed="rId13"/>
                    <a:stretch>
                      <a:fillRect/>
                    </a:stretch>
                  </pic:blipFill>
                  <pic:spPr>
                    <a:xfrm>
                      <a:off x="0" y="0"/>
                      <a:ext cx="2727771" cy="306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the deposit can already operationally sustain the case you've been building.</w:t>
                  </w:r>
                </w:p>
              </w:tc>
            </w:tr>
          </w:tbl>
          <w:p/>
        </w:tc>
      </w:tr>
    </w:tbl>
    <w:p/>
    <w:p>
      <w:pPr>
        <w:spacing w:before="0" w:after="120" w:line="300" w:lineRule="auto"/>
      </w:pPr>
      <w:r>
        <w:rPr>
          <w:rFonts w:ascii="Arial" w:hAnsi="Arial"/>
          <w:b w:val="0"/>
          <w:color w:val="94A3B8"/>
          <w:sz w:val="19"/>
        </w:rPr>
        <w:t>For the reference case, check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North Deposit is the correct organisational deposit.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Relevant L1 headers or terminals are authorized as start or end locations when applying.</w:t>
                  </w:r>
                </w:p>
              </w:tc>
            </w:tr>
          </w:tbl>
          <w:p/>
        </w:tc>
      </w:tr>
    </w:tbl>
    <w:p/>
    <w:p>
      <w:pPr>
        <w:spacing w:before="0" w:after="120" w:line="300" w:lineRule="auto"/>
      </w:pPr>
      <w:r>
        <w:rPr>
          <w:rFonts w:ascii="Arial" w:hAnsi="Arial"/>
          <w:b w:val="0"/>
          <w:color w:val="94A3B8"/>
          <w:sz w:val="19"/>
        </w:rPr>
        <w:t>When you finish this section, you should have a correctly identified deposit linked to your authorized operating locations.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Configuring the parking as a physical node of the network</w:t>
            </w:r>
          </w:p>
        </w:tc>
      </w:tr>
    </w:tbl>
    <w:p/>
    <w:p>
      <w:pPr>
        <w:spacing w:before="0" w:after="120" w:line="300" w:lineRule="auto"/>
      </w:pPr>
      <w:r>
        <w:rPr>
          <w:rFonts w:ascii="Arial" w:hAnsi="Arial"/>
          <w:b w:val="0"/>
          <w:color w:val="94A3B8"/>
          <w:sz w:val="19"/>
        </w:rPr>
        <w:t xml:space="preserve">After you have defined the deposit and before going on empty trips, fleet or Scheduling rules, you need to leave the </w:t>
      </w:r>
      <w:r>
        <w:rPr>
          <w:rFonts w:ascii="Arial" w:hAnsi="Arial"/>
          <w:b/>
          <w:color w:val="F0F4F8"/>
          <w:sz w:val="19"/>
        </w:rPr>
        <w:t>parking</w:t>
      </w:r>
      <w:r>
        <w:rPr>
          <w:rFonts w:ascii="Arial" w:hAnsi="Arial"/>
          <w:b w:val="0"/>
          <w:color w:val="94A3B8"/>
          <w:sz w:val="19"/>
        </w:rPr>
        <w:t xml:space="preserve"> well configured that will hold your case. In GoalBus, a parking lot is not just an administrative tag. It is a geolocated physical node of the network, and when you create it the system automatically generates an associated stop at those coordinates so that the engine can calculate distances, input times and output times consistently. Furthermore, each parking must be linked to an organisational deposit.</w:t>
      </w:r>
    </w:p>
    <w:p>
      <w:pPr>
        <w:spacing w:before="0" w:after="120" w:line="300" w:lineRule="auto"/>
      </w:pPr>
      <w:r>
        <w:rPr>
          <w:rFonts w:ascii="Arial" w:hAnsi="Arial"/>
          <w:b w:val="0"/>
          <w:color w:val="94A3B8"/>
          <w:sz w:val="19"/>
        </w:rPr>
        <w:t>Use this quick start when you have already created the base network and need to connect that network to the actual physical infrastructure before moving on and Scheduling.</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what line or service you're going to use as a reference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from what physical basis that operation should come out.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set up the operating deposits.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created all the necessary types of vehicles.</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I'm going to prepare the North Depot parking lot and validate that your relationship with the deposit and line L1 is consistent before continuing with empty trips and Scheduling.</w:t>
            </w:r>
          </w:p>
        </w:tc>
      </w:tr>
    </w:tbl>
    <w:p/>
    <w:p>
      <w:pPr>
        <w:spacing w:before="0" w:after="120" w:line="300" w:lineRule="auto"/>
      </w:pPr>
      <w:r>
        <w:rPr>
          <w:rFonts w:ascii="Arial" w:hAnsi="Arial"/>
          <w:b w:val="0"/>
          <w:color w:val="94A3B8"/>
          <w:sz w:val="19"/>
        </w:rPr>
        <w:t>To create or validate your case parking: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open the </w:t>
                  </w:r>
                  <w:r>
                    <w:rPr>
                      <w:rFonts w:ascii="Arial" w:hAnsi="Arial"/>
                      <w:b/>
                      <w:color w:val="F0F4F8"/>
                      <w:sz w:val="18"/>
                    </w:rPr>
                    <w:t>parking lots</w:t>
                  </w:r>
                  <w:r>
                    <w:rPr>
                      <w:rFonts w:ascii="Arial" w:hAnsi="Arial"/>
                      <w:b w:val="0"/>
                      <w:color w:val="94A3B8"/>
                      <w:sz w:val="18"/>
                    </w:rPr>
                    <w:t xml:space="preserve"> or </w:t>
                  </w:r>
                  <w:r>
                    <w:rPr>
                      <w:rFonts w:ascii="Arial" w:hAnsi="Arial"/>
                      <w:b/>
                      <w:color w:val="F0F4F8"/>
                      <w:sz w:val="18"/>
                    </w:rPr>
                    <w:t>parking lots</w:t>
                  </w:r>
                  <w:r>
                    <w:rPr>
                      <w:rFonts w:ascii="Arial" w:hAnsi="Arial"/>
                      <w:b w:val="0"/>
                      <w:color w:val="94A3B8"/>
                      <w:sz w:val="18"/>
                    </w:rPr>
                    <w:t xml:space="preserve"> module within the network infrastructure.</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198054"/>
            <wp:docPr id="4" name="Picture 4"/>
            <wp:cNvGraphicFramePr>
              <a:graphicFrameLocks noChangeAspect="1"/>
            </wp:cNvGraphicFramePr>
            <a:graphic>
              <a:graphicData uri="http://schemas.openxmlformats.org/drawingml/2006/picture">
                <pic:pic>
                  <pic:nvPicPr>
                    <pic:cNvPr id="0" name="P5_Imagen1.png"/>
                    <pic:cNvPicPr/>
                  </pic:nvPicPr>
                  <pic:blipFill>
                    <a:blip r:embed="rId14"/>
                    <a:stretch>
                      <a:fillRect/>
                    </a:stretch>
                  </pic:blipFill>
                  <pic:spPr>
                    <a:xfrm>
                      <a:off x="0" y="0"/>
                      <a:ext cx="6949440" cy="119805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See if the parking you need already exists.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parking already exists, open it and check its configuration.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parking doesn't exist, create a new one.</w:t>
                  </w:r>
                </w:p>
              </w:tc>
            </w:tr>
          </w:tbl>
          <w:p/>
        </w:tc>
      </w:tr>
    </w:tbl>
    <w:p/>
    <w:p>
      <w:pPr>
        <w:keepLines/>
        <w:spacing w:before="0" w:after="140" w:line="240" w:lineRule="auto"/>
        <w:jc w:val="center"/>
      </w:pPr>
      <w:r>
        <w:drawing>
          <wp:inline xmlns:a="http://schemas.openxmlformats.org/drawingml/2006/main" xmlns:pic="http://schemas.openxmlformats.org/drawingml/2006/picture">
            <wp:extent cx="1785600" cy="719999"/>
            <wp:docPr id="5" name="Picture 5"/>
            <wp:cNvGraphicFramePr>
              <a:graphicFrameLocks noChangeAspect="1"/>
            </wp:cNvGraphicFramePr>
            <a:graphic>
              <a:graphicData uri="http://schemas.openxmlformats.org/drawingml/2006/picture">
                <pic:pic>
                  <pic:nvPicPr>
                    <pic:cNvPr id="0" name="P5_Imagen2.png"/>
                    <pic:cNvPicPr/>
                  </pic:nvPicPr>
                  <pic:blipFill>
                    <a:blip r:embed="rId15"/>
                    <a:stretch>
                      <a:fillRect/>
                    </a:stretch>
                  </pic:blipFill>
                  <pic:spPr>
                    <a:xfrm>
                      <a:off x="0" y="0"/>
                      <a:ext cx="17856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Defines or validates these fields: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Code</w:t>
                  </w:r>
                  <w:r>
                    <w:rPr>
                      <w:rFonts w:ascii="Arial" w:hAnsi="Arial"/>
                      <w:b w:val="0"/>
                      <w:color w:val="64748B"/>
                      <w:sz w:val="17"/>
                    </w:rPr>
                    <w:t xml:space="preserve"> as a short identifier for compact views.</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Short name</w:t>
                  </w:r>
                  <w:r>
                    <w:rPr>
                      <w:rFonts w:ascii="Arial" w:hAnsi="Arial"/>
                      <w:b w:val="0"/>
                      <w:color w:val="64748B"/>
                      <w:sz w:val="17"/>
                    </w:rPr>
                    <w:t xml:space="preserve"> for compact views.</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Long name</w:t>
                  </w:r>
                  <w:r>
                    <w:rPr>
                      <w:rFonts w:ascii="Arial" w:hAnsi="Arial"/>
                      <w:b w:val="0"/>
                      <w:color w:val="64748B"/>
                      <w:sz w:val="17"/>
                    </w:rPr>
                    <w:t xml:space="preserve"> as a descriptive name of the garage or patio.</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Coordinates</w:t>
                  </w:r>
                  <w:r>
                    <w:rPr>
                      <w:rFonts w:ascii="Arial" w:hAnsi="Arial"/>
                      <w:b w:val="0"/>
                      <w:color w:val="64748B"/>
                      <w:sz w:val="17"/>
                    </w:rPr>
                    <w:t xml:space="preserve"> to correctly locate the parking on the map.</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External ID</w:t>
                  </w:r>
                  <w:r>
                    <w:rPr>
                      <w:rFonts w:ascii="Arial" w:hAnsi="Arial"/>
                      <w:b w:val="0"/>
                      <w:color w:val="64748B"/>
                      <w:sz w:val="17"/>
                    </w:rPr>
                    <w:t>, if the client works with ERP or HR integrations.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that the parking is linked to the correct </w:t>
                  </w:r>
                  <w:r>
                    <w:rPr>
                      <w:rFonts w:ascii="Arial" w:hAnsi="Arial"/>
                      <w:b/>
                      <w:color w:val="F0F4F8"/>
                      <w:sz w:val="18"/>
                    </w:rPr>
                    <w:t>deposit</w:t>
                  </w:r>
                  <w:r>
                    <w:rPr>
                      <w:rFonts w:ascii="Arial" w:hAnsi="Arial"/>
                      <w:b w:val="0"/>
                      <w:color w:val="94A3B8"/>
                      <w:sz w:val="18"/>
                    </w:rPr>
                    <w:t xml:space="preserve"> previously created.</w:t>
                  </w:r>
                </w:p>
              </w:tc>
            </w:tr>
          </w:tbl>
          <w:p/>
        </w:tc>
      </w:tr>
    </w:tbl>
    <w:p/>
    <w:p>
      <w:pPr>
        <w:keepLines/>
        <w:spacing w:before="0" w:after="140" w:line="240" w:lineRule="auto"/>
        <w:jc w:val="center"/>
      </w:pPr>
      <w:r>
        <w:drawing>
          <wp:inline xmlns:a="http://schemas.openxmlformats.org/drawingml/2006/main" xmlns:pic="http://schemas.openxmlformats.org/drawingml/2006/picture">
            <wp:extent cx="2492780" cy="3060000"/>
            <wp:docPr id="6" name="Picture 6"/>
            <wp:cNvGraphicFramePr>
              <a:graphicFrameLocks noChangeAspect="1"/>
            </wp:cNvGraphicFramePr>
            <a:graphic>
              <a:graphicData uri="http://schemas.openxmlformats.org/drawingml/2006/picture">
                <pic:pic>
                  <pic:nvPicPr>
                    <pic:cNvPr id="0" name="P5_Imagen6.png"/>
                    <pic:cNvPicPr/>
                  </pic:nvPicPr>
                  <pic:blipFill>
                    <a:blip r:embed="rId16"/>
                    <a:stretch>
                      <a:fillRect/>
                    </a:stretch>
                  </pic:blipFill>
                  <pic:spPr>
                    <a:xfrm>
                      <a:off x="0" y="0"/>
                      <a:ext cx="2492780" cy="306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Click </w:t>
                  </w:r>
                  <w:r>
                    <w:rPr>
                      <w:rFonts w:ascii="Arial" w:hAnsi="Arial"/>
                      <w:b/>
                      <w:color w:val="F0F4F8"/>
                      <w:sz w:val="18"/>
                    </w:rPr>
                    <w:t>Next</w:t>
                  </w:r>
                  <w:r>
                    <w:rPr>
                      <w:rFonts w:ascii="Arial" w:hAnsi="Arial"/>
                      <w:b w:val="0"/>
                      <w:color w:val="94A3B8"/>
                      <w:sz w:val="18"/>
                    </w:rPr>
                    <w:t xml:space="preserve"> to configure the parking capacity and vehicle types allowed. This can be edited in the future as conditions change.</w:t>
                  </w:r>
                </w:p>
              </w:tc>
            </w:tr>
          </w:tbl>
          <w:p/>
        </w:tc>
      </w:tr>
    </w:tbl>
    <w:p/>
    <w:p>
      <w:pPr>
        <w:keepLines/>
        <w:spacing w:before="0" w:after="140" w:line="240" w:lineRule="auto"/>
        <w:jc w:val="center"/>
      </w:pPr>
      <w:r>
        <w:drawing>
          <wp:inline xmlns:a="http://schemas.openxmlformats.org/drawingml/2006/main" xmlns:pic="http://schemas.openxmlformats.org/drawingml/2006/picture">
            <wp:extent cx="2933351" cy="3060000"/>
            <wp:docPr id="7" name="Picture 7"/>
            <wp:cNvGraphicFramePr>
              <a:graphicFrameLocks noChangeAspect="1"/>
            </wp:cNvGraphicFramePr>
            <a:graphic>
              <a:graphicData uri="http://schemas.openxmlformats.org/drawingml/2006/picture">
                <pic:pic>
                  <pic:nvPicPr>
                    <pic:cNvPr id="0" name="P5_Imagen7.png"/>
                    <pic:cNvPicPr/>
                  </pic:nvPicPr>
                  <pic:blipFill>
                    <a:blip r:embed="rId17"/>
                    <a:stretch>
                      <a:fillRect/>
                    </a:stretch>
                  </pic:blipFill>
                  <pic:spPr>
                    <a:xfrm>
                      <a:off x="0" y="0"/>
                      <a:ext cx="2933351" cy="306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Visually check the map that your location makes sense for the actual operation.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that the system can already treat that parking as the source or logistical destination of the operation.</w:t>
                  </w:r>
                </w:p>
              </w:tc>
            </w:tr>
          </w:tbl>
          <w:p/>
        </w:tc>
      </w:tr>
    </w:tbl>
    <w:p/>
    <w:p>
      <w:pPr>
        <w:spacing w:before="0" w:after="120" w:line="300" w:lineRule="auto"/>
      </w:pPr>
      <w:r>
        <w:rPr>
          <w:rFonts w:ascii="Arial" w:hAnsi="Arial"/>
          <w:b w:val="0"/>
          <w:color w:val="94A3B8"/>
          <w:sz w:val="19"/>
        </w:rPr>
        <w:t>When you finish this section, you should have a properly geo-localized and properly subordinated parking space to the proper warehouse.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Validating the consistency between parking, deposit and line</w:t>
            </w:r>
          </w:p>
        </w:tc>
      </w:tr>
    </w:tbl>
    <w:p/>
    <w:p>
      <w:pPr>
        <w:spacing w:before="0" w:after="120" w:line="300" w:lineRule="auto"/>
      </w:pPr>
      <w:r>
        <w:rPr>
          <w:rFonts w:ascii="Arial" w:hAnsi="Arial"/>
          <w:b w:val="0"/>
          <w:color w:val="94A3B8"/>
          <w:sz w:val="19"/>
        </w:rPr>
        <w:t xml:space="preserve">Now that you have already set up parking and storage, you need to check that this infrastructure fits the line logic and logistical efficiency that GoalBus expects. The line model itself allows you to define </w:t>
      </w:r>
      <w:r>
        <w:rPr>
          <w:rFonts w:ascii="Arial" w:hAnsi="Arial"/>
          <w:b/>
          <w:color w:val="F0F4F8"/>
          <w:sz w:val="19"/>
        </w:rPr>
        <w:t>permitted parking lots or warehouses</w:t>
      </w:r>
      <w:r>
        <w:rPr>
          <w:rFonts w:ascii="Arial" w:hAnsi="Arial"/>
          <w:b w:val="0"/>
          <w:color w:val="94A3B8"/>
          <w:sz w:val="19"/>
        </w:rPr>
        <w:t xml:space="preserve"> to force the system to start service from the geographically correct bases and minimize empty mileage. This is not a cosmetic preference: guide the programmer directly when building solutions.</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parking is already linked to the correct deposit.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warehouse already has its authorized locations.</w:t>
                  </w:r>
                </w:p>
              </w:tc>
            </w:tr>
          </w:tbl>
          <w:p/>
        </w:tc>
      </w:tr>
    </w:tbl>
    <w:p/>
    <w:p>
      <w:pPr>
        <w:spacing w:before="0" w:after="120" w:line="300" w:lineRule="auto"/>
      </w:pPr>
      <w:r>
        <w:rPr>
          <w:rFonts w:ascii="Arial" w:hAnsi="Arial"/>
          <w:b w:val="0"/>
          <w:color w:val="94A3B8"/>
          <w:sz w:val="19"/>
        </w:rPr>
        <w:t>To validate the complete coherence of the infrastructure (if you already have a line):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Open the </w:t>
                  </w:r>
                  <w:r>
                    <w:rPr>
                      <w:rFonts w:ascii="Arial" w:hAnsi="Arial"/>
                      <w:b/>
                      <w:color w:val="F0F4F8"/>
                      <w:sz w:val="18"/>
                    </w:rPr>
                    <w:t>line</w:t>
                  </w:r>
                  <w:r>
                    <w:rPr>
                      <w:rFonts w:ascii="Arial" w:hAnsi="Arial"/>
                      <w:b w:val="0"/>
                      <w:color w:val="94A3B8"/>
                      <w:sz w:val="18"/>
                    </w:rPr>
                    <w:t xml:space="preserve"> configuration that you will use as a reference.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Check the </w:t>
                  </w:r>
                  <w:r>
                    <w:rPr>
                      <w:rFonts w:ascii="Arial" w:hAnsi="Arial"/>
                      <w:b/>
                      <w:color w:val="F0F4F8"/>
                      <w:sz w:val="18"/>
                    </w:rPr>
                    <w:t>permitted parking spaces</w:t>
                  </w:r>
                  <w:r>
                    <w:rPr>
                      <w:rFonts w:ascii="Arial" w:hAnsi="Arial"/>
                      <w:b w:val="0"/>
                      <w:color w:val="94A3B8"/>
                      <w:sz w:val="18"/>
                    </w:rPr>
                    <w:t xml:space="preserve"> or </w:t>
                  </w:r>
                  <w:r>
                    <w:rPr>
                      <w:rFonts w:ascii="Arial" w:hAnsi="Arial"/>
                      <w:b/>
                      <w:color w:val="F0F4F8"/>
                      <w:sz w:val="18"/>
                    </w:rPr>
                    <w:t>permitted deposits</w:t>
                  </w:r>
                  <w:r>
                    <w:rPr>
                      <w:rFonts w:ascii="Arial" w:hAnsi="Arial"/>
                      <w:b w:val="0"/>
                      <w:color w:val="94A3B8"/>
                      <w:sz w:val="18"/>
                    </w:rPr>
                    <w:t xml:space="preserve"> section.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correct deposit is authorized to start services on that line.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correct deposit is not authorized, add it.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you are not leaving enabled deposits that have no geographical meaning for that line.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whether the relationship between line, deposit and parking minimizes driving without income.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the physical infrastructure you have just prepared could support the service you will create or calculate later.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detect inconsistencies, correct them before continuing.</w:t>
                  </w:r>
                </w:p>
              </w:tc>
            </w:tr>
          </w:tbl>
          <w:p/>
        </w:tc>
      </w:tr>
    </w:tbl>
    <w:p/>
    <w:p>
      <w:pPr>
        <w:spacing w:before="0" w:after="120" w:line="300" w:lineRule="auto"/>
      </w:pPr>
      <w:r>
        <w:rPr>
          <w:rFonts w:ascii="Arial" w:hAnsi="Arial"/>
          <w:b w:val="0"/>
          <w:color w:val="94A3B8"/>
          <w:sz w:val="19"/>
        </w:rPr>
        <w:t>For the reference case, ask yourself:</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Is line L1 authorized to leave from the North Depot?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that warehouse use the North Parking as its physical base?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the resulting logic reduce miles in a vacuum rather than increase them?</w:t>
                  </w:r>
                </w:p>
              </w:tc>
            </w:tr>
          </w:tbl>
          <w:p/>
        </w:tc>
      </w:tr>
    </w:tbl>
    <w:p/>
    <w:p>
      <w:pPr>
        <w:spacing w:before="0" w:after="120" w:line="300" w:lineRule="auto"/>
      </w:pPr>
      <w:r>
        <w:rPr>
          <w:rFonts w:ascii="Arial" w:hAnsi="Arial"/>
          <w:b w:val="0"/>
          <w:color w:val="94A3B8"/>
          <w:sz w:val="19"/>
        </w:rPr>
        <w:t>When you finish this section, you should be able to say that the line, the deposit and the parking form the same operational and logistical logic.</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Master network</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Preparing parking lots and warehouses for the operation</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