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56"/>
        </w:rPr>
        <w:t>Manual de Usuario</w:t>
      </w:r>
    </w:p>
    <w:p>
      <w:pPr>
        <w:jc w:val="center"/>
      </w:pPr>
      <w:r>
        <w:rPr>
          <w:color w:val="4B5563"/>
          <w:sz w:val="28"/>
        </w:rPr>
        <w:t>Plataforma de Gestión Comercial y Técnica — Mega Soft</w:t>
      </w:r>
    </w:p>
    <w:p>
      <w:pPr>
        <w:jc w:val="center"/>
      </w:pPr>
      <w:r>
        <w:rPr>
          <w:i/>
          <w:color w:val="1D4ED8"/>
          <w:sz w:val="24"/>
        </w:rPr>
        <w:t>Módulos: Cotizaciones · Proyectos · Integradores</w:t>
      </w:r>
    </w:p>
    <w:p/>
    <w:p>
      <w:r>
        <w:rPr>
          <w:b w:val="0"/>
          <w:i/>
          <w:color w:val="4B5563"/>
          <w:sz w:val="21"/>
        </w:rPr>
        <w:t>Este manual describe, paso a paso, la operación diaria de los tres módulos que controlan todo el ciclo de vida comercial y técnico de nuestros aliados. Está dirigido a usuarios comerciales, técnicos/QA y gestores de aliados.</w:t>
      </w:r>
    </w:p>
    <w:p>
      <w:pPr>
        <w:pStyle w:val="Heading3"/>
      </w:pPr>
      <w:r>
        <w:rPr>
          <w:color w:val="142A45"/>
        </w:rPr>
        <w:t>Convenciones de este manual</w:t>
      </w:r>
    </w:p>
    <w:p>
      <w:pPr>
        <w:pStyle w:val="ListBullet"/>
      </w:pPr>
      <w:r>
        <w:t>Los nombres de botones y menús aparecen entre comillas, p. ej. "Crear Cotización".</w:t>
      </w:r>
    </w:p>
    <w:p>
      <w:pPr>
        <w:pStyle w:val="ListBullet"/>
      </w:pPr>
      <w:r>
        <w:t>Los pasos numerados indican una secuencia que debe seguirse en orden.</w:t>
      </w:r>
    </w:p>
    <w:p>
      <w:pPr>
        <w:pStyle w:val="ListBullet"/>
      </w:pPr>
      <w:r>
        <w:t>Los íconos 💡 (consejo), 📌 (nota) y ⚠️ (importante) resaltan información clave.</w:t>
      </w:r>
    </w:p>
    <w:p>
      <w:pPr>
        <w:pStyle w:val="Heading3"/>
      </w:pPr>
      <w:r>
        <w:rPr>
          <w:color w:val="142A45"/>
        </w:rPr>
        <w:t>Contenido</w:t>
      </w:r>
    </w:p>
    <w:p>
      <w:pPr>
        <w:pStyle w:val="ListBullet"/>
      </w:pPr>
      <w:r>
        <w:t>Capítulo 1 — Menú de Cotizaciones (Usuario Comercial)</w:t>
      </w:r>
    </w:p>
    <w:p>
      <w:pPr>
        <w:pStyle w:val="ListBullet"/>
      </w:pPr>
      <w:r>
        <w:t>Capítulo 2 — Menú de Proyectos (Usuario Técnico / QA)</w:t>
      </w:r>
    </w:p>
    <w:p>
      <w:pPr>
        <w:pStyle w:val="ListBullet"/>
      </w:pPr>
      <w:r>
        <w:t>Capítulo 3 — Menú de Integradores (Gestión de Aliados)</w:t>
      </w:r>
    </w:p>
    <w:p>
      <w:pPr>
        <w:pStyle w:val="ListBullet"/>
      </w:pPr>
      <w:r>
        <w:t>Guía de navegación rápida de la interfaz</w:t>
      </w:r>
    </w:p>
    <w:p>
      <w:pPr>
        <w:pStyle w:val="ListBullet"/>
      </w:pPr>
      <w:r>
        <w:t>Glosario de términos</w:t>
      </w:r>
    </w:p>
    <w:p>
      <w:r>
        <w:br w:type="page"/>
      </w:r>
    </w:p>
    <w:p>
      <w:pPr>
        <w:pStyle w:val="Heading1"/>
      </w:pPr>
      <w:r>
        <w:rPr>
          <w:color w:val="142A45"/>
        </w:rPr>
        <w:t>Capítulo 1: Menú de Cotizaciones</w:t>
      </w:r>
    </w:p>
    <w:p>
      <w:r>
        <w:rPr>
          <w:b w:val="0"/>
          <w:i w:val="0"/>
          <w:sz w:val="22"/>
        </w:rPr>
        <w:t>El menú de Cotizaciones es el punto de partida de la relación comercial. Permite estructurar propuestas económicas para los clientes y darles seguimiento durante todo su ciclo de vida, desde el borrador hasta la entrega o facturación.</w:t>
      </w:r>
    </w:p>
    <w:p>
      <w:pPr>
        <w:pStyle w:val="Heading2"/>
      </w:pPr>
      <w:r>
        <w:rPr>
          <w:color w:val="1D4ED8"/>
        </w:rPr>
        <w:t>1.1 Acceso y vista general</w:t>
      </w:r>
    </w:p>
    <w:p>
      <w:r>
        <w:rPr>
          <w:b w:val="0"/>
          <w:i w:val="0"/>
          <w:sz w:val="22"/>
        </w:rPr>
        <w:t>Al ingresar al menú verás:</w:t>
      </w:r>
    </w:p>
    <w:p>
      <w:pPr>
        <w:pStyle w:val="ListBullet"/>
      </w:pPr>
      <w:r>
        <w:t>Tarjetas de indicadores (KPIs) con el conteo de cotizaciones por estado.</w:t>
      </w:r>
    </w:p>
    <w:p>
      <w:pPr>
        <w:pStyle w:val="ListBullet"/>
      </w:pPr>
      <w:r>
        <w:t>Un widget de "Cotizaciones en Estado Irregular" (cuando aplica) para depurar registros.</w:t>
      </w:r>
    </w:p>
    <w:p>
      <w:pPr>
        <w:pStyle w:val="ListBullet"/>
      </w:pPr>
      <w:r>
        <w:t>Botones de creación de nuevas cotizaciones.</w:t>
      </w:r>
    </w:p>
    <w:p>
      <w:pPr>
        <w:pStyle w:val="ListBullet"/>
      </w:pPr>
      <w:r>
        <w:t>Una tabla central con todas las cotizaciones y sus acciones.</w:t>
      </w:r>
    </w:p>
    <w:p>
      <w:pPr>
        <w:pStyle w:val="ListBullet"/>
      </w:pPr>
      <w:r>
        <w:t>Filtros de búsqueda (cliente, número, estado, tipo, segmento, fecha).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tizacion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Figura: Menú de Cotizaciones: KPIs por estado, botones de creación (Implementaciones, Equipos y Accesorios, Reparaciones), filtros rápidos y tabla con el avance de estados por fila.</w:t>
      </w:r>
    </w:p>
    <w:p>
      <w:pPr>
        <w:pStyle w:val="Heading2"/>
      </w:pPr>
      <w:r>
        <w:rPr>
          <w:color w:val="1D4ED8"/>
        </w:rPr>
        <w:t>1.2 Tipos de cotización y reglas de Bienes y Servicios</w:t>
      </w:r>
    </w:p>
    <w:p>
      <w:r>
        <w:rPr>
          <w:b w:val="0"/>
          <w:i w:val="0"/>
          <w:sz w:val="22"/>
        </w:rPr>
        <w:t>Al crear una cotización, el sistema filtra automáticamente los productos según el tipo de documento:</w:t>
      </w:r>
    </w:p>
    <w:p>
      <w:pPr>
        <w:pStyle w:val="ListBullet"/>
      </w:pPr>
      <w:r>
        <w:t>Cotización de Equipos: venta o arrendamiento de terminales principales (ej. PinPads, POS, MPOS).</w:t>
      </w:r>
    </w:p>
    <w:p>
      <w:pPr>
        <w:pStyle w:val="ListBullet"/>
      </w:pPr>
      <w:r>
        <w:t>Cotización de Accesorios: componentes complementarios (ej. cables, fuentes de poder, bases).</w:t>
      </w:r>
    </w:p>
    <w:p>
      <w:pPr>
        <w:pStyle w:val="Heading3"/>
      </w:pPr>
      <w:r>
        <w:rPr>
          <w:color w:val="142A45"/>
        </w:rPr>
        <w:t>Regla especial de categorías combinadas</w:t>
      </w:r>
    </w:p>
    <w:p>
      <w:pPr>
        <w:pStyle w:val="ListBullet"/>
      </w:pPr>
      <w:r>
        <w:t>PinPad/Accesorio (híbrido): estos productos aparecen disponibles tanto en una Cotización de Equipos como en una de Accesorios.</w:t>
      </w:r>
    </w:p>
    <w:p>
      <w:pPr>
        <w:pStyle w:val="ListBullet"/>
      </w:pPr>
      <w:r>
        <w:t>PinPad/Licencia (activos lógicos / software): al cargarse en inventario el sistema NO exige seriales físicos, lo que agiliza su facturación y despacho.</w:t>
      </w:r>
    </w:p>
    <w:p>
      <w:r>
        <w:rPr>
          <w:b/>
          <w:color w:val="1D4ED8"/>
          <w:sz w:val="21"/>
        </w:rPr>
        <w:t xml:space="preserve">📌 Nota: </w:t>
      </w:r>
      <w:r>
        <w:rPr>
          <w:color w:val="1D4ED8"/>
          <w:sz w:val="21"/>
        </w:rPr>
        <w:t>La categoría del producto determina en qué flujo lo verás y si requiere seriales. Si no encuentras un producto, verifica que su categoría corresponda al tipo de cotización.</w:t>
      </w:r>
    </w:p>
    <w:p>
      <w:pPr>
        <w:pStyle w:val="Heading2"/>
      </w:pPr>
      <w:r>
        <w:rPr>
          <w:color w:val="1D4ED8"/>
        </w:rPr>
        <w:t>1.3 Crear una cotización</w:t>
      </w:r>
    </w:p>
    <w:p>
      <w:r>
        <w:rPr>
          <w:b w:val="0"/>
          <w:i w:val="0"/>
          <w:sz w:val="22"/>
        </w:rPr>
        <w:t>Desde los botones de creación puedes iniciar cuatro flujos, combinando el tipo de documento con el segmento del cliente:</w:t>
      </w:r>
    </w:p>
    <w:p>
      <w:pPr>
        <w:pStyle w:val="ListBullet"/>
      </w:pPr>
      <w:r>
        <w:t>Equipos — Clientes Corporativos.</w:t>
      </w:r>
    </w:p>
    <w:p>
      <w:pPr>
        <w:pStyle w:val="ListBullet"/>
      </w:pPr>
      <w:r>
        <w:t>Equipos — Clientes Pymes.</w:t>
      </w:r>
    </w:p>
    <w:p>
      <w:pPr>
        <w:pStyle w:val="ListBullet"/>
      </w:pPr>
      <w:r>
        <w:t>Implementación / Proyectos de gran envergadura — Corporativos (VPOS, MPOS, Gateway, Link de Pago).</w:t>
      </w:r>
    </w:p>
    <w:p>
      <w:pPr>
        <w:pStyle w:val="ListBullet"/>
      </w:pPr>
      <w:r>
        <w:t>Implementación / Proyectos — Pymes.</w:t>
      </w:r>
    </w:p>
    <w:p>
      <w:r>
        <w:rPr>
          <w:b w:val="0"/>
          <w:i w:val="0"/>
          <w:sz w:val="22"/>
        </w:rPr>
        <w:t>Pasos generales:</w:t>
      </w:r>
    </w:p>
    <w:p>
      <w:pPr>
        <w:pStyle w:val="ListNumber"/>
      </w:pPr>
      <w:r>
        <w:t>Pulsa el botón de creación correspondiente al tipo y segmento.</w:t>
      </w:r>
    </w:p>
    <w:p>
      <w:pPr>
        <w:pStyle w:val="ListNumber"/>
      </w:pPr>
      <w:r>
        <w:t>Selecciona el cliente (buscador por Razón Social, RIF o Nombre de Fantasía).</w:t>
      </w:r>
    </w:p>
    <w:p>
      <w:pPr>
        <w:pStyle w:val="ListNumber"/>
      </w:pPr>
      <w:r>
        <w:t>Agrega los productos/servicios con el selector; define cantidades y condiciones.</w:t>
      </w:r>
    </w:p>
    <w:p>
      <w:pPr>
        <w:pStyle w:val="ListNumber"/>
      </w:pPr>
      <w:r>
        <w:t>Revisa los totales (Inversión Inicial, Total USD) calculados automáticamente.</w:t>
      </w:r>
    </w:p>
    <w:p>
      <w:pPr>
        <w:pStyle w:val="ListNumber"/>
      </w:pPr>
      <w:r>
        <w:t>Guarda la cotización: quedará en estado "Borrador".</w:t>
      </w:r>
    </w:p>
    <w:p>
      <w:r>
        <w:rPr>
          <w:b/>
          <w:color w:val="15803D"/>
          <w:sz w:val="21"/>
        </w:rPr>
        <w:t xml:space="preserve">💡 Consejo: </w:t>
      </w:r>
      <w:r>
        <w:rPr>
          <w:color w:val="15803D"/>
          <w:sz w:val="21"/>
        </w:rPr>
        <w:t>Usa el asistente (wizard) de equipos para cargar múltiples productos y sus seriales/preasignaciones de forma guiada.</w:t>
      </w:r>
    </w:p>
    <w:p>
      <w:pPr>
        <w:pStyle w:val="Heading2"/>
      </w:pPr>
      <w:r>
        <w:rPr>
          <w:color w:val="1D4ED8"/>
        </w:rPr>
        <w:t>1.4 La tabla de cotizaciones y sus columnas</w:t>
      </w:r>
    </w:p>
    <w:p>
      <w:r>
        <w:rPr>
          <w:b w:val="0"/>
          <w:i w:val="0"/>
          <w:sz w:val="22"/>
        </w:rPr>
        <w:t>Cada fila representa una cotización. Las columnas principales son:</w:t>
      </w:r>
    </w:p>
    <w:p>
      <w:pPr>
        <w:pStyle w:val="ListBullet"/>
      </w:pPr>
      <w:r>
        <w:t>Número — identificador de la cotización.</w:t>
      </w:r>
    </w:p>
    <w:p>
      <w:pPr>
        <w:pStyle w:val="ListBullet"/>
      </w:pPr>
      <w:r>
        <w:t>Cliente / Nombre de Fantasía — a quién va dirigida.</w:t>
      </w:r>
    </w:p>
    <w:p>
      <w:pPr>
        <w:pStyle w:val="ListBullet"/>
      </w:pPr>
      <w:r>
        <w:t>Tipo y Categoría — Equipos o Accesorios y su clasificación.</w:t>
      </w:r>
    </w:p>
    <w:p>
      <w:pPr>
        <w:pStyle w:val="ListBullet"/>
      </w:pPr>
      <w:r>
        <w:t>Segmento — Corporativo o Pyme.</w:t>
      </w:r>
    </w:p>
    <w:p>
      <w:pPr>
        <w:pStyle w:val="ListBullet"/>
      </w:pPr>
      <w:r>
        <w:t>Total USD / Inversión Inicial — montos de la propuesta.</w:t>
      </w:r>
    </w:p>
    <w:p>
      <w:pPr>
        <w:pStyle w:val="ListBullet"/>
      </w:pPr>
      <w:r>
        <w:t>Estado — etapa actual del ciclo de vida.</w:t>
      </w:r>
    </w:p>
    <w:p>
      <w:pPr>
        <w:pStyle w:val="ListBullet"/>
      </w:pPr>
      <w:r>
        <w:t>Fecha — fecha de creación o del último cambio.</w:t>
      </w:r>
    </w:p>
    <w:p>
      <w:pPr>
        <w:pStyle w:val="ListBullet"/>
      </w:pPr>
      <w:r>
        <w:t>Acciones — menú con las operaciones disponibles según el estado.</w:t>
      </w:r>
    </w:p>
    <w:p>
      <w:r>
        <w:rPr>
          <w:b/>
          <w:color w:val="15803D"/>
          <w:sz w:val="21"/>
        </w:rPr>
        <w:t xml:space="preserve">💡 Consejo: </w:t>
      </w:r>
      <w:r>
        <w:rPr>
          <w:color w:val="15803D"/>
          <w:sz w:val="21"/>
        </w:rPr>
        <w:t>Haz clic sobre una fila para abrir la ficha detallada de la cotización.</w:t>
      </w:r>
    </w:p>
    <w:p>
      <w:pPr>
        <w:pStyle w:val="Heading2"/>
      </w:pPr>
      <w:r>
        <w:rPr>
          <w:color w:val="1D4ED8"/>
        </w:rPr>
        <w:t>1.5 Ciclo de vida y acciones por estado</w:t>
      </w:r>
    </w:p>
    <w:p>
      <w:r>
        <w:rPr>
          <w:b w:val="0"/>
          <w:i w:val="0"/>
          <w:sz w:val="22"/>
        </w:rPr>
        <w:t>Una cotización avanza por distintos estados. Las acciones disponibles en el menú "Acciones" cambian según el estado actual. Flujo típico:</w:t>
      </w:r>
    </w:p>
    <w:p>
      <w:pPr>
        <w:pStyle w:val="ListNumber"/>
      </w:pPr>
      <w:r>
        <w:t>Borrador — la cotización recién creada; puedes editarla o enviarla al cliente.</w:t>
      </w:r>
    </w:p>
    <w:p>
      <w:pPr>
        <w:pStyle w:val="ListNumber"/>
      </w:pPr>
      <w:r>
        <w:t>Enviada al Cliente — se remite la propuesta; queda a la espera de respuesta.</w:t>
      </w:r>
    </w:p>
    <w:p>
      <w:pPr>
        <w:pStyle w:val="ListNumber"/>
      </w:pPr>
      <w:r>
        <w:t>Aprobada — el cliente acepta; habilita el paso a implementación/entrega.</w:t>
      </w:r>
    </w:p>
    <w:p>
      <w:pPr>
        <w:pStyle w:val="ListNumber"/>
      </w:pPr>
      <w:r>
        <w:t>Enviada a Implementación — pasa al área técnica (genera el proyecto asociado).</w:t>
      </w:r>
    </w:p>
    <w:p>
      <w:pPr>
        <w:pStyle w:val="ListNumber"/>
      </w:pPr>
      <w:r>
        <w:t>Entrega / Entregada — se registra la entrega física de equipos (con seriales).</w:t>
      </w:r>
    </w:p>
    <w:p>
      <w:r>
        <w:rPr>
          <w:b w:val="0"/>
          <w:i w:val="0"/>
          <w:sz w:val="22"/>
        </w:rPr>
        <w:t>Otras acciones frecuentes:</w:t>
      </w:r>
    </w:p>
    <w:p>
      <w:pPr>
        <w:pStyle w:val="ListBullet"/>
      </w:pPr>
      <w:r>
        <w:t>Editar / Modificar — ajusta productos o condiciones (según permisos y estado).</w:t>
      </w:r>
    </w:p>
    <w:p>
      <w:pPr>
        <w:pStyle w:val="ListBullet"/>
      </w:pPr>
      <w:r>
        <w:t>Duplicar — crea una nueva a partir de una existente.</w:t>
      </w:r>
    </w:p>
    <w:p>
      <w:pPr>
        <w:pStyle w:val="ListBullet"/>
      </w:pPr>
      <w:r>
        <w:t>Anular / Rechazar — cancela la propuesta dejando traza en el historial.</w:t>
      </w:r>
    </w:p>
    <w:p>
      <w:pPr>
        <w:pStyle w:val="ListBullet"/>
      </w:pPr>
      <w:r>
        <w:t>Ver / Descargar PDF — genera el documento formal de la cotización.</w:t>
      </w:r>
    </w:p>
    <w:p>
      <w:pPr>
        <w:pStyle w:val="ListBullet"/>
      </w:pPr>
      <w:r>
        <w:t>Preasignar seriales — reserva equipos del inventario antes de entregar.</w:t>
      </w:r>
    </w:p>
    <w:p>
      <w:pPr>
        <w:pStyle w:val="ListBullet"/>
      </w:pPr>
      <w:r>
        <w:t>Regularizar — corrige cotizaciones en estado irregular (ver 1.7).</w:t>
      </w:r>
    </w:p>
    <w:p>
      <w:r>
        <w:rPr>
          <w:b/>
          <w:color w:val="1D4ED8"/>
          <w:sz w:val="21"/>
        </w:rPr>
        <w:t xml:space="preserve">📌 Nota: </w:t>
      </w:r>
      <w:r>
        <w:rPr>
          <w:color w:val="1D4ED8"/>
          <w:sz w:val="21"/>
        </w:rPr>
        <w:t>Cada cambio de estado queda registrado en el "Historial" de la cotización, incluyendo excepciones y justificaciones.</w:t>
      </w:r>
    </w:p>
    <w:p>
      <w:pPr>
        <w:pStyle w:val="Heading2"/>
      </w:pPr>
      <w:r>
        <w:rPr>
          <w:color w:val="1D4ED8"/>
        </w:rPr>
        <w:t>1.6 Entrega, preasignación y anexos</w:t>
      </w:r>
    </w:p>
    <w:p>
      <w:pPr>
        <w:pStyle w:val="ListBullet"/>
      </w:pPr>
      <w:r>
        <w:t>Preasignación: reserva seriales específicos del inventario para la cotización.</w:t>
      </w:r>
    </w:p>
    <w:p>
      <w:pPr>
        <w:pStyle w:val="ListBullet"/>
      </w:pPr>
      <w:r>
        <w:t>Entrega: registra la salida física de los equipos y puede enviar un correo de entrega.</w:t>
      </w:r>
    </w:p>
    <w:p>
      <w:pPr>
        <w:pStyle w:val="ListBullet"/>
      </w:pPr>
      <w:r>
        <w:t>Anexos: adjunta documentos de soporte a la cotización desde el gestor de anexos.</w:t>
      </w:r>
    </w:p>
    <w:p>
      <w:r>
        <w:rPr>
          <w:b/>
          <w:color w:val="B45309"/>
          <w:sz w:val="21"/>
        </w:rPr>
        <w:t xml:space="preserve">⚠️ Importante: </w:t>
      </w:r>
      <w:r>
        <w:rPr>
          <w:color w:val="B45309"/>
          <w:sz w:val="21"/>
        </w:rPr>
        <w:t>Los productos de categoría PinPad/Licencia no requieren seriales; el sistema omite ese paso automáticamente.</w:t>
      </w:r>
    </w:p>
    <w:p>
      <w:pPr>
        <w:pStyle w:val="Heading2"/>
      </w:pPr>
      <w:r>
        <w:rPr>
          <w:color w:val="1D4ED8"/>
        </w:rPr>
        <w:t>1.7 Regularización de estados irregulares</w:t>
      </w:r>
    </w:p>
    <w:p>
      <w:r>
        <w:rPr>
          <w:b w:val="0"/>
          <w:i w:val="0"/>
          <w:sz w:val="22"/>
        </w:rPr>
        <w:t>Cuando una cotización queda en un estado inconsistente (por migraciones o cambios de flujo), aparece en el widget "Cotizaciones en Estado Irregular".</w:t>
      </w:r>
    </w:p>
    <w:p>
      <w:pPr>
        <w:pStyle w:val="ListNumber"/>
      </w:pPr>
      <w:r>
        <w:t>Abre el widget de irregulares.</w:t>
      </w:r>
    </w:p>
    <w:p>
      <w:pPr>
        <w:pStyle w:val="ListNumber"/>
      </w:pPr>
      <w:r>
        <w:t>Ejecuta primero una simulación ("dry-run") para ver qué se corregirá.</w:t>
      </w:r>
    </w:p>
    <w:p>
      <w:pPr>
        <w:pStyle w:val="ListNumber"/>
      </w:pPr>
      <w:r>
        <w:t>Aplica la regularización individual o por lote.</w:t>
      </w:r>
    </w:p>
    <w:p>
      <w:pPr>
        <w:pStyle w:val="ListNumber"/>
      </w:pPr>
      <w:r>
        <w:t>Revisa el resultado y confirma que el estado quedó correcto.</w:t>
      </w:r>
    </w:p>
    <w:p>
      <w:pPr>
        <w:pStyle w:val="Heading2"/>
      </w:pPr>
      <w:r>
        <w:rPr>
          <w:color w:val="1D4ED8"/>
        </w:rPr>
        <w:t>1.8 Migración / Respaldo de cotizaciones y anexos (ZIP)</w:t>
      </w:r>
    </w:p>
    <w:p>
      <w:r>
        <w:rPr>
          <w:b w:val="0"/>
          <w:i w:val="0"/>
          <w:sz w:val="22"/>
        </w:rPr>
        <w:t>El botón de migración permite exportar/importar el paquete de cotizaciones y restaurar sus anexos desde archivos ZIP.</w:t>
      </w:r>
    </w:p>
    <w:p>
      <w:pPr>
        <w:pStyle w:val="ListBullet"/>
      </w:pPr>
      <w:r>
        <w:t>Al restaurar anexos ZIP verás un monitor con el detalle y una barra de progreso porcentual con contador de restaurados/fallidos y tiempo estimado (ETA).</w:t>
      </w:r>
    </w:p>
    <w:p>
      <w:r>
        <w:rPr>
          <w:b/>
          <w:color w:val="15803D"/>
          <w:sz w:val="21"/>
        </w:rPr>
        <w:t xml:space="preserve">💡 Consejo: </w:t>
      </w:r>
      <w:r>
        <w:rPr>
          <w:color w:val="15803D"/>
          <w:sz w:val="21"/>
        </w:rPr>
        <w:t>Puedes seleccionar uno o varios ZIP a la vez; el progreso muestra el avance global.</w:t>
      </w:r>
    </w:p>
    <w:p>
      <w:pPr>
        <w:pStyle w:val="Heading2"/>
      </w:pPr>
      <w:r>
        <w:rPr>
          <w:color w:val="1D4ED8"/>
        </w:rPr>
        <w:t>1.9 Regla de pertenencia y visibilidad (Seguridad de Ventas)</w:t>
      </w:r>
    </w:p>
    <w:p>
      <w:r>
        <w:rPr>
          <w:b w:val="0"/>
          <w:i w:val="0"/>
          <w:sz w:val="22"/>
        </w:rPr>
        <w:t>Cada cotización se almacena con la etiqueta (badge) del departamento del creador AL MOMENTO de crearla (ej. Ventas Corporativas).</w:t>
      </w:r>
    </w:p>
    <w:p>
      <w:r>
        <w:rPr>
          <w:b/>
          <w:color w:val="B45309"/>
          <w:sz w:val="21"/>
        </w:rPr>
        <w:t xml:space="preserve">⚠️ Importante: </w:t>
      </w:r>
      <w:r>
        <w:rPr>
          <w:color w:val="B45309"/>
          <w:sz w:val="21"/>
        </w:rPr>
        <w:t>Si el usuario es promovido o transferido a otra área (ej. Implementación), sus cotizaciones históricas SIGUEN perteneciendo y siendo visibles para su equipo de Ventas original. Así el departamento de Ventas no pierde su historial ni sus métricas por movimientos de personal.</w:t>
      </w:r>
    </w:p>
    <w:p>
      <w:r>
        <w:br w:type="page"/>
      </w:r>
    </w:p>
    <w:p>
      <w:pPr>
        <w:pStyle w:val="Heading1"/>
      </w:pPr>
      <w:r>
        <w:rPr>
          <w:color w:val="142A45"/>
        </w:rPr>
        <w:t>Capítulo 2: Menú de Proyectos</w:t>
      </w:r>
    </w:p>
    <w:p>
      <w:r>
        <w:rPr>
          <w:b w:val="0"/>
          <w:i w:val="0"/>
          <w:sz w:val="22"/>
        </w:rPr>
        <w:t>Una vez aprobada la fase comercial, el integrador inicia su proceso técnico en el Menú de Proyectos, donde se hace seguimiento al desarrollo de software e interfaces post-venta.</w:t>
      </w:r>
    </w:p>
    <w:p>
      <w:pPr>
        <w:pStyle w:val="Heading2"/>
      </w:pPr>
      <w:r>
        <w:rPr>
          <w:color w:val="1D4ED8"/>
        </w:rPr>
        <w:t>2.1 Panel de control y KPIs dinámicos</w:t>
      </w:r>
    </w:p>
    <w:p>
      <w:r>
        <w:rPr>
          <w:b w:val="0"/>
          <w:i w:val="0"/>
          <w:sz w:val="22"/>
        </w:rPr>
        <w:t>En la parte superior verás cajas de indicadores (KPIs) que agrupan los proyectos por su estado (Por Iniciar/Asignado, En Proceso/Ejecución, Suspendidos, y el Total). También existe el filtro "Activos (ocultar cerrados)".</w:t>
      </w:r>
    </w:p>
    <w:p>
      <w:pPr>
        <w:pStyle w:val="Heading3"/>
      </w:pPr>
      <w:r>
        <w:rPr>
          <w:color w:val="142A45"/>
        </w:rPr>
        <w:t>Visualización de avance (hover)</w:t>
      </w:r>
    </w:p>
    <w:p>
      <w:r>
        <w:rPr>
          <w:b w:val="0"/>
          <w:i w:val="0"/>
          <w:sz w:val="22"/>
        </w:rPr>
        <w:t>Para conocer la salud de los proyectos sin entrar a cada uno, pasa el cursor sobre cualquier caja de KPI. Se despliega un resumen flotante ("Resumen de Avance") que detalla cuántos proyectos están:</w:t>
      </w:r>
    </w:p>
    <w:p>
      <w:pPr>
        <w:pStyle w:val="ListBullet"/>
      </w:pPr>
      <w:r>
        <w:t>🟢 Al día — cumpliendo el cronograma.</w:t>
      </w:r>
    </w:p>
    <w:p>
      <w:pPr>
        <w:pStyle w:val="ListBullet"/>
      </w:pPr>
      <w:r>
        <w:t>🟡 Retraso Medio — con desvíos menores en los tiempos.</w:t>
      </w:r>
    </w:p>
    <w:p>
      <w:pPr>
        <w:pStyle w:val="ListBullet"/>
      </w:pPr>
      <w:r>
        <w:t>🔴 Retraso Crítico — estancados; requieren atención inmediata.</w:t>
      </w:r>
    </w:p>
    <w:p>
      <w:r>
        <w:rPr>
          <w:b/>
          <w:color w:val="15803D"/>
          <w:sz w:val="21"/>
        </w:rPr>
        <w:t xml:space="preserve">💡 Consejo: </w:t>
      </w:r>
      <w:r>
        <w:rPr>
          <w:color w:val="15803D"/>
          <w:sz w:val="21"/>
        </w:rPr>
        <w:t>El semáforo se calcula con días hábiles, descontando fines de semana y feriados del calendario laboral configurado.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yectos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Figura: Menú de Proyectos: tableros de Avance Físico y Avance Digital · PVV, cajas KPI por estado (Total, Por Asignar, Asignado, En Gestión, Suspendido, Culminado), barra de Avance Global, filtros y tabla de seguimiento.</w:t>
      </w:r>
    </w:p>
    <w:p>
      <w:pPr>
        <w:pStyle w:val="Heading2"/>
      </w:pPr>
      <w:r>
        <w:rPr>
          <w:color w:val="1D4ED8"/>
        </w:rPr>
        <w:t>2.2 Columnas, filtros y búsqueda</w:t>
      </w:r>
    </w:p>
    <w:p>
      <w:r>
        <w:rPr>
          <w:b w:val="0"/>
          <w:i w:val="0"/>
          <w:sz w:val="22"/>
        </w:rPr>
        <w:t>La tabla de proyectos incluye, entre otros: Cliente/Ticket, Razón Social, Sede, Tipo, Patrocinador, Implementador (Responsable Actual), Estado, Compromiso y Fecha Límite.</w:t>
      </w:r>
    </w:p>
    <w:p>
      <w:pPr>
        <w:pStyle w:val="ListBullet"/>
      </w:pPr>
      <w:r>
        <w:t>Búsqueda por cliente, RIF, Razón Social o Grupo Económico.</w:t>
      </w:r>
    </w:p>
    <w:p>
      <w:pPr>
        <w:pStyle w:val="ListBullet"/>
      </w:pPr>
      <w:r>
        <w:t>Filtros por "Todos los estados" y "Todos los tipos".</w:t>
      </w:r>
    </w:p>
    <w:p>
      <w:pPr>
        <w:pStyle w:val="ListBullet"/>
      </w:pPr>
      <w:r>
        <w:t>Indicador de "Avance Global" y alertas de compromisos.</w:t>
      </w:r>
    </w:p>
    <w:p>
      <w:pPr>
        <w:pStyle w:val="Heading2"/>
      </w:pPr>
      <w:r>
        <w:rPr>
          <w:color w:val="1D4ED8"/>
        </w:rPr>
        <w:t>2.3 Asignar y reasignar proyectos</w:t>
      </w:r>
    </w:p>
    <w:p>
      <w:pPr>
        <w:pStyle w:val="Heading3"/>
      </w:pPr>
      <w:r>
        <w:rPr>
          <w:color w:val="142A45"/>
        </w:rPr>
        <w:t>Asignar Proyecto</w:t>
      </w:r>
    </w:p>
    <w:p>
      <w:pPr>
        <w:pStyle w:val="ListNumber"/>
      </w:pPr>
      <w:r>
        <w:t>Pulsa "Asignar Proyecto" en el proyecto correspondiente.</w:t>
      </w:r>
    </w:p>
    <w:p>
      <w:pPr>
        <w:pStyle w:val="ListNumber"/>
      </w:pPr>
      <w:r>
        <w:t>Selecciona el implementador responsable.</w:t>
      </w:r>
    </w:p>
    <w:p>
      <w:pPr>
        <w:pStyle w:val="ListNumber"/>
      </w:pPr>
      <w:r>
        <w:t>Confirma la asignación.</w:t>
      </w:r>
    </w:p>
    <w:p>
      <w:pPr>
        <w:pStyle w:val="Heading3"/>
      </w:pPr>
      <w:r>
        <w:rPr>
          <w:color w:val="142A45"/>
        </w:rPr>
        <w:t>Reasignar Proyecto (individual o por lote)</w:t>
      </w:r>
    </w:p>
    <w:p>
      <w:pPr>
        <w:pStyle w:val="ListNumber"/>
      </w:pPr>
      <w:r>
        <w:t>Usa "Reasignar Proyecto" (o "Reasignación por lote" para varios).</w:t>
      </w:r>
    </w:p>
    <w:p>
      <w:pPr>
        <w:pStyle w:val="ListNumber"/>
      </w:pPr>
      <w:r>
        <w:t>Selecciona el nuevo implementador.</w:t>
      </w:r>
    </w:p>
    <w:p>
      <w:pPr>
        <w:pStyle w:val="ListNumber"/>
      </w:pPr>
      <w:r>
        <w:t>Indica la Fecha de Reasignación y el Motivo (obligatorio).</w:t>
      </w:r>
    </w:p>
    <w:p>
      <w:pPr>
        <w:pStyle w:val="ListNumber"/>
      </w:pPr>
      <w:r>
        <w:t>Confirma; el cambio queda registrado con su justificación.</w:t>
      </w:r>
    </w:p>
    <w:p>
      <w:pPr>
        <w:pStyle w:val="Heading2"/>
      </w:pPr>
      <w:r>
        <w:rPr>
          <w:color w:val="1D4ED8"/>
        </w:rPr>
        <w:t>2.4 Cambio de estado con justificación</w:t>
      </w:r>
    </w:p>
    <w:p>
      <w:r>
        <w:rPr>
          <w:b w:val="0"/>
          <w:i w:val="0"/>
          <w:sz w:val="22"/>
        </w:rPr>
        <w:t>Al cambiar el estado de un proyecto, el sistema solicita:</w:t>
      </w:r>
    </w:p>
    <w:p>
      <w:pPr>
        <w:pStyle w:val="ListBullet"/>
      </w:pPr>
      <w:r>
        <w:t>El "Nuevo Estado".</w:t>
      </w:r>
    </w:p>
    <w:p>
      <w:pPr>
        <w:pStyle w:val="ListBullet"/>
      </w:pPr>
      <w:r>
        <w:t>Un "Motivo o detalle del cambio de estado" (obligatorio) para dejar trazabilidad.</w:t>
      </w:r>
    </w:p>
    <w:p>
      <w:pPr>
        <w:pStyle w:val="Heading2"/>
      </w:pPr>
      <w:r>
        <w:rPr>
          <w:color w:val="1D4ED8"/>
        </w:rPr>
        <w:t>2.5 Flujo de cierre de un proyecto estándar</w:t>
      </w:r>
    </w:p>
    <w:p>
      <w:r>
        <w:rPr>
          <w:b w:val="0"/>
          <w:i w:val="0"/>
          <w:sz w:val="22"/>
        </w:rPr>
        <w:t>Cuando el integrador finaliza con éxito sus pruebas, ejecuta la acción de "Cierre de Proyecto". El sistema te guía por dos ventanas emergentes (modales):</w:t>
      </w:r>
    </w:p>
    <w:p>
      <w:pPr>
        <w:pStyle w:val="Heading3"/>
      </w:pPr>
      <w:r>
        <w:rPr>
          <w:color w:val="142A45"/>
        </w:rPr>
        <w:t>Modal 1 — Datos Técnicos del Componente</w:t>
      </w:r>
    </w:p>
    <w:p>
      <w:pPr>
        <w:pStyle w:val="ListNumber"/>
      </w:pPr>
      <w:r>
        <w:t>Transcribe el "Componente" (ej. Plugin WooCommerce, API Rest, SDK Android).</w:t>
      </w:r>
    </w:p>
    <w:p>
      <w:pPr>
        <w:pStyle w:val="ListNumber"/>
      </w:pPr>
      <w:r>
        <w:t>Transcribe la "Versión" (ej. v2.4.1).</w:t>
      </w:r>
    </w:p>
    <w:p>
      <w:r>
        <w:rPr>
          <w:b/>
          <w:color w:val="1D4ED8"/>
          <w:sz w:val="21"/>
        </w:rPr>
        <w:t xml:space="preserve">📌 Nota: </w:t>
      </w:r>
      <w:r>
        <w:rPr>
          <w:color w:val="1D4ED8"/>
          <w:sz w:val="21"/>
        </w:rPr>
        <w:t>Ambos campos son obligatorios. Con ellos el sistema arma la variable {Interfaz_Integrada} = "Componente - Versión" que se usa en el certificado y las plantillas.</w:t>
      </w:r>
    </w:p>
    <w:p>
      <w:pPr>
        <w:pStyle w:val="Heading3"/>
      </w:pPr>
      <w:r>
        <w:rPr>
          <w:color w:val="142A45"/>
        </w:rPr>
        <w:t>Modal 2 — Personalizar Comunicación</w:t>
      </w:r>
    </w:p>
    <w:p>
      <w:pPr>
        <w:pStyle w:val="ListNumber"/>
      </w:pPr>
      <w:r>
        <w:t>Adjunta archivos complementarios (bitácoras de QA, reportes).</w:t>
      </w:r>
    </w:p>
    <w:p>
      <w:pPr>
        <w:pStyle w:val="ListNumber"/>
      </w:pPr>
      <w:r>
        <w:t>Ingresa correos electrónicos adicionales en copia para la notificación final.</w:t>
      </w:r>
    </w:p>
    <w:p>
      <w:pPr>
        <w:pStyle w:val="ListNumber"/>
      </w:pPr>
      <w:r>
        <w:t>Pulsa "Cerrar y Certificar" para completar el cierre.</w:t>
      </w:r>
    </w:p>
    <w:p>
      <w:pPr>
        <w:pStyle w:val="Heading3"/>
      </w:pPr>
      <w:r>
        <w:rPr>
          <w:color w:val="142A45"/>
        </w:rPr>
        <w:t>Excepción absoluta: Proyectos de Ambiente de Prueba</w:t>
      </w:r>
    </w:p>
    <w:p>
      <w:r>
        <w:rPr>
          <w:b/>
          <w:color w:val="B45309"/>
          <w:sz w:val="21"/>
        </w:rPr>
        <w:t xml:space="preserve">⚠️ Importante: </w:t>
      </w:r>
      <w:r>
        <w:rPr>
          <w:color w:val="B45309"/>
          <w:sz w:val="21"/>
        </w:rPr>
        <w:t>Si el proyecto es de tipo "Ambiente de Prueba", al cerrarlo el sistema ÚNICA y EXCLUSIVAMENTE lo retira de la vista de proyectos activos. No se levantan modales, no se genera certificado, no se envían correos y no afecta la grilla de integradores. Es un flujo técnico directo.</w:t>
      </w:r>
    </w:p>
    <w:p>
      <w:r>
        <w:br w:type="page"/>
      </w:r>
    </w:p>
    <w:p>
      <w:pPr>
        <w:pStyle w:val="Heading1"/>
      </w:pPr>
      <w:r>
        <w:rPr>
          <w:color w:val="142A45"/>
        </w:rPr>
        <w:t>Capítulo 3: Menú de Integradores</w:t>
      </w:r>
    </w:p>
    <w:p>
      <w:r>
        <w:rPr>
          <w:b w:val="0"/>
          <w:i w:val="0"/>
          <w:sz w:val="22"/>
        </w:rPr>
        <w:t>El menú de Integradores es el registro maestro y permanente de todas las empresas y comercios que han culminado o mantienen una relación técnica activa con Mega Soft.</w:t>
      </w:r>
    </w:p>
    <w:p>
      <w:pPr>
        <w:pStyle w:val="Heading2"/>
      </w:pPr>
      <w:r>
        <w:rPr>
          <w:color w:val="1D4ED8"/>
        </w:rPr>
        <w:t>3.1 Vista de la grilla y datos del integrador</w:t>
      </w:r>
    </w:p>
    <w:p>
      <w:r>
        <w:rPr>
          <w:b w:val="0"/>
          <w:i w:val="0"/>
          <w:sz w:val="22"/>
        </w:rPr>
        <w:t>Cada fila muestra la ficha del aliado con columnas como: Nombre, Aplicativo, Categoría, Tipo de Integración, Coordinador/Gestor, Estatus (Certificado, Cerrado, En Ejecución, Suspendido, Ambiente de Prueba), Certificados y Acciones.</w:t>
      </w:r>
    </w:p>
    <w:p>
      <w:pPr>
        <w:pStyle w:val="ListBullet"/>
      </w:pPr>
      <w:r>
        <w:t>Filtros por "Tipo de Integración" y por "Estatus".</w:t>
      </w:r>
    </w:p>
    <w:p>
      <w:pPr>
        <w:pStyle w:val="ListBullet"/>
      </w:pPr>
      <w:r>
        <w:t>Buscador por nombre, aplicativo o gestor.</w:t>
      </w:r>
    </w:p>
    <w:p>
      <w:pPr>
        <w:pStyle w:val="ListBullet"/>
      </w:pPr>
      <w:r>
        <w:t>Agrupación configurable ("Agrupar por").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dores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Figura: Menú de Integradores: barra de acciones (Resumen, Plantillas, Comunicación Masiva, Importar, Excel, PDF), filtros, cajas KPI y grilla con badges "AMPLIACIÓN" / "NUEVO COMPONENTE" y columna de Certificados.</w:t>
      </w:r>
    </w:p>
    <w:p>
      <w:pPr>
        <w:pStyle w:val="Heading2"/>
      </w:pPr>
      <w:r>
        <w:rPr>
          <w:color w:val="1D4ED8"/>
        </w:rPr>
        <w:t>3.2 Crear, editar, eliminar e importar</w:t>
      </w:r>
    </w:p>
    <w:p>
      <w:pPr>
        <w:pStyle w:val="Heading3"/>
      </w:pPr>
      <w:r>
        <w:rPr>
          <w:color w:val="142A45"/>
        </w:rPr>
        <w:t>Crear / Editar integrador</w:t>
      </w:r>
    </w:p>
    <w:p>
      <w:pPr>
        <w:pStyle w:val="ListNumber"/>
      </w:pPr>
      <w:r>
        <w:t>Pulsa "Crear Integrador" (o edita uno existente).</w:t>
      </w:r>
    </w:p>
    <w:p>
      <w:pPr>
        <w:pStyle w:val="ListNumber"/>
      </w:pPr>
      <w:r>
        <w:t>Completa Datos del Integrador, Datos de Contacto Principal (correo, teléfono) y, si aplica, el Correo Adicional Eventual.</w:t>
      </w:r>
    </w:p>
    <w:p>
      <w:pPr>
        <w:pStyle w:val="ListNumber"/>
      </w:pPr>
      <w:r>
        <w:t>Guarda los cambios.</w:t>
      </w:r>
    </w:p>
    <w:p>
      <w:pPr>
        <w:pStyle w:val="Heading3"/>
      </w:pPr>
      <w:r>
        <w:rPr>
          <w:color w:val="142A45"/>
        </w:rPr>
        <w:t>Eliminar</w:t>
      </w:r>
    </w:p>
    <w:p>
      <w:r>
        <w:rPr>
          <w:b/>
          <w:color w:val="B45309"/>
          <w:sz w:val="21"/>
        </w:rPr>
        <w:t xml:space="preserve">⚠️ Importante: </w:t>
      </w:r>
      <w:r>
        <w:rPr>
          <w:color w:val="B45309"/>
          <w:sz w:val="21"/>
        </w:rPr>
        <w:t>La acción "Eliminar Integrador" es irreversible. Úsala con precaución.</w:t>
      </w:r>
    </w:p>
    <w:p>
      <w:pPr>
        <w:pStyle w:val="Heading3"/>
      </w:pPr>
      <w:r>
        <w:rPr>
          <w:color w:val="142A45"/>
        </w:rPr>
        <w:t>Importación masiva por Excel</w:t>
      </w:r>
    </w:p>
    <w:p>
      <w:pPr>
        <w:pStyle w:val="ListNumber"/>
      </w:pPr>
      <w:r>
        <w:t>Descarga la plantilla Excel modelo (con columnas y ejemplos).</w:t>
      </w:r>
    </w:p>
    <w:p>
      <w:pPr>
        <w:pStyle w:val="ListNumber"/>
      </w:pPr>
      <w:r>
        <w:t>Completa los datos y súbela mediante la carga de archivo.</w:t>
      </w:r>
    </w:p>
    <w:p>
      <w:pPr>
        <w:pStyle w:val="ListNumber"/>
      </w:pPr>
      <w:r>
        <w:t>Revisa el resultado de la importación y corrige los errores señalados.</w:t>
      </w:r>
    </w:p>
    <w:p>
      <w:pPr>
        <w:pStyle w:val="Heading2"/>
      </w:pPr>
      <w:r>
        <w:rPr>
          <w:color w:val="1D4ED8"/>
        </w:rPr>
        <w:t>3.3 Comportamiento post-cierre de proyectos (Inserción vs. Ampliación)</w:t>
      </w:r>
    </w:p>
    <w:p>
      <w:r>
        <w:rPr>
          <w:b w:val="0"/>
          <w:i w:val="0"/>
          <w:sz w:val="22"/>
        </w:rPr>
        <w:t>La grilla se alimenta automáticamente de los cierres del menú de Proyectos:</w:t>
      </w:r>
    </w:p>
    <w:p>
      <w:pPr>
        <w:pStyle w:val="ListBullet"/>
      </w:pPr>
      <w:r>
        <w:t>Nuevo Integrador o Componente: si el proyecto cerrado es de una empresa nueva o una tecnología que no tenían, se crea una fila completamente nueva.</w:t>
      </w:r>
    </w:p>
    <w:p>
      <w:pPr>
        <w:pStyle w:val="ListBullet"/>
      </w:pPr>
      <w:r>
        <w:t>Ampliación: si el integrador ya existía y solo certificó una nueva etapa/actualización, el sistema reemplaza los datos de texto de su registro anterior para mantener la ficha al día.</w:t>
      </w:r>
    </w:p>
    <w:p>
      <w:pPr>
        <w:pStyle w:val="ListBullet"/>
      </w:pPr>
      <w:r>
        <w:t>Coexistencia con Ambientes de Prueba: si a un integrador actual se le abre un Ambiente de Pruebas, su registro no desaparece ni se bloquea para ventas; estará visible en ambos menús simultáneamente.</w:t>
      </w:r>
    </w:p>
    <w:p>
      <w:pPr>
        <w:pStyle w:val="Heading2"/>
      </w:pPr>
      <w:r>
        <w:rPr>
          <w:color w:val="1D4ED8"/>
        </w:rPr>
        <w:t>3.4 Repositorio multiversión de certificados digitales</w:t>
      </w:r>
    </w:p>
    <w:p>
      <w:r>
        <w:rPr>
          <w:b w:val="0"/>
          <w:i w:val="0"/>
          <w:sz w:val="22"/>
        </w:rPr>
        <w:t>En la grilla hay una columna dedicada a los Certificados Digitales.</w:t>
      </w:r>
    </w:p>
    <w:p>
      <w:pPr>
        <w:pStyle w:val="Heading3"/>
      </w:pPr>
      <w:r>
        <w:rPr>
          <w:color w:val="142A45"/>
        </w:rPr>
        <w:t>Automatización</w:t>
      </w:r>
    </w:p>
    <w:p>
      <w:r>
        <w:rPr>
          <w:b w:val="0"/>
          <w:i w:val="0"/>
          <w:sz w:val="22"/>
        </w:rPr>
        <w:t>Cada vez que cierras un proyecto estándar, el sistema toma el PDF oficial del depósito e inyecta los datos: Nombre, Aplicativo, Componente, Versión, Fecha (con la datación del cierre) y los Medios de Pago concatenados por diagonal (/). El certificado se guarda en la ficha del integrador.</w:t>
      </w:r>
    </w:p>
    <w:p>
      <w:pPr>
        <w:pStyle w:val="Heading3"/>
      </w:pPr>
      <w:r>
        <w:rPr>
          <w:color w:val="142A45"/>
        </w:rPr>
        <w:t>Historial completo (no sobreescritura)</w:t>
      </w:r>
    </w:p>
    <w:p>
      <w:pPr>
        <w:pStyle w:val="ListNumber"/>
      </w:pPr>
      <w:r>
        <w:t>Haz clic en el indicador de archivos (ej. "📄 Certificados (3)").</w:t>
      </w:r>
    </w:p>
    <w:p>
      <w:pPr>
        <w:pStyle w:val="ListNumber"/>
      </w:pPr>
      <w:r>
        <w:t>Se despliega un listado cronológico con todas las versiones históricas.</w:t>
      </w:r>
    </w:p>
    <w:p>
      <w:pPr>
        <w:pStyle w:val="ListNumber"/>
      </w:pPr>
      <w:r>
        <w:t>Desde allí puedes Descargar (📥) cada certificado.</w:t>
      </w:r>
    </w:p>
    <w:p>
      <w:pPr>
        <w:pStyle w:val="ListNumber"/>
      </w:pPr>
      <w:r>
        <w:t>Usa el botón "+ Agregar" para subir un PDF manualmente (si tienes el permiso requerido).</w:t>
      </w:r>
    </w:p>
    <w:p>
      <w:r>
        <w:rPr>
          <w:b/>
          <w:color w:val="1D4ED8"/>
          <w:sz w:val="21"/>
        </w:rPr>
        <w:t xml:space="preserve">📌 Nota: </w:t>
      </w:r>
      <w:r>
        <w:rPr>
          <w:color w:val="1D4ED8"/>
          <w:sz w:val="21"/>
        </w:rPr>
        <w:t>El sistema NUNCA borra un certificado anterior: cada etapa certificada se conserva como una versión más en el historial.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s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Figura: Repositorio multiversión de certificados: al hacer clic en el indicador se despliega el listado con opción de Descargar (📥) y el botón "+ Agregar" para subir un PDF manualmente.</w:t>
      </w:r>
    </w:p>
    <w:p>
      <w:pPr>
        <w:pStyle w:val="Heading2"/>
      </w:pPr>
      <w:r>
        <w:rPr>
          <w:color w:val="1D4ED8"/>
        </w:rPr>
        <w:t>3.5 Módulo de Comunicaciones Masivas (BCC)</w:t>
      </w:r>
    </w:p>
    <w:p>
      <w:r>
        <w:rPr>
          <w:b w:val="0"/>
          <w:i w:val="0"/>
          <w:sz w:val="22"/>
        </w:rPr>
        <w:t>Herramienta de difusión masiva para avisar a los integradores sobre cambios en la plataforma. Ábrela con el botón "Comunicación Masiva".</w:t>
      </w:r>
    </w:p>
    <w:p>
      <w:pPr>
        <w:pStyle w:val="ListNumber"/>
      </w:pPr>
      <w:r>
        <w:t>Segmentación: filtra por "Tipo de Integración" para ver solo a los afectados (ej. API Rest).</w:t>
      </w:r>
    </w:p>
    <w:p>
      <w:pPr>
        <w:pStyle w:val="ListNumber"/>
      </w:pPr>
      <w:r>
        <w:t>Selección: marca la casilla maestra "Seleccionar Todos" los filtrados, o marca uno a uno.</w:t>
      </w:r>
    </w:p>
    <w:p>
      <w:pPr>
        <w:pStyle w:val="ListNumber"/>
      </w:pPr>
      <w:r>
        <w:t>Elige una plantilla HTML preelaborada de la biblioteca de comunicación (Integradores).</w:t>
      </w:r>
    </w:p>
    <w:p>
      <w:pPr>
        <w:pStyle w:val="ListNumber"/>
      </w:pPr>
      <w:r>
        <w:t>Adjunta archivos del repositorio (valida cada uno con 👁️ Visualizar o 📥 Descargar) o sube un archivo local desde tu computadora.</w:t>
      </w:r>
    </w:p>
    <w:p>
      <w:pPr>
        <w:pStyle w:val="ListNumber"/>
      </w:pPr>
      <w:r>
        <w:t>Pulsa Enviar.</w:t>
      </w:r>
    </w:p>
    <w:p>
      <w:r>
        <w:rPr>
          <w:b/>
          <w:color w:val="B45309"/>
          <w:sz w:val="21"/>
        </w:rPr>
        <w:t xml:space="preserve">⚠️ Importante: </w:t>
      </w:r>
      <w:r>
        <w:rPr>
          <w:color w:val="B45309"/>
          <w:sz w:val="21"/>
        </w:rPr>
        <w:t>Privacidad obligatoria (BCC): el sistema coloca automáticamente a TODOS los integradores en Copia Oculta. Ningún aliado verá los correos ni los datos de los demás destinatarios, resguardando la confidencialidad de la base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scom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Figura: Diálogo de Comunicación Masiva: filtro por Tipo de Integración, lista de destinatarios con casillas (maestra e individuales), selector de plantilla institucional, documentos del repositorio con Visualizar (👁️) y Descargar (📥), carga de anexo local y aviso de envío en copia oculta (BCC).</w:t>
      </w:r>
    </w:p>
    <w:p>
      <w:pPr>
        <w:pStyle w:val="Heading2"/>
      </w:pPr>
      <w:r>
        <w:rPr>
          <w:color w:val="1D4ED8"/>
        </w:rPr>
        <w:t>3.6 Edición de plantillas de comunicación</w:t>
      </w:r>
    </w:p>
    <w:p>
      <w:pPr>
        <w:pStyle w:val="ListBullet"/>
      </w:pPr>
      <w:r>
        <w:t>Las plantillas se editan en una ventana con scroll vertical interno y pie de página fijo.</w:t>
      </w:r>
    </w:p>
    <w:p>
      <w:pPr>
        <w:pStyle w:val="ListBullet"/>
      </w:pPr>
      <w:r>
        <w:t>El botón "Guardar" permanece siempre visible en la parte inferior, sin importar el largo del texto o el zoom del navegador.</w:t>
      </w:r>
    </w:p>
    <w:p>
      <w:r>
        <w:br w:type="page"/>
      </w:r>
    </w:p>
    <w:p>
      <w:pPr>
        <w:pStyle w:val="Heading1"/>
      </w:pPr>
      <w:r>
        <w:rPr>
          <w:color w:val="142A45"/>
        </w:rPr>
        <w:t>Guía de navegación rápida de la interfaz</w:t>
      </w:r>
    </w:p>
    <w:p>
      <w:pPr>
        <w:pStyle w:val="ListBullet"/>
      </w:pPr>
      <w:r>
        <w:t>Columna de "Acciones" visible: en pantallas estándar la verás a la derecha sin arrastrar la pantalla lateralmente.</w:t>
      </w:r>
    </w:p>
    <w:p>
      <w:pPr>
        <w:pStyle w:val="ListBullet"/>
      </w:pPr>
      <w:r>
        <w:t>Doble barra de desplazamiento: en listas muy anchas o largas dispones de una barra de scroll horizontal arriba y abajo de la tabla, ambas sincronizadas.</w:t>
      </w:r>
    </w:p>
    <w:p>
      <w:pPr>
        <w:pStyle w:val="ListBullet"/>
      </w:pPr>
      <w:r>
        <w:t>Edición segura de plantillas: scroll interno + pie fijo, con "Guardar" siempre a la vista.</w:t>
      </w:r>
    </w:p>
    <w:p>
      <w:pPr>
        <w:pStyle w:val="ListBullet"/>
      </w:pPr>
      <w:r>
        <w:t>Buscadores y filtros: presentes en cada módulo para localizar registros rápidamente.</w:t>
      </w:r>
    </w:p>
    <w:p>
      <w:pPr>
        <w:pStyle w:val="Heading1"/>
      </w:pPr>
      <w:r>
        <w:rPr>
          <w:color w:val="142A45"/>
        </w:rPr>
        <w:t>Glosario de términos</w:t>
      </w:r>
    </w:p>
    <w:p>
      <w:pPr>
        <w:pStyle w:val="ListBullet"/>
      </w:pPr>
      <w:r>
        <w:rPr>
          <w:b/>
        </w:rPr>
        <w:t xml:space="preserve">KPI: </w:t>
      </w:r>
      <w:r>
        <w:t>Caja de indicador que agrupa registros por estado (proyectos o cotizaciones).</w:t>
      </w:r>
    </w:p>
    <w:p>
      <w:pPr>
        <w:pStyle w:val="ListBullet"/>
      </w:pPr>
      <w:r>
        <w:rPr>
          <w:b/>
        </w:rPr>
        <w:t xml:space="preserve">Semáforo de avance: </w:t>
      </w:r>
      <w:r>
        <w:t>Clasificación de salud del proyecto: Al día (verde), Retraso Medio (amarillo), Retraso Crítico (rojo).</w:t>
      </w:r>
    </w:p>
    <w:p>
      <w:pPr>
        <w:pStyle w:val="ListBullet"/>
      </w:pPr>
      <w:r>
        <w:rPr>
          <w:b/>
        </w:rPr>
        <w:t xml:space="preserve">Badge de departamento: </w:t>
      </w:r>
      <w:r>
        <w:t>Etiqueta inmutable que fija a qué departamento pertenece una cotización.</w:t>
      </w:r>
    </w:p>
    <w:p>
      <w:pPr>
        <w:pStyle w:val="ListBullet"/>
      </w:pPr>
      <w:r>
        <w:rPr>
          <w:b/>
        </w:rPr>
        <w:t xml:space="preserve">Componente / Versión: </w:t>
      </w:r>
      <w:r>
        <w:t>Datos técnicos capturados al cerrar un proyecto (Modal 1).</w:t>
      </w:r>
    </w:p>
    <w:p>
      <w:pPr>
        <w:pStyle w:val="ListBullet"/>
      </w:pPr>
      <w:r>
        <w:rPr>
          <w:b/>
        </w:rPr>
        <w:t xml:space="preserve">Interfaz_Integrada: </w:t>
      </w:r>
      <w:r>
        <w:t>Variable que concatena "Componente - Versión" para certificados y plantillas.</w:t>
      </w:r>
    </w:p>
    <w:p>
      <w:pPr>
        <w:pStyle w:val="ListBullet"/>
      </w:pPr>
      <w:r>
        <w:rPr>
          <w:b/>
        </w:rPr>
        <w:t xml:space="preserve">Ampliación: </w:t>
      </w:r>
      <w:r>
        <w:t>Cierre de una nueva etapa de un integrador existente; actualiza su ficha sin crear fila nueva.</w:t>
      </w:r>
    </w:p>
    <w:p>
      <w:pPr>
        <w:pStyle w:val="ListBullet"/>
      </w:pPr>
      <w:r>
        <w:rPr>
          <w:b/>
        </w:rPr>
        <w:t xml:space="preserve">Ambiente de Prueba: </w:t>
      </w:r>
      <w:r>
        <w:t>Proyecto de prueba cuyo cierre es un flujo directo (sin certificado ni correos).</w:t>
      </w:r>
    </w:p>
    <w:p>
      <w:pPr>
        <w:pStyle w:val="ListBullet"/>
      </w:pPr>
      <w:r>
        <w:rPr>
          <w:b/>
        </w:rPr>
        <w:t xml:space="preserve">BCC / Copia Oculta: </w:t>
      </w:r>
      <w:r>
        <w:t>Modo de envío donde ningún destinatario ve a los demás.</w:t>
      </w:r>
    </w:p>
    <w:p>
      <w:pPr>
        <w:pStyle w:val="ListBullet"/>
      </w:pPr>
      <w:r>
        <w:rPr>
          <w:b/>
        </w:rPr>
        <w:t xml:space="preserve">Certificado multiversión: </w:t>
      </w:r>
      <w:r>
        <w:t>Historial cronológico de certificados PDF por integrador, sin sobreescritura.</w:t>
      </w:r>
    </w:p>
    <w:p>
      <w:pPr>
        <w:pStyle w:val="ListBullet"/>
      </w:pPr>
      <w:r>
        <w:rPr>
          <w:b/>
        </w:rPr>
        <w:t xml:space="preserve">Regularización: </w:t>
      </w:r>
      <w:r>
        <w:t>Proceso para corregir cotizaciones en estado inconsistente.</w:t>
      </w:r>
    </w:p>
    <w:p/>
    <w:p>
      <w:r>
        <w:rPr>
          <w:b w:val="0"/>
          <w:i/>
          <w:color w:val="4B5563"/>
          <w:sz w:val="20"/>
        </w:rPr>
        <w:t>Documento editable de referencia. Puede ajustarse la redacción, agregar capturas de pantalla y ampliar cada sección según las necesidades del equipo de adiestramiento.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