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E5A8A"/>
          <w:sz w:val="80"/>
        </w:rPr>
        <w:t>MegaNexus</w:t>
      </w:r>
    </w:p>
    <w:p>
      <w:pPr>
        <w:jc w:val="center"/>
      </w:pPr>
      <w:r>
        <w:rPr>
          <w:color w:val="888888"/>
          <w:sz w:val="28"/>
        </w:rPr>
        <w:t>Work Flow de Procesos Integrales</w:t>
      </w:r>
    </w:p>
    <w:p/>
    <w:p>
      <w:pPr>
        <w:jc w:val="center"/>
      </w:pPr>
      <w:r>
        <w:rPr>
          <w:b/>
          <w:color w:val="0891B2"/>
          <w:sz w:val="44"/>
        </w:rPr>
        <w:t>Manual Funcional / de Usuario</w:t>
      </w:r>
    </w:p>
    <w:p/>
    <w:p/>
    <w:p/>
    <w:p/>
    <w:p/>
    <w:p/>
    <w:p>
      <w:pPr>
        <w:jc w:val="center"/>
      </w:pPr>
      <w:r>
        <w:rPr>
          <w:color w:val="555555"/>
          <w:sz w:val="22"/>
        </w:rPr>
        <w:t>Documento de uso interno · MegaSoft</w:t>
      </w:r>
    </w:p>
    <w:p>
      <w:pPr>
        <w:jc w:val="center"/>
      </w:pPr>
      <w:r>
        <w:rPr>
          <w:color w:val="888888"/>
          <w:sz w:val="20"/>
        </w:rPr>
        <w:t>Generado: 12/06/2026</w:t>
      </w:r>
    </w:p>
    <w:p>
      <w:r>
        <w:br w:type="page"/>
      </w:r>
    </w:p>
    <w:p>
      <w:pPr>
        <w:pStyle w:val="Heading1"/>
      </w:pPr>
      <w:r>
        <w:rPr>
          <w:b/>
          <w:color w:val="0E5A8A"/>
          <w:sz w:val="36"/>
        </w:rPr>
        <w:t>Control de versiones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E5A8A"/>
          </w:tcPr>
          <w:p>
            <w:r/>
            <w:r>
              <w:rPr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2160"/>
            <w:shd w:val="clear" w:color="auto" w:fill="0E5A8A"/>
          </w:tcPr>
          <w:p>
            <w:r/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160"/>
            <w:shd w:val="clear" w:color="auto" w:fill="0E5A8A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2160"/>
            <w:shd w:val="clear" w:color="auto" w:fill="0E5A8A"/>
          </w:tcPr>
          <w:p>
            <w:r/>
            <w:r>
              <w:rPr>
                <w:b/>
                <w:color w:val="FFFFFF"/>
                <w:sz w:val="20"/>
              </w:rPr>
              <w:t>Autor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12/06/2026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Versión inicial del Manual Funcional / de Usuario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Equipo MegaNexus</w:t>
            </w:r>
          </w:p>
        </w:tc>
      </w:tr>
    </w:tbl>
    <w:p/>
    <w:p>
      <w:pPr>
        <w:pStyle w:val="Heading1"/>
      </w:pPr>
      <w:r>
        <w:rPr>
          <w:b/>
          <w:color w:val="0E5A8A"/>
          <w:sz w:val="36"/>
        </w:rPr>
        <w:t>Contenido</w:t>
      </w:r>
    </w:p>
    <w:p>
      <w:r>
        <w:rPr>
          <w:i w:val="0"/>
          <w:color w:val="555555"/>
          <w:sz w:val="22"/>
        </w:rPr>
        <w:t>Este manual está organizado por módulos siguiendo la estructura del menú de la aplicación, más una sección de flujos de negocio de extremo a extremo y un glosario.</w:t>
      </w:r>
    </w:p>
    <w:p>
      <w:pPr>
        <w:pStyle w:val="ListBullet"/>
      </w:pPr>
      <w:r>
        <w:t>1. Introducción</w:t>
      </w:r>
    </w:p>
    <w:p>
      <w:pPr>
        <w:pStyle w:val="ListBullet"/>
      </w:pPr>
      <w:r>
        <w:t>2. Acceso, roles y permisos (RBAC)</w:t>
      </w:r>
    </w:p>
    <w:p>
      <w:pPr>
        <w:pStyle w:val="ListBullet"/>
      </w:pPr>
      <w:r>
        <w:t>3. Estructura del menú</w:t>
      </w:r>
    </w:p>
    <w:p>
      <w:pPr>
        <w:pStyle w:val="ListBullet"/>
      </w:pPr>
      <w:r>
        <w:t>4. Gestión Comercial (Dashboard, Contacto Inicial, Clientes, Cotizaciones, Reportes, Histórico)</w:t>
      </w:r>
    </w:p>
    <w:p>
      <w:pPr>
        <w:pStyle w:val="ListBullet"/>
      </w:pPr>
      <w:r>
        <w:t>5. Catálogos (Bancos, Medios de Pago, Bienes y Servicios, Categoría Comercial, Tasa de Cambio)</w:t>
      </w:r>
    </w:p>
    <w:p>
      <w:pPr>
        <w:pStyle w:val="ListBullet"/>
      </w:pPr>
      <w:r>
        <w:t>6. Gestión de Implementación (Proyectos, Proyectos Directos, Integradores, Datos de Imple)</w:t>
      </w:r>
    </w:p>
    <w:p>
      <w:pPr>
        <w:pStyle w:val="ListBullet"/>
      </w:pPr>
      <w:r>
        <w:t>7. Nuevos Productos</w:t>
      </w:r>
    </w:p>
    <w:p>
      <w:pPr>
        <w:pStyle w:val="ListBullet"/>
      </w:pPr>
      <w:r>
        <w:t>8. Gestión Administrativa (Inventarios y Reportes Contables)</w:t>
      </w:r>
    </w:p>
    <w:p>
      <w:pPr>
        <w:pStyle w:val="ListBullet"/>
      </w:pPr>
      <w:r>
        <w:t>9. Gestión de Taller</w:t>
      </w:r>
    </w:p>
    <w:p>
      <w:pPr>
        <w:pStyle w:val="ListBullet"/>
      </w:pPr>
      <w:r>
        <w:t>10. Configuración</w:t>
      </w:r>
    </w:p>
    <w:p>
      <w:pPr>
        <w:pStyle w:val="ListBullet"/>
      </w:pPr>
      <w:r>
        <w:t>11. Gestión de Seguridad</w:t>
      </w:r>
    </w:p>
    <w:p>
      <w:pPr>
        <w:pStyle w:val="ListBullet"/>
      </w:pPr>
      <w:r>
        <w:t>12. Flujos de negocio clave</w:t>
      </w:r>
    </w:p>
    <w:p>
      <w:pPr>
        <w:pStyle w:val="ListBullet"/>
      </w:pPr>
      <w:r>
        <w:t>13. Glosario</w:t>
      </w:r>
    </w:p>
    <w:p>
      <w:pPr>
        <w:pStyle w:val="ListBullet"/>
      </w:pPr>
      <w:r>
        <w:t>14. Preguntas frecuentes</w:t>
      </w:r>
    </w:p>
    <w:p>
      <w:r>
        <w:br w:type="page"/>
      </w:r>
    </w:p>
    <w:p>
      <w:pPr>
        <w:pStyle w:val="Heading1"/>
      </w:pPr>
      <w:r>
        <w:rPr>
          <w:b/>
          <w:color w:val="0E5A8A"/>
          <w:sz w:val="36"/>
        </w:rPr>
        <w:t>1. Introducción</w:t>
      </w:r>
    </w:p>
    <w:p>
      <w:r>
        <w:rPr>
          <w:i w:val="0"/>
          <w:sz w:val="22"/>
        </w:rPr>
        <w:t>MegaNexus (también identificado como "Gestor") es la plataforma integral de MegaSoft para administrar el ciclo comercial y de implementación de soluciones de pago: desde el primer contacto con el cliente, la elaboración de cotizaciones, hasta la ejecución y seguimiento de los proyectos de implementación.</w:t>
      </w:r>
    </w:p>
    <w:p>
      <w:pPr>
        <w:pStyle w:val="Heading3"/>
      </w:pPr>
      <w:r>
        <w:rPr>
          <w:b/>
          <w:color w:val="0891B2"/>
          <w:sz w:val="24"/>
        </w:rPr>
        <w:t>¿Para quién es este manual?</w:t>
      </w:r>
    </w:p>
    <w:p>
      <w:pPr>
        <w:pStyle w:val="ListBullet"/>
      </w:pPr>
      <w:r>
        <w:rPr>
          <w:b/>
        </w:rPr>
        <w:t>Ejecutivos de Ventas</w:t>
      </w:r>
      <w:r>
        <w:t>: gestión de clientes, contactos y cotizaciones.</w:t>
      </w:r>
    </w:p>
    <w:p>
      <w:pPr>
        <w:pStyle w:val="ListBullet"/>
      </w:pPr>
      <w:r>
        <w:rPr>
          <w:b/>
        </w:rPr>
        <w:t>Coordinadores e Implementadores</w:t>
      </w:r>
      <w:r>
        <w:t>: gestión de proyectos, fichas técnicas y datos de implementación.</w:t>
      </w:r>
    </w:p>
    <w:p>
      <w:pPr>
        <w:pStyle w:val="ListBullet"/>
      </w:pPr>
      <w:r>
        <w:rPr>
          <w:b/>
        </w:rPr>
        <w:t>Administradores</w:t>
      </w:r>
      <w:r>
        <w:t>: catálogos, usuarios, perfiles y configuración del sistema.</w:t>
      </w:r>
    </w:p>
    <w:p>
      <w:pPr>
        <w:pStyle w:val="Heading3"/>
      </w:pPr>
      <w:r>
        <w:rPr>
          <w:b/>
          <w:color w:val="0891B2"/>
          <w:sz w:val="24"/>
        </w:rPr>
        <w:t>Conceptos generales de navegación</w:t>
      </w:r>
    </w:p>
    <w:p>
      <w:pPr>
        <w:pStyle w:val="ListBullet"/>
      </w:pPr>
      <w:r>
        <w:rPr>
          <w:b/>
        </w:rPr>
        <w:t>Menú lateral</w:t>
      </w:r>
      <w:r>
        <w:t>: agrupa las opciones por área. Se puede contraer/expandir y fijar.</w:t>
      </w:r>
    </w:p>
    <w:p>
      <w:pPr>
        <w:pStyle w:val="ListBullet"/>
      </w:pPr>
      <w:r>
        <w:rPr>
          <w:b/>
        </w:rPr>
        <w:t>Permisos</w:t>
      </w:r>
      <w:r>
        <w:t>: cada usuario solo ve los módulos habilitados para su perfil.</w:t>
      </w:r>
    </w:p>
    <w:p>
      <w:pPr>
        <w:pStyle w:val="ListBullet"/>
      </w:pPr>
      <w:r>
        <w:rPr>
          <w:b/>
        </w:rPr>
        <w:t>Buscadores</w:t>
      </w:r>
      <w:r>
        <w:t>: la mayoría de listados permite buscar por nombre, RIF u otros campos clave.</w:t>
      </w:r>
    </w:p>
    <w:p>
      <w:pPr>
        <w:pStyle w:val="ListBullet"/>
      </w:pPr>
      <w:r>
        <w:rPr>
          <w:b/>
        </w:rPr>
        <w:t>Guardado</w:t>
      </w:r>
      <w:r>
        <w:t>: los formularios validan los datos antes de guardar y muestran confirmaciones (toasts).</w:t>
      </w:r>
    </w:p>
    <w:p>
      <w:pPr>
        <w:pStyle w:val="Heading1"/>
      </w:pPr>
      <w:r>
        <w:rPr>
          <w:b/>
          <w:color w:val="0E5A8A"/>
          <w:sz w:val="36"/>
        </w:rPr>
        <w:t>2. Acceso, roles y permisos (RBAC)</w:t>
      </w:r>
    </w:p>
    <w:p>
      <w:pPr>
        <w:pStyle w:val="Heading3"/>
      </w:pPr>
      <w:r>
        <w:rPr>
          <w:b/>
          <w:color w:val="0891B2"/>
          <w:sz w:val="24"/>
        </w:rPr>
        <w:t>Inicio de sesión</w:t>
      </w:r>
    </w:p>
    <w:p>
      <w:pPr>
        <w:pStyle w:val="ListNumber"/>
      </w:pPr>
      <w:r>
        <w:t>Ingrese a la dirección de la aplicación.</w:t>
      </w:r>
    </w:p>
    <w:p>
      <w:pPr>
        <w:pStyle w:val="ListNumber"/>
      </w:pPr>
      <w:r>
        <w:t>Escriba su correo y contraseña, y presione "Ingresar".</w:t>
      </w:r>
    </w:p>
    <w:p>
      <w:pPr>
        <w:pStyle w:val="ListNumber"/>
      </w:pPr>
      <w:r>
        <w:t>Al autenticarse, verá el Dashboard y el menú con los módulos habilitados para su perfil.</w:t>
      </w:r>
    </w:p>
    <w:p>
      <w:pPr>
        <w:pStyle w:val="Heading3"/>
      </w:pPr>
      <w:r>
        <w:rPr>
          <w:b/>
          <w:color w:val="0891B2"/>
          <w:sz w:val="24"/>
        </w:rPr>
        <w:t>Perfiles y niveles de acceso</w:t>
      </w:r>
    </w:p>
    <w:p>
      <w:r>
        <w:rPr>
          <w:i w:val="0"/>
          <w:sz w:val="22"/>
        </w:rPr>
        <w:t>El acceso se controla por módulo mediante tres niveles: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E5A8A"/>
          </w:tcPr>
          <w:p>
            <w:r/>
            <w:r>
              <w:rPr>
                <w:b/>
                <w:color w:val="FFFFFF"/>
                <w:sz w:val="20"/>
              </w:rPr>
              <w:t>Nivel</w:t>
            </w:r>
          </w:p>
        </w:tc>
        <w:tc>
          <w:tcPr>
            <w:tcW w:type="dxa" w:w="4320"/>
            <w:shd w:val="clear" w:color="auto" w:fill="0E5A8A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Inactivo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El módulo no aparece en el menú del usuario.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Consulta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El usuario puede ver/leer, pero no modificar.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Edición Total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El usuario puede crear, editar y eliminar según el módulo.</w:t>
            </w:r>
          </w:p>
        </w:tc>
      </w:tr>
    </w:tbl>
    <w:p/>
    <w:p>
      <w:r>
        <w:rPr>
          <w:i w:val="0"/>
          <w:sz w:val="22"/>
        </w:rPr>
        <w:t>Los perfiles (ej. Vendedor Pyme, Vendedor Corp, Gerente Operativo, Coordinador de Administración, Gerencia de Implementación, Analista de Operaciones, Operador Taller) agrupan estos permisos y se asignan a cada usuario. El administrador puede activar o desactivar módulos por perfil desde Gestión de Seguridad → Perfiles de Usuario.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1F8"/>
          </w:tcPr>
          <w:p>
            <w:r>
              <w:rPr>
                <w:b/>
              </w:rPr>
              <w:t xml:space="preserve">NOTA: </w:t>
            </w:r>
            <w:r>
              <w:t>El usuario administrador tiene acceso total a todos los módulos, independientemente del perfil.</w:t>
            </w:r>
          </w:p>
        </w:tc>
      </w:tr>
    </w:tbl>
    <w:p/>
    <w:p>
      <w:pPr>
        <w:pStyle w:val="Heading1"/>
      </w:pPr>
      <w:r>
        <w:rPr>
          <w:b/>
          <w:color w:val="0E5A8A"/>
          <w:sz w:val="36"/>
        </w:rPr>
        <w:t>3. Estructura del menú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E5A8A"/>
          </w:tcPr>
          <w:p>
            <w:r/>
            <w:r>
              <w:rPr>
                <w:b/>
                <w:color w:val="FFFFFF"/>
                <w:sz w:val="20"/>
              </w:rPr>
              <w:t>Grupo</w:t>
            </w:r>
          </w:p>
        </w:tc>
        <w:tc>
          <w:tcPr>
            <w:tcW w:type="dxa" w:w="4320"/>
            <w:shd w:val="clear" w:color="auto" w:fill="0E5A8A"/>
          </w:tcPr>
          <w:p>
            <w:r/>
            <w:r>
              <w:rPr>
                <w:b/>
                <w:color w:val="FFFFFF"/>
                <w:sz w:val="20"/>
              </w:rPr>
              <w:t>Opciones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Dashboard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Panel de indicadores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Gestión Comercial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Contacto Inicial · Clientes · Cotizaciones · Reportes de Ventas · Reportes por Patrocinador · Histórico de Cotizaciones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Catálogos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Bancos · Medios de Pago · Bienes y Servicios · Categoría Comercial · Tasa de Cambio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Gestión de Implementación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Proyectos · Proyectos Directos · Integradores · Datos de Imple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Nuevos Productos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Gestión de nuevos productos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Gestión Administrativa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Inventarios · Reportes Contables (Kardex, Mayor de Activos, Salidas Facturadas)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Gestión de Taller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Gestión de equipos en taller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Gestión de Seguridad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Creación de Usuarios · Permisos de Usuarios · Perfiles de Usuario (solo administradores)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color w:val="0E5A8A"/>
          <w:sz w:val="36"/>
        </w:rPr>
        <w:t>4. Gestión Comercial</w:t>
      </w:r>
    </w:p>
    <w:p>
      <w:pPr>
        <w:pStyle w:val="Heading2"/>
      </w:pPr>
      <w:r>
        <w:rPr>
          <w:b/>
          <w:color w:val="0E5A8A"/>
          <w:sz w:val="28"/>
        </w:rPr>
        <w:t>4.1 Dashboard</w:t>
      </w:r>
    </w:p>
    <w:p>
      <w:r>
        <w:rPr>
          <w:i w:val="0"/>
          <w:sz w:val="22"/>
        </w:rPr>
        <w:t>Pantalla de inicio con una visión general de la operación (indicadores y accesos rápidos). Es el punto de partida tras iniciar sesión.</w:t>
      </w:r>
    </w:p>
    <w:p>
      <w:pPr>
        <w:pStyle w:val="Heading2"/>
      </w:pPr>
      <w:r>
        <w:rPr>
          <w:b/>
          <w:color w:val="0E5A8A"/>
          <w:sz w:val="28"/>
        </w:rPr>
        <w:t>4.2 Contacto Inicial</w:t>
      </w:r>
    </w:p>
    <w:p>
      <w:r>
        <w:rPr>
          <w:i w:val="0"/>
          <w:sz w:val="22"/>
        </w:rPr>
        <w:t>Registra el primer acercamiento con un prospecto antes de convertirlo en cliente formal: permite capturar el origen del contacto y los datos básicos para su seguimiento comercial.</w:t>
      </w:r>
    </w:p>
    <w:p>
      <w:pPr>
        <w:pStyle w:val="Heading2"/>
      </w:pPr>
      <w:r>
        <w:rPr>
          <w:b/>
          <w:color w:val="0E5A8A"/>
          <w:sz w:val="28"/>
        </w:rPr>
        <w:t>4.3 Clientes</w:t>
      </w:r>
    </w:p>
    <w:p>
      <w:r>
        <w:rPr>
          <w:i w:val="0"/>
          <w:sz w:val="22"/>
        </w:rPr>
        <w:t>Repositorio central de clientes. Un cliente se identifica de forma única por la combinación RIF + Sucursal, por lo que un mismo RIF puede tener varias sucursales como registros independientes.</w:t>
      </w:r>
    </w:p>
    <w:p>
      <w:pPr>
        <w:pStyle w:val="Heading3"/>
      </w:pPr>
      <w:r>
        <w:rPr>
          <w:b/>
          <w:color w:val="0891B2"/>
          <w:sz w:val="24"/>
        </w:rPr>
        <w:t>Crear / editar un cliente</w:t>
      </w:r>
    </w:p>
    <w:p>
      <w:pPr>
        <w:pStyle w:val="ListNumber"/>
      </w:pPr>
      <w:r>
        <w:t>Ingrese a Clientes y presione "Nuevo Cliente".</w:t>
      </w:r>
    </w:p>
    <w:p>
      <w:pPr>
        <w:pStyle w:val="ListNumber"/>
      </w:pPr>
      <w:r>
        <w:t>Puede cargar el RIF (PDF/imagen) para extraer automáticamente RIF, razón social y dirección fiscal.</w:t>
      </w:r>
    </w:p>
    <w:p>
      <w:pPr>
        <w:pStyle w:val="ListNumber"/>
      </w:pPr>
      <w:r>
        <w:t>Complete los datos comerciales: nombre de fantasía, segmento, condición, categoría comercial, referidor.</w:t>
      </w:r>
    </w:p>
    <w:p>
      <w:pPr>
        <w:pStyle w:val="ListNumber"/>
      </w:pPr>
      <w:r>
        <w:t>Asigne responsables: Ejecutivo Propietario, Coordinador, Implementador e Integrador/Aplicativo.</w:t>
      </w:r>
    </w:p>
    <w:p>
      <w:pPr>
        <w:pStyle w:val="ListNumber"/>
      </w:pPr>
      <w:r>
        <w:t>Agregue contactos (nombre, cargo, correo, teléfono) y guarde.</w:t>
      </w:r>
    </w:p>
    <w:p>
      <w:pPr>
        <w:pStyle w:val="Heading3"/>
      </w:pPr>
      <w:r>
        <w:rPr>
          <w:b/>
          <w:color w:val="0891B2"/>
          <w:sz w:val="24"/>
        </w:rPr>
        <w:t>Campos clave</w:t>
      </w:r>
    </w:p>
    <w:p>
      <w:pPr>
        <w:pStyle w:val="ListBullet"/>
      </w:pPr>
      <w:r>
        <w:rPr>
          <w:b/>
        </w:rPr>
        <w:t>RIF + Sucursal</w:t>
      </w:r>
      <w:r>
        <w:t>: clave única del cliente.</w:t>
      </w:r>
    </w:p>
    <w:p>
      <w:pPr>
        <w:pStyle w:val="ListBullet"/>
      </w:pPr>
      <w:r>
        <w:rPr>
          <w:b/>
        </w:rPr>
        <w:t>Ejecutivo Propietario</w:t>
      </w:r>
      <w:r>
        <w:t>: dueño comercial del cliente.</w:t>
      </w:r>
    </w:p>
    <w:p>
      <w:pPr>
        <w:pStyle w:val="ListBullet"/>
      </w:pPr>
      <w:r>
        <w:rPr>
          <w:b/>
        </w:rPr>
        <w:t>Tipo de Servicio (Componentes)</w:t>
      </w:r>
      <w:r>
        <w:t>: VPOS, MPOS, Payment Gateway, Link de Pago.</w:t>
      </w:r>
    </w:p>
    <w:p>
      <w:pPr>
        <w:pStyle w:val="ListBullet"/>
      </w:pPr>
      <w:r>
        <w:rPr>
          <w:b/>
        </w:rPr>
        <w:t>Integrador / Aplicativo</w:t>
      </w:r>
      <w:r>
        <w:t>: socio tecnológico y su aplicación asociada.</w:t>
      </w:r>
    </w:p>
    <w:p>
      <w:pPr>
        <w:pStyle w:val="ListBullet"/>
      </w:pPr>
      <w:r>
        <w:rPr>
          <w:b/>
        </w:rPr>
        <w:t>Coordinador / Implementador</w:t>
      </w:r>
      <w:r>
        <w:t>: responsables del proceso de implementación.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1F8"/>
          </w:tcPr>
          <w:p>
            <w:r>
              <w:rPr>
                <w:b/>
              </w:rPr>
              <w:t xml:space="preserve">NOTA: </w:t>
            </w:r>
            <w:r>
              <w:t>Para correcciones rápidas de datos de implementación en clientes con varias sucursales, use el módulo "Datos de Imple" (ver sección 6.4), que replica los cambios a todas las sucursales del mismo RIF.</w:t>
            </w:r>
          </w:p>
        </w:tc>
      </w:tr>
    </w:tbl>
    <w:p/>
    <w:p>
      <w:pPr>
        <w:pStyle w:val="Heading2"/>
      </w:pPr>
      <w:r>
        <w:rPr>
          <w:b/>
          <w:color w:val="0E5A8A"/>
          <w:sz w:val="28"/>
        </w:rPr>
        <w:t>4.4 Cotizaciones</w:t>
      </w:r>
    </w:p>
    <w:p>
      <w:r>
        <w:rPr>
          <w:i w:val="0"/>
          <w:sz w:val="22"/>
        </w:rPr>
        <w:t>Módulo para elaborar las propuestas comerciales. Soporta distintos tipos de solución y el modelo multitienda (varias sucursales en una misma cotización).</w:t>
      </w:r>
    </w:p>
    <w:p>
      <w:pPr>
        <w:pStyle w:val="Heading3"/>
      </w:pPr>
      <w:r>
        <w:rPr>
          <w:b/>
          <w:color w:val="0891B2"/>
          <w:sz w:val="24"/>
        </w:rPr>
        <w:t>Tipos de cotización</w:t>
      </w:r>
    </w:p>
    <w:p>
      <w:pPr>
        <w:pStyle w:val="ListBullet"/>
      </w:pPr>
      <w:r>
        <w:rPr>
          <w:b/>
        </w:rPr>
        <w:t>VPOS / MPOS</w:t>
      </w:r>
      <w:r>
        <w:t>: soluciones de punto de venta físico/móvil.</w:t>
      </w:r>
    </w:p>
    <w:p>
      <w:pPr>
        <w:pStyle w:val="ListBullet"/>
      </w:pPr>
      <w:r>
        <w:rPr>
          <w:b/>
        </w:rPr>
        <w:t>Payment Gateway (Pasarela)</w:t>
      </w:r>
      <w:r>
        <w:t>: cobros en línea; usa conceptos de "Set Up de Pasarela".</w:t>
      </w:r>
    </w:p>
    <w:p>
      <w:pPr>
        <w:pStyle w:val="ListBullet"/>
      </w:pPr>
      <w:r>
        <w:rPr>
          <w:b/>
        </w:rPr>
        <w:t>Link de Pago</w:t>
      </w:r>
      <w:r>
        <w:t>: cobro mediante enlace.</w:t>
      </w:r>
    </w:p>
    <w:p>
      <w:pPr>
        <w:pStyle w:val="Heading3"/>
      </w:pPr>
      <w:r>
        <w:rPr>
          <w:b/>
          <w:color w:val="0891B2"/>
          <w:sz w:val="24"/>
        </w:rPr>
        <w:t>Secciones financieras</w:t>
      </w:r>
    </w:p>
    <w:p>
      <w:pPr>
        <w:pStyle w:val="ListBullet"/>
      </w:pPr>
      <w:r>
        <w:rPr>
          <w:b/>
        </w:rPr>
        <w:t>Set Up – Puesta en Marcha (Inversión Inicial)</w:t>
      </w:r>
      <w:r>
        <w:t>: costos de implementación únicos.</w:t>
      </w:r>
    </w:p>
    <w:p>
      <w:pPr>
        <w:pStyle w:val="ListBullet"/>
      </w:pPr>
      <w:r>
        <w:rPr>
          <w:b/>
        </w:rPr>
        <w:t>Costos Recurrentes – Básicos</w:t>
      </w:r>
      <w:r>
        <w:t>: cargos mensuales del servicio.</w:t>
      </w:r>
    </w:p>
    <w:p>
      <w:pPr>
        <w:pStyle w:val="ListBullet"/>
      </w:pPr>
      <w:r>
        <w:rPr>
          <w:b/>
        </w:rPr>
        <w:t>Costos Recurrentes – Otros / Adicionales</w:t>
      </w:r>
      <w:r>
        <w:t>: cargos mensuales complementarios.</w:t>
      </w:r>
    </w:p>
    <w:p>
      <w:pPr>
        <w:pStyle w:val="Heading3"/>
      </w:pPr>
      <w:r>
        <w:rPr>
          <w:b/>
          <w:color w:val="0891B2"/>
          <w:sz w:val="24"/>
        </w:rPr>
        <w:t>Sincronización automática de "Número de Cajas"</w:t>
      </w:r>
    </w:p>
    <w:p>
      <w:r>
        <w:rPr>
          <w:i w:val="0"/>
          <w:sz w:val="22"/>
        </w:rPr>
        <w:t>Al cambiar el número de cajas de un ítem en la sección Set Up, el sistema propaga automáticamente ese valor al ítem equivalente (mismo producto/ID) de Costos Recurrentes – Básicos y recalcula subtotales, totales e impuestos. El flujo es unidireccional (de Set Up hacia Recurrentes).</w:t>
      </w:r>
    </w:p>
    <w:p>
      <w:pPr>
        <w:pStyle w:val="Heading3"/>
      </w:pPr>
      <w:r>
        <w:rPr>
          <w:b/>
          <w:color w:val="0891B2"/>
          <w:sz w:val="24"/>
        </w:rPr>
        <w:t>Plantillas y variables</w:t>
      </w:r>
    </w:p>
    <w:p>
      <w:pPr>
        <w:pStyle w:val="ListBullet"/>
      </w:pPr>
      <w:r>
        <w:t>Las cotizaciones y proyectos comparten el mismo catálogo de variables (ej. datos del cliente, montos, fechas).</w:t>
      </w:r>
    </w:p>
    <w:p>
      <w:pPr>
        <w:pStyle w:val="ListBullet"/>
      </w:pPr>
      <w:r>
        <w:t>Los editores incluyen buscador de variables e inserción en la posición del cursor.</w:t>
      </w:r>
    </w:p>
    <w:p>
      <w:pPr>
        <w:pStyle w:val="ListBullet"/>
      </w:pPr>
      <w:r>
        <w:t>La Vista Previa permite revisar asunto y cuerpo antes de enviar; el cuerpo se conserva al editar el asunto.</w:t>
      </w:r>
    </w:p>
    <w:p>
      <w:pPr>
        <w:pStyle w:val="Heading3"/>
      </w:pPr>
      <w:r>
        <w:rPr>
          <w:b/>
          <w:color w:val="0891B2"/>
          <w:sz w:val="24"/>
        </w:rPr>
        <w:t>Enviar al Cliente</w:t>
      </w:r>
    </w:p>
    <w:p>
      <w:pPr>
        <w:pStyle w:val="ListNumber"/>
      </w:pPr>
      <w:r>
        <w:t>Genere la cotización y verifique la Vista Previa.</w:t>
      </w:r>
    </w:p>
    <w:p>
      <w:pPr>
        <w:pStyle w:val="ListNumber"/>
      </w:pPr>
      <w:r>
        <w:t>Use la acción de envío para enviar la Ficha/Propuesta al cliente por correo.</w:t>
      </w:r>
    </w:p>
    <w:p>
      <w:pPr>
        <w:pStyle w:val="ListNumber"/>
      </w:pPr>
      <w:r>
        <w:t>La cotización queda registrada con su estado (ej. Enviada) y su PDF asociado.</w:t>
      </w:r>
    </w:p>
    <w:p>
      <w:pPr>
        <w:pStyle w:val="Heading2"/>
      </w:pPr>
      <w:r>
        <w:rPr>
          <w:b/>
          <w:color w:val="0E5A8A"/>
          <w:sz w:val="28"/>
        </w:rPr>
        <w:t>4.5 Reportes de Ventas</w:t>
      </w:r>
    </w:p>
    <w:p>
      <w:r>
        <w:rPr>
          <w:i w:val="0"/>
          <w:sz w:val="22"/>
        </w:rPr>
        <w:t>Consolidado de la actividad comercial para análisis y seguimiento de la gestión de ventas.</w:t>
      </w:r>
    </w:p>
    <w:p>
      <w:pPr>
        <w:pStyle w:val="Heading2"/>
      </w:pPr>
      <w:r>
        <w:rPr>
          <w:b/>
          <w:color w:val="0E5A8A"/>
          <w:sz w:val="28"/>
        </w:rPr>
        <w:t>4.6 Reportes por Patrocinador</w:t>
      </w:r>
    </w:p>
    <w:p>
      <w:r>
        <w:rPr>
          <w:i w:val="0"/>
          <w:sz w:val="22"/>
        </w:rPr>
        <w:t>Reportes orientados a patrocinadores (bancos u otros), con la información de su cartera asociada.</w:t>
      </w:r>
    </w:p>
    <w:p>
      <w:pPr>
        <w:pStyle w:val="Heading2"/>
      </w:pPr>
      <w:r>
        <w:rPr>
          <w:b/>
          <w:color w:val="0E5A8A"/>
          <w:sz w:val="28"/>
        </w:rPr>
        <w:t>4.7 Histórico de Cotizaciones</w:t>
      </w:r>
    </w:p>
    <w:p>
      <w:r>
        <w:rPr>
          <w:i w:val="0"/>
          <w:sz w:val="22"/>
        </w:rPr>
        <w:t>Archivo de cotizaciones para consulta. El acceso a este módulo depende del permiso correspondiente en la matriz de seguridad (además del acceso histórico para perfiles Director/Administrador).</w:t>
      </w:r>
    </w:p>
    <w:p>
      <w:r>
        <w:br w:type="page"/>
      </w:r>
    </w:p>
    <w:p>
      <w:pPr>
        <w:pStyle w:val="Heading1"/>
      </w:pPr>
      <w:r>
        <w:rPr>
          <w:b/>
          <w:color w:val="0E5A8A"/>
          <w:sz w:val="36"/>
        </w:rPr>
        <w:t>5. Catálogos</w:t>
      </w:r>
    </w:p>
    <w:p>
      <w:r>
        <w:rPr>
          <w:i w:val="0"/>
          <w:sz w:val="22"/>
        </w:rPr>
        <w:t>Los catálogos alimentan las listas y precios usados por Cotizaciones y Proyectos. Mantenerlos actualizados garantiza propuestas correctas.</w:t>
      </w:r>
    </w:p>
    <w:p>
      <w:pPr>
        <w:pStyle w:val="Heading2"/>
      </w:pPr>
      <w:r>
        <w:rPr>
          <w:b/>
          <w:color w:val="0E5A8A"/>
          <w:sz w:val="28"/>
        </w:rPr>
        <w:t>5.1 Bancos</w:t>
      </w:r>
    </w:p>
    <w:p>
      <w:r>
        <w:rPr>
          <w:i w:val="0"/>
          <w:sz w:val="22"/>
        </w:rPr>
        <w:t>Registro de bancos/patrocinadores, sus contactos y la información comercial asociada (roadmap, integraciones).</w:t>
      </w:r>
    </w:p>
    <w:p>
      <w:pPr>
        <w:pStyle w:val="Heading2"/>
      </w:pPr>
      <w:r>
        <w:rPr>
          <w:b/>
          <w:color w:val="0E5A8A"/>
          <w:sz w:val="28"/>
        </w:rPr>
        <w:t>5.2 Medios de Pago</w:t>
      </w:r>
    </w:p>
    <w:p>
      <w:r>
        <w:rPr>
          <w:i w:val="0"/>
          <w:sz w:val="22"/>
        </w:rPr>
        <w:t>Catálogo de medios de pago disponibles para asociar a las soluciones cotizadas.</w:t>
      </w:r>
    </w:p>
    <w:p>
      <w:pPr>
        <w:pStyle w:val="Heading2"/>
      </w:pPr>
      <w:r>
        <w:rPr>
          <w:b/>
          <w:color w:val="0E5A8A"/>
          <w:sz w:val="28"/>
        </w:rPr>
        <w:t>5.3 Bienes y Servicios</w:t>
      </w:r>
    </w:p>
    <w:p>
      <w:r>
        <w:rPr>
          <w:i w:val="0"/>
          <w:sz w:val="22"/>
        </w:rPr>
        <w:t>Catálogo de hardware, software y servicios con sus precios (Set Up y recurrentes) que se utilizan al cotizar.</w:t>
      </w:r>
    </w:p>
    <w:p>
      <w:pPr>
        <w:pStyle w:val="Heading2"/>
      </w:pPr>
      <w:r>
        <w:rPr>
          <w:b/>
          <w:color w:val="0E5A8A"/>
          <w:sz w:val="28"/>
        </w:rPr>
        <w:t>5.4 Categoría Comercial</w:t>
      </w:r>
    </w:p>
    <w:p>
      <w:r>
        <w:rPr>
          <w:i w:val="0"/>
          <w:sz w:val="22"/>
        </w:rPr>
        <w:t>Clasificación comercial de clientes para segmentación y reportes.</w:t>
      </w:r>
    </w:p>
    <w:p>
      <w:pPr>
        <w:pStyle w:val="Heading2"/>
      </w:pPr>
      <w:r>
        <w:rPr>
          <w:b/>
          <w:color w:val="0E5A8A"/>
          <w:sz w:val="28"/>
        </w:rPr>
        <w:t>5.5 Tasa de Cambio</w:t>
      </w:r>
    </w:p>
    <w:p>
      <w:r>
        <w:rPr>
          <w:i w:val="0"/>
          <w:sz w:val="22"/>
        </w:rPr>
        <w:t>Tasa utilizada para los cálculos financieros expresados en distintas monedas.</w:t>
      </w:r>
    </w:p>
    <w:p>
      <w:r>
        <w:br w:type="page"/>
      </w:r>
    </w:p>
    <w:p>
      <w:pPr>
        <w:pStyle w:val="Heading1"/>
      </w:pPr>
      <w:r>
        <w:rPr>
          <w:b/>
          <w:color w:val="0E5A8A"/>
          <w:sz w:val="36"/>
        </w:rPr>
        <w:t>6. Gestión de Implementación</w:t>
      </w:r>
    </w:p>
    <w:p>
      <w:pPr>
        <w:pStyle w:val="Heading2"/>
      </w:pPr>
      <w:r>
        <w:rPr>
          <w:b/>
          <w:color w:val="0E5A8A"/>
          <w:sz w:val="28"/>
        </w:rPr>
        <w:t>6.1 Proyectos</w:t>
      </w:r>
    </w:p>
    <w:p>
      <w:r>
        <w:rPr>
          <w:i w:val="0"/>
          <w:sz w:val="22"/>
        </w:rPr>
        <w:t>Un proyecto representa la ejecución de una implementación para un cliente. Se origina desde una cotización aprobada o como Proyecto Directo.</w:t>
      </w:r>
    </w:p>
    <w:p>
      <w:pPr>
        <w:pStyle w:val="Heading3"/>
      </w:pPr>
      <w:r>
        <w:rPr>
          <w:b/>
          <w:color w:val="0891B2"/>
          <w:sz w:val="24"/>
        </w:rPr>
        <w:t>Ciclo de vida del proyecto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E5A8A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4320"/>
            <w:shd w:val="clear" w:color="auto" w:fill="0E5A8A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Por asignar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Proyecto creado, pendiente de asignar implementador.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Asignado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Se asignó un implementador responsable.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En Gestión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Implementación en curso.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Suspendido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Temporalmente detenido.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Implementado parcial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Implementación parcial (algunas sucursales/puntos).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Culminado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Proyecto finalizado.</w:t>
            </w:r>
          </w:p>
        </w:tc>
      </w:tr>
    </w:tbl>
    <w:p/>
    <w:p>
      <w:r>
        <w:rPr>
          <w:i w:val="0"/>
          <w:sz w:val="22"/>
        </w:rPr>
        <w:t>El estado puede usarse como variable en plantillas mediante la etiqueta {Estado_Proyecto}.</w:t>
      </w:r>
    </w:p>
    <w:p>
      <w:pPr>
        <w:pStyle w:val="Heading3"/>
      </w:pPr>
      <w:r>
        <w:rPr>
          <w:b/>
          <w:color w:val="0891B2"/>
          <w:sz w:val="24"/>
        </w:rPr>
        <w:t>Bitácora</w:t>
      </w:r>
    </w:p>
    <w:p>
      <w:r>
        <w:rPr>
          <w:i w:val="0"/>
          <w:sz w:val="22"/>
        </w:rPr>
        <w:t>Cada proyecto mantiene una bitácora de eventos y comunicaciones (incluye los correos enviados y sus copias).</w:t>
      </w:r>
    </w:p>
    <w:p>
      <w:pPr>
        <w:pStyle w:val="Heading3"/>
      </w:pPr>
      <w:r>
        <w:rPr>
          <w:b/>
          <w:color w:val="0891B2"/>
          <w:sz w:val="24"/>
        </w:rPr>
        <w:t>Ficha Técnica de Implementación</w:t>
      </w:r>
    </w:p>
    <w:p>
      <w:pPr>
        <w:pStyle w:val="ListBullet"/>
      </w:pPr>
      <w:r>
        <w:t>La Ficha Técnica que se almacena en el proyecto contiene el Resumen Ejecutivo con los bancos y productos seleccionados, distribución logística (sucursales) y datos de configuración.</w:t>
      </w:r>
    </w:p>
    <w:p>
      <w:pPr>
        <w:pStyle w:val="ListBullet"/>
      </w:pPr>
      <w:r>
        <w:t>Esta ficha debe ser equivalente a la que se envía al cliente, tomando como fuente de verdad los datos del propio proyecto.</w:t>
      </w:r>
    </w:p>
    <w:p>
      <w:pPr>
        <w:pStyle w:val="Heading3"/>
      </w:pPr>
      <w:r>
        <w:rPr>
          <w:b/>
          <w:color w:val="0891B2"/>
          <w:sz w:val="24"/>
        </w:rPr>
        <w:t>Notificaciones por correo</w:t>
      </w:r>
    </w:p>
    <w:p>
      <w:pPr>
        <w:pStyle w:val="ListBullet"/>
      </w:pPr>
      <w:r>
        <w:rPr>
          <w:b/>
        </w:rPr>
        <w:t>Notificaciones a Clientes/Bancos</w:t>
      </w:r>
      <w:r>
        <w:t>: envíos formales con plantillas; incluyen destinatarios principales (Para) y copias (CC) mediante un selector de tokens.</w:t>
      </w:r>
    </w:p>
    <w:p>
      <w:pPr>
        <w:pStyle w:val="ListBullet"/>
      </w:pPr>
      <w:r>
        <w:rPr>
          <w:b/>
        </w:rPr>
        <w:t>Otras Notificaciones (Ad-hoc)</w:t>
      </w:r>
      <w:r>
        <w:t>: envíos puntuales con el mismo selector de destinatarios y copias.</w:t>
      </w:r>
    </w:p>
    <w:p>
      <w:pPr>
        <w:pStyle w:val="ListBullet"/>
      </w:pPr>
      <w:r>
        <w:rPr>
          <w:b/>
        </w:rPr>
        <w:t>Grupos de Correo (CC)</w:t>
      </w:r>
      <w:r>
        <w:t>: permite guardar y reutilizar grupos de destinatarios en copia, compartidos entre los modales de notificación.</w:t>
      </w:r>
    </w:p>
    <w:p>
      <w:pPr>
        <w:pStyle w:val="ListBullet"/>
      </w:pPr>
      <w:r>
        <w:rPr>
          <w:b/>
        </w:rPr>
        <w:t>Filtro estratégico</w:t>
      </w:r>
      <w:r>
        <w:t>: al agregar destinatarios internos, el buscador prioriza usuarios estratégicos.</w:t>
      </w:r>
    </w:p>
    <w:p>
      <w:pPr>
        <w:pStyle w:val="Heading2"/>
      </w:pPr>
      <w:r>
        <w:rPr>
          <w:b/>
          <w:color w:val="0E5A8A"/>
          <w:sz w:val="28"/>
        </w:rPr>
        <w:t>6.2 Proyectos Directos</w:t>
      </w:r>
    </w:p>
    <w:p>
      <w:r>
        <w:rPr>
          <w:i w:val="0"/>
          <w:sz w:val="22"/>
        </w:rPr>
        <w:t>Permite crear un proyecto sin partir de una cotización previa, capturando directamente las sucursales, bancos y productos (matriz de implementación). Genera igualmente su Ficha Técnica.</w:t>
      </w:r>
    </w:p>
    <w:p>
      <w:pPr>
        <w:pStyle w:val="Heading2"/>
      </w:pPr>
      <w:r>
        <w:rPr>
          <w:b/>
          <w:color w:val="0E5A8A"/>
          <w:sz w:val="28"/>
        </w:rPr>
        <w:t>6.3 Integradores</w:t>
      </w:r>
    </w:p>
    <w:p>
      <w:r>
        <w:rPr>
          <w:i w:val="0"/>
          <w:sz w:val="22"/>
        </w:rPr>
        <w:t>Catálogo de integradores (socios tecnológicos) y sus aplicativos. Se asocian a clientes y proyectos, e incluyen seguimiento de su gestión e integraciones.</w:t>
      </w:r>
    </w:p>
    <w:p>
      <w:pPr>
        <w:pStyle w:val="Heading2"/>
      </w:pPr>
      <w:r>
        <w:rPr>
          <w:b/>
          <w:color w:val="0E5A8A"/>
          <w:sz w:val="28"/>
        </w:rPr>
        <w:t>6.4 Datos de Imple</w:t>
      </w:r>
    </w:p>
    <w:p>
      <w:r>
        <w:rPr>
          <w:i w:val="0"/>
          <w:sz w:val="22"/>
        </w:rPr>
        <w:t>Opción de corrección rápida y focalizada de los datos de implementación de un cliente, con replicación automática a todas sus sucursales.</w:t>
      </w:r>
    </w:p>
    <w:p>
      <w:pPr>
        <w:pStyle w:val="Heading3"/>
      </w:pPr>
      <w:r>
        <w:rPr>
          <w:b/>
          <w:color w:val="0891B2"/>
          <w:sz w:val="24"/>
        </w:rPr>
        <w:t>¿Qué campos permite editar?</w:t>
      </w:r>
    </w:p>
    <w:p>
      <w:r>
        <w:rPr>
          <w:i w:val="0"/>
          <w:sz w:val="22"/>
        </w:rPr>
        <w:t>Exclusivamente cinco (5) campos:</w:t>
      </w:r>
    </w:p>
    <w:p>
      <w:pPr>
        <w:pStyle w:val="ListBullet"/>
      </w:pPr>
      <w:r>
        <w:rPr>
          <w:b/>
        </w:rPr>
        <w:t>Componentes</w:t>
      </w:r>
      <w:r>
        <w:t>: tipo de servicio (VPOS, MPOS, Payment Gateway, Link de Pago).</w:t>
      </w:r>
    </w:p>
    <w:p>
      <w:pPr>
        <w:pStyle w:val="ListBullet"/>
      </w:pPr>
      <w:r>
        <w:rPr>
          <w:b/>
        </w:rPr>
        <w:t>Integrador</w:t>
      </w:r>
      <w:r>
        <w:t>: socio tecnológico.</w:t>
      </w:r>
    </w:p>
    <w:p>
      <w:pPr>
        <w:pStyle w:val="ListBullet"/>
      </w:pPr>
      <w:r>
        <w:rPr>
          <w:b/>
        </w:rPr>
        <w:t>Aplicación</w:t>
      </w:r>
      <w:r>
        <w:t>: aplicativo del integrador (se autocompleta al elegir el integrador).</w:t>
      </w:r>
    </w:p>
    <w:p>
      <w:pPr>
        <w:pStyle w:val="ListBullet"/>
      </w:pPr>
      <w:r>
        <w:rPr>
          <w:b/>
        </w:rPr>
        <w:t>Implementador</w:t>
      </w:r>
      <w:r>
        <w:t>: responsable de la implementación.</w:t>
      </w:r>
    </w:p>
    <w:p>
      <w:pPr>
        <w:pStyle w:val="ListBullet"/>
      </w:pPr>
      <w:r>
        <w:rPr>
          <w:b/>
        </w:rPr>
        <w:t>Coordinador</w:t>
      </w:r>
      <w:r>
        <w:t>: coordinador asignado.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>
              <w:rPr>
                <w:b/>
              </w:rPr>
              <w:t xml:space="preserve">IMPORTANTE: </w:t>
            </w:r>
            <w:r>
              <w:t>Por diseño, esta vista NO incluye el campo "Ejecutivo Propietario", para evitar cambios accidentales del dueño comercial del cliente.</w:t>
            </w:r>
          </w:p>
        </w:tc>
      </w:tr>
    </w:tbl>
    <w:p/>
    <w:p>
      <w:pPr>
        <w:pStyle w:val="Heading3"/>
      </w:pPr>
      <w:r>
        <w:rPr>
          <w:b/>
          <w:color w:val="0891B2"/>
          <w:sz w:val="24"/>
        </w:rPr>
        <w:t>Precarga del Coordinador</w:t>
      </w:r>
    </w:p>
    <w:p>
      <w:r>
        <w:rPr>
          <w:i w:val="0"/>
          <w:sz w:val="22"/>
        </w:rPr>
        <w:t>Al abrir el formulario, el campo Coordinador se precarga con el usuario que tiene el perfil "Coordinación de Administración". Si esa persona cambia, la precarga se actualiza automáticamente.</w:t>
      </w:r>
    </w:p>
    <w:p>
      <w:pPr>
        <w:pStyle w:val="Heading3"/>
      </w:pPr>
      <w:r>
        <w:rPr>
          <w:b/>
          <w:color w:val="0891B2"/>
          <w:sz w:val="24"/>
        </w:rPr>
        <w:t>Actualización multisucursal (cascada)</w:t>
      </w:r>
    </w:p>
    <w:p>
      <w:pPr>
        <w:pStyle w:val="ListNumber"/>
      </w:pPr>
      <w:r>
        <w:t>Ingrese a Datos de Imple y busque el cliente por nombre, RIF o implementador.</w:t>
      </w:r>
    </w:p>
    <w:p>
      <w:pPr>
        <w:pStyle w:val="ListNumber"/>
      </w:pPr>
      <w:r>
        <w:t>Presione "Editar" en la fila deseada.</w:t>
      </w:r>
    </w:p>
    <w:p>
      <w:pPr>
        <w:pStyle w:val="ListNumber"/>
      </w:pPr>
      <w:r>
        <w:t>Modifique los campos necesarios (el sistema indica cuántas sucursales se actualizarán).</w:t>
      </w:r>
    </w:p>
    <w:p>
      <w:pPr>
        <w:pStyle w:val="ListNumber"/>
      </w:pPr>
      <w:r>
        <w:t>Presione "Guardar y replicar".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9F7EF"/>
          </w:tcPr>
          <w:p>
            <w:r>
              <w:rPr>
                <w:b/>
              </w:rPr>
              <w:t xml:space="preserve">BUENA PRÁCTICA: </w:t>
            </w:r>
            <w:r>
              <w:t>Al guardar, los 5 campos se aplican a TODAS las sucursales que comparten el mismo RIF, en una sola operación. Ejemplo: si el cliente tiene 4 sucursales y cambia el Integrador, las 4 quedan actualizadas.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color w:val="0E5A8A"/>
          <w:sz w:val="36"/>
        </w:rPr>
        <w:t>7. Nuevos Productos</w:t>
      </w:r>
    </w:p>
    <w:p>
      <w:r>
        <w:rPr>
          <w:i w:val="0"/>
          <w:sz w:val="22"/>
        </w:rPr>
        <w:t>Espacio para la gestión de nuevos productos del portafolio, con su documentación y seguimiento.</w:t>
      </w:r>
    </w:p>
    <w:p>
      <w:pPr>
        <w:pStyle w:val="Heading1"/>
      </w:pPr>
      <w:r>
        <w:rPr>
          <w:b/>
          <w:color w:val="0E5A8A"/>
          <w:sz w:val="36"/>
        </w:rPr>
        <w:t>8. Gestión Administrativa</w:t>
      </w:r>
    </w:p>
    <w:p>
      <w:pPr>
        <w:pStyle w:val="Heading2"/>
      </w:pPr>
      <w:r>
        <w:rPr>
          <w:b/>
          <w:color w:val="0E5A8A"/>
          <w:sz w:val="28"/>
        </w:rPr>
        <w:t>8.1 Inventarios</w:t>
      </w:r>
    </w:p>
    <w:p>
      <w:r>
        <w:rPr>
          <w:i w:val="0"/>
          <w:sz w:val="22"/>
        </w:rPr>
        <w:t>Control de activos e inventario de equipos.</w:t>
      </w:r>
    </w:p>
    <w:p>
      <w:pPr>
        <w:pStyle w:val="Heading2"/>
      </w:pPr>
      <w:r>
        <w:rPr>
          <w:b/>
          <w:color w:val="0E5A8A"/>
          <w:sz w:val="28"/>
        </w:rPr>
        <w:t>8.2 Reportes Contables</w:t>
      </w:r>
    </w:p>
    <w:p>
      <w:pPr>
        <w:pStyle w:val="ListBullet"/>
      </w:pPr>
      <w:r>
        <w:rPr>
          <w:b/>
        </w:rPr>
        <w:t>Kardex de Activos</w:t>
      </w:r>
      <w:r>
        <w:t>: movimientos de entrada/salida de activos.</w:t>
      </w:r>
    </w:p>
    <w:p>
      <w:pPr>
        <w:pStyle w:val="ListBullet"/>
      </w:pPr>
      <w:r>
        <w:rPr>
          <w:b/>
        </w:rPr>
        <w:t>Mayor de Activos</w:t>
      </w:r>
      <w:r>
        <w:t>: saldos y resumen contable de activos.</w:t>
      </w:r>
    </w:p>
    <w:p>
      <w:pPr>
        <w:pStyle w:val="ListBullet"/>
      </w:pPr>
      <w:r>
        <w:rPr>
          <w:b/>
        </w:rPr>
        <w:t>Salidas Facturadas</w:t>
      </w:r>
      <w:r>
        <w:t>: control de salidas con facturación asociada.</w:t>
      </w:r>
    </w:p>
    <w:p>
      <w:pPr>
        <w:pStyle w:val="Heading1"/>
      </w:pPr>
      <w:r>
        <w:rPr>
          <w:b/>
          <w:color w:val="0E5A8A"/>
          <w:sz w:val="36"/>
        </w:rPr>
        <w:t>9. Gestión de Taller</w:t>
      </w:r>
    </w:p>
    <w:p>
      <w:r>
        <w:rPr>
          <w:i w:val="0"/>
          <w:sz w:val="22"/>
        </w:rPr>
        <w:t>Gestión de equipos que ingresan a taller: recepción, diagnóstico, reparación y entrega.</w:t>
      </w:r>
    </w:p>
    <w:p>
      <w:pPr>
        <w:pStyle w:val="Heading1"/>
      </w:pPr>
      <w:r>
        <w:rPr>
          <w:b/>
          <w:color w:val="0E5A8A"/>
          <w:sz w:val="36"/>
        </w:rPr>
        <w:t>10. Configuración</w:t>
      </w:r>
    </w:p>
    <w:p>
      <w:r>
        <w:rPr>
          <w:i w:val="0"/>
          <w:sz w:val="22"/>
        </w:rPr>
        <w:t>Centraliza ajustes del sistema relacionados con comunicaciones y notificaciones:</w:t>
      </w:r>
    </w:p>
    <w:p>
      <w:pPr>
        <w:pStyle w:val="ListBullet"/>
      </w:pPr>
      <w:r>
        <w:rPr>
          <w:b/>
        </w:rPr>
        <w:t>Plantillas de correo</w:t>
      </w:r>
      <w:r>
        <w:t>: creación y edición de plantillas para clientes, integradores y nuevos productos.</w:t>
      </w:r>
    </w:p>
    <w:p>
      <w:pPr>
        <w:pStyle w:val="ListBullet"/>
      </w:pPr>
      <w:r>
        <w:rPr>
          <w:b/>
        </w:rPr>
        <w:t>Pie de página / Remitentes</w:t>
      </w:r>
      <w:r>
        <w:t>: configuración del footer y de las direcciones remitentes por área.</w:t>
      </w:r>
    </w:p>
    <w:p>
      <w:pPr>
        <w:pStyle w:val="ListBullet"/>
      </w:pPr>
      <w:r>
        <w:rPr>
          <w:b/>
        </w:rPr>
        <w:t>Notificaciones y Otras Acciones</w:t>
      </w:r>
      <w:r>
        <w:t>: configuración del motor de notificaciones y acciones automáticas.</w:t>
      </w:r>
    </w:p>
    <w:p>
      <w:pPr>
        <w:pStyle w:val="Heading1"/>
      </w:pPr>
      <w:r>
        <w:rPr>
          <w:b/>
          <w:color w:val="0E5A8A"/>
          <w:sz w:val="36"/>
        </w:rPr>
        <w:t>11. Gestión de Seguridad</w:t>
      </w:r>
    </w:p>
    <w:p>
      <w:r>
        <w:rPr>
          <w:i w:val="0"/>
          <w:sz w:val="22"/>
        </w:rPr>
        <w:t>Disponible para administradores:</w:t>
      </w:r>
    </w:p>
    <w:p>
      <w:pPr>
        <w:pStyle w:val="ListBullet"/>
      </w:pPr>
      <w:r>
        <w:rPr>
          <w:b/>
        </w:rPr>
        <w:t>Creación de Usuarios</w:t>
      </w:r>
      <w:r>
        <w:t>: alta de usuarios con su cargo, departamento y datos.</w:t>
      </w:r>
    </w:p>
    <w:p>
      <w:pPr>
        <w:pStyle w:val="ListBullet"/>
      </w:pPr>
      <w:r>
        <w:rPr>
          <w:b/>
        </w:rPr>
        <w:t>Permisos de Usuarios</w:t>
      </w:r>
      <w:r>
        <w:t>: asignación de niveles por módulo a cada usuario.</w:t>
      </w:r>
    </w:p>
    <w:p>
      <w:pPr>
        <w:pStyle w:val="ListBullet"/>
      </w:pPr>
      <w:r>
        <w:rPr>
          <w:b/>
        </w:rPr>
        <w:t>Perfiles de Usuario</w:t>
      </w:r>
      <w:r>
        <w:t>: definición de perfiles reutilizables y activación/desactivación de módulos por perfil.</w:t>
      </w:r>
    </w:p>
    <w:p>
      <w:r>
        <w:br w:type="page"/>
      </w:r>
    </w:p>
    <w:p>
      <w:pPr>
        <w:pStyle w:val="Heading1"/>
      </w:pPr>
      <w:r>
        <w:rPr>
          <w:b/>
          <w:color w:val="0E5A8A"/>
          <w:sz w:val="36"/>
        </w:rPr>
        <w:t>12. Flujos de negocio clave</w:t>
      </w:r>
    </w:p>
    <w:p>
      <w:pPr>
        <w:pStyle w:val="Heading2"/>
      </w:pPr>
      <w:r>
        <w:rPr>
          <w:b/>
          <w:color w:val="0E5A8A"/>
          <w:sz w:val="28"/>
        </w:rPr>
        <w:t>12.1 De la cotización al proyecto</w:t>
      </w:r>
    </w:p>
    <w:p>
      <w:pPr>
        <w:pStyle w:val="ListNumber"/>
      </w:pPr>
      <w:r>
        <w:t>Registrar/seleccionar el cliente (Clientes o Contacto Inicial).</w:t>
      </w:r>
    </w:p>
    <w:p>
      <w:pPr>
        <w:pStyle w:val="ListNumber"/>
      </w:pPr>
      <w:r>
        <w:t>Elaborar la Cotización (tipo de solución, sucursales, Set Up y Costos Recurrentes).</w:t>
      </w:r>
    </w:p>
    <w:p>
      <w:pPr>
        <w:pStyle w:val="ListNumber"/>
      </w:pPr>
      <w:r>
        <w:t>Revisar la Vista Previa y Enviar al Cliente.</w:t>
      </w:r>
    </w:p>
    <w:p>
      <w:pPr>
        <w:pStyle w:val="ListNumber"/>
      </w:pPr>
      <w:r>
        <w:t>Al aprobarse, convertir la cotización en Proyecto (o crear un Proyecto Directo).</w:t>
      </w:r>
    </w:p>
    <w:p>
      <w:pPr>
        <w:pStyle w:val="ListNumber"/>
      </w:pPr>
      <w:r>
        <w:t>Asignar Implementador y dar seguimiento por el ciclo de vida (Por asignar → … → Culminado).</w:t>
      </w:r>
    </w:p>
    <w:p>
      <w:pPr>
        <w:pStyle w:val="Heading2"/>
      </w:pPr>
      <w:r>
        <w:rPr>
          <w:b/>
          <w:color w:val="0E5A8A"/>
          <w:sz w:val="28"/>
        </w:rPr>
        <w:t>12.2 Envío de Ficha Técnica al implementador</w:t>
      </w:r>
    </w:p>
    <w:p>
      <w:pPr>
        <w:pStyle w:val="ListNumber"/>
      </w:pPr>
      <w:r>
        <w:t>Desde el Proyecto, generar/descargar la Ficha Técnica de Implementación.</w:t>
      </w:r>
    </w:p>
    <w:p>
      <w:pPr>
        <w:pStyle w:val="ListNumber"/>
      </w:pPr>
      <w:r>
        <w:t>Verificar que el Resumen Ejecutivo incluya bancos y productos seleccionados y la distribución por sucursales.</w:t>
      </w:r>
    </w:p>
    <w:p>
      <w:pPr>
        <w:pStyle w:val="ListNumber"/>
      </w:pPr>
      <w:r>
        <w:t>Enviar las notificaciones correspondientes (con destinatarios y copias/CC según el caso).</w:t>
      </w:r>
    </w:p>
    <w:p>
      <w:pPr>
        <w:pStyle w:val="Heading2"/>
      </w:pPr>
      <w:r>
        <w:rPr>
          <w:b/>
          <w:color w:val="0E5A8A"/>
          <w:sz w:val="28"/>
        </w:rPr>
        <w:t>12.3 Corrección rápida de datos de implementación (multisucursal)</w:t>
      </w:r>
    </w:p>
    <w:p>
      <w:pPr>
        <w:pStyle w:val="ListNumber"/>
      </w:pPr>
      <w:r>
        <w:t>Ingresar a Datos de Imple y buscar el cliente.</w:t>
      </w:r>
    </w:p>
    <w:p>
      <w:pPr>
        <w:pStyle w:val="ListNumber"/>
      </w:pPr>
      <w:r>
        <w:t>Editar Componentes, Integrador, Aplicación, Implementador y/o Coordinador.</w:t>
      </w:r>
    </w:p>
    <w:p>
      <w:pPr>
        <w:pStyle w:val="ListNumber"/>
      </w:pPr>
      <w:r>
        <w:t>Guardar: los cambios se replican a todas las sucursales del mismo RIF.</w:t>
      </w:r>
    </w:p>
    <w:p>
      <w:pPr>
        <w:pStyle w:val="Heading1"/>
      </w:pPr>
      <w:r>
        <w:rPr>
          <w:b/>
          <w:color w:val="0E5A8A"/>
          <w:sz w:val="36"/>
        </w:rPr>
        <w:t>13. Glosario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E5A8A"/>
          </w:tcPr>
          <w:p>
            <w:r/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4320"/>
            <w:shd w:val="clear" w:color="auto" w:fill="0E5A8A"/>
          </w:tcPr>
          <w:p>
            <w:r/>
            <w:r>
              <w:rPr>
                <w:b/>
                <w:color w:val="FFFFFF"/>
                <w:sz w:val="20"/>
              </w:rPr>
              <w:t>Definición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RIF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Registro de Información Fiscal; junto con la Sucursal forma la clave única del cliente.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Sucursal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Punto/sede del cliente. Un mismo RIF puede tener varias sucursales.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Set Up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Inversión inicial / puesta en marcha de la solución.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Costos Recurrentes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Cargos mensuales del servicio (básicos y otros).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VPOS / MPOS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Punto de venta virtual / móvil.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Payment Gateway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Pasarela de pago para cobros en línea.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Ficha Técnica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Documento de implementación con el resumen ejecutivo y la configuración del proyecto.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Grupo CC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Conjunto reutilizable de destinatarios en copia para correos.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Componentes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En Datos de Imple, corresponde al Tipo de Servicio del cliente.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RBAC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Control de acceso basado en roles/perfiles.</w:t>
            </w:r>
          </w:p>
        </w:tc>
      </w:tr>
    </w:tbl>
    <w:p/>
    <w:p>
      <w:pPr>
        <w:pStyle w:val="Heading1"/>
      </w:pPr>
      <w:r>
        <w:rPr>
          <w:b/>
          <w:color w:val="0E5A8A"/>
          <w:sz w:val="36"/>
        </w:rPr>
        <w:t>14. Preguntas frecuentes</w:t>
      </w:r>
    </w:p>
    <w:p>
      <w:pPr>
        <w:pStyle w:val="Heading3"/>
      </w:pPr>
      <w:r>
        <w:rPr>
          <w:b/>
          <w:color w:val="0891B2"/>
          <w:sz w:val="24"/>
        </w:rPr>
        <w:t>No veo un módulo en el menú</w:t>
      </w:r>
    </w:p>
    <w:p>
      <w:r>
        <w:rPr>
          <w:i w:val="0"/>
          <w:sz w:val="22"/>
        </w:rPr>
        <w:t>Su perfil podría no tener permiso sobre ese módulo. Solicite al administrador habilitarlo desde Gestión de Seguridad → Perfiles/Permisos.</w:t>
      </w:r>
    </w:p>
    <w:p>
      <w:pPr>
        <w:pStyle w:val="Heading3"/>
      </w:pPr>
      <w:r>
        <w:rPr>
          <w:b/>
          <w:color w:val="0891B2"/>
          <w:sz w:val="24"/>
        </w:rPr>
        <w:t>Cambié las cajas en Set Up y no se reflejó en Recurrentes</w:t>
      </w:r>
    </w:p>
    <w:p>
      <w:r>
        <w:rPr>
          <w:i w:val="0"/>
          <w:sz w:val="22"/>
        </w:rPr>
        <w:t>La sincronización aplica al ítem equivalente (mismo producto) y es unidireccional (Set Up → Recurrentes). Verifique que el ítem exista en ambas secciones.</w:t>
      </w:r>
    </w:p>
    <w:p>
      <w:pPr>
        <w:pStyle w:val="Heading3"/>
      </w:pPr>
      <w:r>
        <w:rPr>
          <w:b/>
          <w:color w:val="0891B2"/>
          <w:sz w:val="24"/>
        </w:rPr>
        <w:t>La Ficha Técnica salía sin el Resumen Ejecutivo</w:t>
      </w:r>
    </w:p>
    <w:p>
      <w:r>
        <w:rPr>
          <w:i w:val="0"/>
          <w:sz w:val="22"/>
        </w:rPr>
        <w:t>La Ficha del proyecto toma los datos del propio proyecto (bancos y productos). Vuelva a descargar la ficha desde el detalle del proyecto para obtener la versión completa.</w:t>
      </w:r>
    </w:p>
    <w:p>
      <w:pPr>
        <w:pStyle w:val="Heading3"/>
      </w:pPr>
      <w:r>
        <w:rPr>
          <w:b/>
          <w:color w:val="0891B2"/>
          <w:sz w:val="24"/>
        </w:rPr>
        <w:t>Edité un dato en Datos de Imple, ¿afecta a todas las sucursales?</w:t>
      </w:r>
    </w:p>
    <w:p>
      <w:r>
        <w:rPr>
          <w:i w:val="0"/>
          <w:sz w:val="22"/>
        </w:rPr>
        <w:t>Sí. Por diseño, los 5 campos se replican a todas las sucursales con el mismo RIF en una sola operación.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