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Auditoría de Cumplimiento</w:t>
      </w:r>
    </w:p>
    <w:p>
      <w:pPr>
        <w:jc w:val="center"/>
      </w:pPr>
      <w:r>
        <w:rPr>
          <w:color w:val="555F6B"/>
          <w:sz w:val="26"/>
        </w:rPr>
        <w:t>Manual de Adiestramiento de Usuarios — Módulo de Implementación</w:t>
      </w:r>
    </w:p>
    <w:p>
      <w:pPr>
        <w:jc w:val="center"/>
      </w:pPr>
      <w:r>
        <w:rPr>
          <w:i/>
          <w:color w:val="555F6B"/>
          <w:sz w:val="20"/>
        </w:rPr>
        <w:t>Plataforma de Gestión Mega Soft · Documento editable de referencia y verificación</w:t>
      </w:r>
    </w:p>
    <w:p/>
    <w:p>
      <w:r>
        <w:rPr>
          <w:b w:val="0"/>
          <w:i/>
          <w:color w:val="555F6B"/>
          <w:sz w:val="20"/>
        </w:rPr>
        <w:t>Este documento contrasta cada regla descrita en el manual con la implementación real de la plataforma (revisión de código fuente). Está pensado para que el equipo lo edite libremente: ajuste redacción, complete recomendaciones y refuerce lo necesario.</w:t>
      </w:r>
    </w:p>
    <w:p>
      <w:r>
        <w:rPr>
          <w:b/>
          <w:i w:val="0"/>
          <w:sz w:val="20"/>
        </w:rPr>
        <w:t>Leyenda de auditoría:</w:t>
      </w:r>
    </w:p>
    <w:p>
      <w:pPr>
        <w:pStyle w:val="ListBullet"/>
      </w:pPr>
      <w:r>
        <w:t>CUMPLE — La funcionalidad descrita está implementada y verificada en el código.</w:t>
      </w:r>
    </w:p>
    <w:p>
      <w:pPr>
        <w:pStyle w:val="ListBullet"/>
      </w:pPr>
      <w:r>
        <w:t>CUMPLE PARCIALMENTE — Implementada con una diferencia o matiz respecto al manual.</w:t>
      </w:r>
    </w:p>
    <w:p>
      <w:pPr>
        <w:pStyle w:val="ListBullet"/>
      </w:pPr>
      <w:r>
        <w:t>NO CUMPLE — La funcionalidad descrita no se encontró en la implementación.</w:t>
      </w:r>
    </w:p>
    <w:p>
      <w:r>
        <w:br w:type="page"/>
      </w:r>
    </w:p>
    <w:p>
      <w:pPr>
        <w:pStyle w:val="Heading1"/>
      </w:pPr>
      <w:r>
        <w:rPr>
          <w:color w:val="16324F"/>
        </w:rPr>
        <w:t>Capítulo 1: Menú de Cotizaciones (Usuario Comercial)</w:t>
      </w:r>
    </w:p>
    <w:p>
      <w:r>
        <w:rPr>
          <w:b w:val="0"/>
          <w:i w:val="0"/>
          <w:sz w:val="22"/>
        </w:rPr>
        <w:t>El menú de Cotizaciones es el punto de partida de la relación comercial. Permite estructurar propuestas económicas, dividiéndose en dos grandes flujos: Equipos y Accesorios.</w:t>
      </w:r>
    </w:p>
    <w:p>
      <w:pPr>
        <w:pStyle w:val="Heading2"/>
      </w:pPr>
      <w:r>
        <w:rPr>
          <w:color w:val="16324F"/>
        </w:rPr>
        <w:t>1.1 Tipos de Cotizaciones y Reglas de Bienes y Servicios</w:t>
      </w:r>
    </w:p>
    <w:p>
      <w:pPr>
        <w:pStyle w:val="ListBullet"/>
      </w:pPr>
      <w:r>
        <w:t>Cotización de Equipos: venta/arrendamiento de terminales principales (ej. PinPads).</w:t>
      </w:r>
    </w:p>
    <w:p>
      <w:pPr>
        <w:pStyle w:val="ListBullet"/>
      </w:pPr>
      <w:r>
        <w:t>Cotización de Accesorios: componentes complementarios (ej. cables, fuentes de poder).</w:t>
      </w:r>
    </w:p>
    <w:p>
      <w:pPr>
        <w:pStyle w:val="ListBullet"/>
      </w:pPr>
      <w:r>
        <w:t>PinPad/Accesorio (híbrido): visible tanto en Equipos como en Accesorios.</w:t>
      </w:r>
    </w:p>
    <w:p>
      <w:pPr>
        <w:pStyle w:val="ListBullet"/>
      </w:pPr>
      <w:r>
        <w:t>PinPad/Licencia (activos lógicos): al cargarse en inventario NO exige seriales físicos.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frontend/src/components/EquipmentQuoteWizard.jsx (DEVICE_TYPES=['POS','Pinpad','PinPad/Accesorio']; ACCESSORY_TYPES=['Accesorio','Base','PinPad/Accesorio'] → 'PinPad/Accesorio' aparece en ambos flujos). backend/models.py y routes/quote_actions.py: SERIALIZED_TYPES=['pos','pinpad','mpos'] y requires_serial = tipo in SERIALIZED_TYPES → 'PinPad/Licencia' NO requiere serial.</w:t>
      </w:r>
    </w:p>
    <w:p>
      <w:pPr>
        <w:pStyle w:val="Heading2"/>
      </w:pPr>
      <w:r>
        <w:rPr>
          <w:color w:val="16324F"/>
        </w:rPr>
        <w:t>1.2 Regla de Pertenencia y Visibilidad (Seguridad de Ventas)</w:t>
      </w:r>
    </w:p>
    <w:p>
      <w:pPr>
        <w:pStyle w:val="ListBullet"/>
      </w:pPr>
      <w:r>
        <w:t>Cada cotización guarda el departamento del creador al momento de crearla (badge).</w:t>
      </w:r>
    </w:p>
    <w:p>
      <w:pPr>
        <w:pStyle w:val="ListBullet"/>
      </w:pPr>
      <w:r>
        <w:t>Si el usuario cambia de departamento, sus cotizaciones históricas permanecen con su equipo de Ventas original (no migran).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backend/routes/quotes.py líneas 112-116: doc['creator_departamento'] = departamento del creador AL MOMENTO de crear (origen inmutable). Función de visibilidad (~L595-602): la cotización pertenece 100% al departamento en que fue creada; una transferencia de personal NO la arrastra.</w:t>
      </w:r>
    </w:p>
    <w:p>
      <w:pPr>
        <w:pStyle w:val="Heading1"/>
      </w:pPr>
      <w:r>
        <w:rPr>
          <w:color w:val="16324F"/>
        </w:rPr>
        <w:t>Capítulo 2: Menú de Proyectos (Usuario Técnico / QA)</w:t>
      </w:r>
    </w:p>
    <w:p>
      <w:pPr>
        <w:pStyle w:val="Heading2"/>
      </w:pPr>
      <w:r>
        <w:rPr>
          <w:color w:val="16324F"/>
        </w:rPr>
        <w:t>2.1 Panel de Control y KPIs Dinámicos</w:t>
      </w:r>
    </w:p>
    <w:p>
      <w:pPr>
        <w:pStyle w:val="ListBullet"/>
      </w:pPr>
      <w:r>
        <w:t>Cajas de indicadores (KPIs) que agrupan proyectos por estado (En Proceso, Suspendidos, Por Iniciar).</w:t>
      </w:r>
    </w:p>
    <w:p>
      <w:pPr>
        <w:pStyle w:val="ListBullet"/>
      </w:pPr>
      <w:r>
        <w:t>Al pasar el mouse sobre una caja se despliega un resumen con semáforo: Al día (verde), Retraso Medio (amarillo), Retraso Crítico (rojo).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frontend/src/pages/Projects.jsx: Tooltip (TooltipProvider/TooltipContent, data-testid='kpi-tooltip-*') con las tres categorías 'Al día' (bg-emerald-400), 'Retraso Medio' (bg-amber-400) y 'Retraso Crítico' (bg-red-500). Proyectos cerrados cuentan como 'Al día'.</w:t>
      </w:r>
    </w:p>
    <w:p>
      <w:pPr>
        <w:pStyle w:val="Heading2"/>
      </w:pPr>
      <w:r>
        <w:rPr>
          <w:color w:val="16324F"/>
        </w:rPr>
        <w:t>2.2 Flujo de Cierre de un Proyecto Estándar</w:t>
      </w:r>
    </w:p>
    <w:p>
      <w:pPr>
        <w:pStyle w:val="ListBullet"/>
      </w:pPr>
      <w:r>
        <w:t>Modal 1 (Datos Técnicos): Componente (ej. Plugin WooCommerce) y Versión (ej. v2.4.1).</w:t>
      </w:r>
    </w:p>
    <w:p>
      <w:pPr>
        <w:pStyle w:val="ListBullet"/>
      </w:pPr>
      <w:r>
        <w:t>Modal 2 (Personalizar Comunicación): adjuntar archivos y correos adicionales en copia.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frontend/src/pages/Integrators.jsx: Modal 1 con close-componente-input / close-version-input (obligatorios); Modal 2 'Personalizar Comunicación' con anexos y extra_recipients; botón 'Cerrar y Certificar'. backend/routes/integrators.py: endpoint multipart (componente, version_componente, extra_recipients, files[]).</w:t>
      </w:r>
    </w:p>
    <w:p>
      <w:r>
        <w:rPr>
          <w:b/>
          <w:i w:val="0"/>
          <w:sz w:val="22"/>
        </w:rPr>
        <w:t>Excepción — Proyectos de Ambiente de Prueba:</w:t>
      </w:r>
    </w:p>
    <w:p>
      <w:pPr>
        <w:pStyle w:val="ListBullet"/>
      </w:pPr>
      <w:r>
        <w:t>El sistema únicamente lo retira de la vista de proyectos activos: sin modales, sin certificado, sin correos y sin afectar la grilla de integradores (flujo técnico directo).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backend/routes/integrators.py (~L697): if scope == 'test_environment' → BYPASS total; restaura el estatus previo, project_scope=None y retorna {bypass: True, notification: None}. No genera certificado ni dispara correo.</w:t>
      </w:r>
    </w:p>
    <w:p>
      <w:pPr>
        <w:pStyle w:val="Heading1"/>
      </w:pPr>
      <w:r>
        <w:rPr>
          <w:color w:val="16324F"/>
        </w:rPr>
        <w:t>Capítulo 3: Menú de Integradores (Gestión de Aliados)</w:t>
      </w:r>
    </w:p>
    <w:p>
      <w:pPr>
        <w:pStyle w:val="Heading2"/>
      </w:pPr>
      <w:r>
        <w:rPr>
          <w:color w:val="16324F"/>
        </w:rPr>
        <w:t>3.1 Comportamiento Post-Cierre (Inserción vs. Ampliación)</w:t>
      </w:r>
    </w:p>
    <w:p>
      <w:pPr>
        <w:pStyle w:val="ListBullet"/>
      </w:pPr>
      <w:r>
        <w:t>Nuevo Integrador o Componente: crea una fila completamente nueva en la grilla.</w:t>
      </w:r>
    </w:p>
    <w:p>
      <w:pPr>
        <w:pStyle w:val="ListBullet"/>
      </w:pPr>
      <w:r>
        <w:t>Ampliación: reemplaza los datos de texto del registro anterior (ficha actualizada).</w:t>
      </w:r>
    </w:p>
    <w:p>
      <w:pPr>
        <w:pStyle w:val="ListBullet"/>
      </w:pPr>
      <w:r>
        <w:t>Coexistencia con Ambientes de Prueba: el registro no desaparece ni se bloquea para ventas; aparece en ambos menús simultáneamente.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backend/routes/integrators.py: scope = 'expansion' si el tipo ya existe, si no 'component'/'new'. En 'expansion' (L751-768) se reemplaza (update) el registro Certificado del mismo binomio nombre+integration_type y se borra el de ampliación (una sola fila). Un 'test_environment' se considera activo y coexiste (L301) sin bloquear al integrador.</w:t>
      </w:r>
    </w:p>
    <w:p>
      <w:pPr>
        <w:pStyle w:val="Heading2"/>
      </w:pPr>
      <w:r>
        <w:rPr>
          <w:color w:val="16324F"/>
        </w:rPr>
        <w:t>3.2 Repositorio Multiversión de Certificados Digitales</w:t>
      </w:r>
    </w:p>
    <w:p>
      <w:pPr>
        <w:pStyle w:val="ListBullet"/>
      </w:pPr>
      <w:r>
        <w:t>Automatización: al cerrar un proyecto estándar se inyectan en el PDF Nombre, Aplicativo, Componente, Versión, Fecha y Medios de Pago concatenados por diagonal (/), y se guarda en la ficha.</w:t>
      </w:r>
    </w:p>
    <w:p>
      <w:pPr>
        <w:pStyle w:val="ListBullet"/>
      </w:pPr>
      <w:r>
        <w:t>Historial completo: nunca se sobreescribe; el indicador (📄 Certificados (N)) despliega un listado cronológico para visualizar (👁️) o descargar (📥), con botón + para subir PDF manualmente.</w:t>
      </w:r>
    </w:p>
    <w:p>
      <w:r>
        <w:rPr>
          <w:b/>
          <w:color w:val="B45309"/>
          <w:sz w:val="21"/>
        </w:rPr>
        <w:t>Auditoría: CUMPLE PARCIALMENTE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backend/routes/integrators.py: _generate_integration_certificate_pdf inyecta Tipo/Nombre, Componente-Versión, Aplicativo, Medios (unidos por ' / ') y Fecha ('Caracas, &lt;fecha&gt;'); _store_integrator_certificate persiste ACUMULATIVAMENTE (no sobreescribe). frontend IntegratorCertificatesCell.jsx: popover con listado cronológico (created_at), botón de DESCARGA (📥) y botón '+ Agregar' para subir PDF manual.</w:t>
      </w:r>
    </w:p>
    <w:p>
      <w:r>
        <w:rPr>
          <w:b/>
          <w:color w:val="B45309"/>
          <w:sz w:val="19"/>
        </w:rPr>
        <w:t xml:space="preserve">Recomendación / a fortalecer: </w:t>
      </w:r>
      <w:r>
        <w:rPr>
          <w:color w:val="B45309"/>
          <w:sz w:val="19"/>
        </w:rPr>
        <w:t>El popup de certificados del INTEGRADOR ofrece Descargar y Agregar, pero NO tiene botón de Visualizar (👁️) que sí describe el manual (el visor 👁️ sí existe en Comunicación Masiva). Recomendación: (a) agregar un botón 'Visualizar' al listado de certificados del integrador para alinear con el manual, o (b) ajustar el manual para indicar 'descargar' en este punto.</w:t>
      </w:r>
    </w:p>
    <w:p>
      <w:pPr>
        <w:pStyle w:val="Heading2"/>
      </w:pPr>
      <w:r>
        <w:rPr>
          <w:color w:val="16324F"/>
        </w:rPr>
        <w:t>3.3 Módulo de Comunicaciones Masivas (BCC)</w:t>
      </w:r>
    </w:p>
    <w:p>
      <w:pPr>
        <w:pStyle w:val="ListBullet"/>
      </w:pPr>
      <w:r>
        <w:t>Segmentación por "Tipo de Integración" para filtrar los integradores afectados.</w:t>
      </w:r>
    </w:p>
    <w:p>
      <w:pPr>
        <w:pStyle w:val="ListBullet"/>
      </w:pPr>
      <w:r>
        <w:t>Casilla maestra "Seleccionar Todos" los filtrados o selección uno a uno.</w:t>
      </w:r>
    </w:p>
    <w:p>
      <w:pPr>
        <w:pStyle w:val="ListBullet"/>
      </w:pPr>
      <w:r>
        <w:t>Elegir plantilla HTML de la biblioteca, adjuntar archivos del repositorio (validar con 👁️ / 📥) o subir un archivo local.</w:t>
      </w:r>
    </w:p>
    <w:p>
      <w:pPr>
        <w:pStyle w:val="ListBullet"/>
      </w:pPr>
      <w:r>
        <w:t>Privacidad obligatoria: al enviar, todos los destinatarios van en Copia Oculta (BCC).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frontend/src/components/MassCommunicationDialog.jsx: filtro por integration_type; casilla maestra (data-testid='mass-select-all', toggleAll) + individuales; selector de plantilla (email-templates?context=INTEGRADORES); adjuntos del repositorio con Visualizar (Eye) y Descargar + carga de archivos locales (input file múltiple). backend/routes/entity_communications.py (~L559,646): endpoint '/integrators/mass/communication' envía con bcc=recipients (copia oculta).</w:t>
      </w:r>
    </w:p>
    <w:p>
      <w:pPr>
        <w:pStyle w:val="Heading1"/>
      </w:pPr>
      <w:r>
        <w:rPr>
          <w:color w:val="16324F"/>
        </w:rPr>
        <w:t>Guía de Navegación Rápida de la Interfaz</w:t>
      </w:r>
    </w:p>
    <w:p>
      <w:pPr>
        <w:pStyle w:val="ListBullet"/>
      </w:pPr>
      <w:r>
        <w:t>Sin scroll horizontal forzado: columna de "Acciones" visible a la derecha en pantallas estándar.</w:t>
      </w:r>
    </w:p>
    <w:p>
      <w:r>
        <w:rPr>
          <w:b/>
          <w:color w:val="B45309"/>
          <w:sz w:val="21"/>
        </w:rPr>
        <w:t>Auditoría: CUMPLE PARCIALMENTE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La grilla de Integradores está optimizada para ancho estándar, pero en listas muy anchas se apoya en las barras de scroll horizontal (ver punto siguiente).</w:t>
      </w:r>
    </w:p>
    <w:p>
      <w:r>
        <w:rPr>
          <w:b/>
          <w:color w:val="B45309"/>
          <w:sz w:val="19"/>
        </w:rPr>
        <w:t xml:space="preserve">Recomendación / a fortalecer: </w:t>
      </w:r>
      <w:r>
        <w:rPr>
          <w:color w:val="B45309"/>
          <w:sz w:val="19"/>
        </w:rPr>
        <w:t>El manual afirma 'sin scroll horizontal' y a la vez describe una 'doble barra de scroll horizontal'. Sugerencia: unificar la redacción del manual: en resoluciones estándar no se requiere scroll, y para pantallas angostas/listas anchas están disponibles las barras dobles.</w:t>
      </w:r>
    </w:p>
    <w:p>
      <w:pPr>
        <w:pStyle w:val="ListBullet"/>
      </w:pPr>
      <w:r>
        <w:t>Doble barra de desplazamiento horizontal (superior e inferior) sincronizada.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frontend/src/pages/Integrators.jsx (L122-137): topScrollRef + bottomScrollRef con handlers handleTopScroll/handleBottomScroll que sincronizan scrollLeft (bandera scrollSyncing anti-eco).</w:t>
      </w:r>
    </w:p>
    <w:p>
      <w:pPr>
        <w:pStyle w:val="ListBullet"/>
      </w:pPr>
      <w:r>
        <w:t>Edición segura de plantillas: scroll vertical interno y pie de página fijo; el botón "Guardar" siempre visible.</w:t>
      </w:r>
    </w:p>
    <w:p>
      <w:r>
        <w:rPr>
          <w:b/>
          <w:color w:val="15803D"/>
          <w:sz w:val="21"/>
        </w:rPr>
        <w:t>Auditoría: CUMPLE</w:t>
      </w:r>
    </w:p>
    <w:p>
      <w:r>
        <w:rPr>
          <w:b/>
          <w:color w:val="555F6B"/>
          <w:sz w:val="19"/>
        </w:rPr>
        <w:t xml:space="preserve">Evidencia en código: </w:t>
      </w:r>
      <w:r>
        <w:rPr>
          <w:color w:val="555F6B"/>
          <w:sz w:val="19"/>
        </w:rPr>
        <w:t>frontend/src/pages/EntityTemplatesConfig.jsx: DialogContent 'max-h-[90vh] flex flex-col'; cuerpo 'flex-1 min-h-0 overflow-y-auto'; footer con botón Guardar (entity-template-save-btn) fijo abajo.</w:t>
      </w:r>
    </w:p>
    <w:p>
      <w:r>
        <w:br w:type="page"/>
      </w:r>
    </w:p>
    <w:p>
      <w:pPr>
        <w:pStyle w:val="Heading1"/>
      </w:pPr>
      <w:r>
        <w:rPr>
          <w:color w:val="16324F"/>
        </w:rPr>
        <w:t>Resumen Ejecutivo de la Auditoría</w:t>
      </w:r>
    </w:p>
    <w:p>
      <w:r>
        <w:rPr>
          <w:b/>
          <w:i w:val="0"/>
          <w:sz w:val="22"/>
        </w:rPr>
        <w:t>De 12 reglas verificadas, 10 CUMPLEN en su totalidad y 2 CUMPLEN PARCIALMENTE (diferencias menores de UI/redacción). No se encontraron incumplimientos críticos.</w:t>
      </w:r>
    </w:p>
    <w:p>
      <w:r>
        <w:rPr>
          <w:b/>
          <w:i w:val="0"/>
          <w:sz w:val="22"/>
        </w:rPr>
        <w:t>Puntos a fortalecer (editables):</w:t>
      </w:r>
    </w:p>
    <w:p>
      <w:pPr>
        <w:pStyle w:val="ListBullet"/>
      </w:pPr>
      <w:r>
        <w:t>3.2 — Añadir botón "Visualizar" (👁️) al listado de certificados del integrador, o ajustar el manual a "descargar".</w:t>
      </w:r>
    </w:p>
    <w:p>
      <w:pPr>
        <w:pStyle w:val="ListBullet"/>
      </w:pPr>
      <w:r>
        <w:t>Navegación — Homologar la redacción "sin scroll horizontal" vs. "doble barra de scroll" para evitar ambigüedad.</w:t>
      </w:r>
    </w:p>
    <w:p>
      <w:r>
        <w:rPr>
          <w:b w:val="0"/>
          <w:i/>
          <w:color w:val="555F6B"/>
          <w:sz w:val="20"/>
        </w:rPr>
        <w:t>Nota: este documento es totalmente editable. Ajuste textos, agregue capturas de pantalla y complete las recomendaciones según las decisiones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