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Documento de Arquitectura</w:t>
      </w:r>
    </w:p>
    <w:p>
      <w:pPr>
        <w:jc w:val="center"/>
      </w:pPr>
      <w:r>
        <w:rPr>
          <w:color w:val="4B5563"/>
          <w:sz w:val="24"/>
        </w:rPr>
        <w:t>Visión general del sistema (SAD)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Resumen</w:t>
      </w:r>
    </w:p>
    <w:p>
      <w:r>
        <w:rPr>
          <w:b w:val="0"/>
          <w:i w:val="0"/>
          <w:sz w:val="22"/>
        </w:rPr>
        <w:t>Plataforma full-stack para la gestión del ciclo de vida comercial y técnico de los aliados de Mega Soft. Cubre cotizaciones, proyectos de implementación, integradores, inventario, catálogos, comunicaciones y reportes.</w:t>
      </w:r>
    </w:p>
    <w:p>
      <w:pPr>
        <w:pStyle w:val="Heading1"/>
      </w:pPr>
      <w:r>
        <w:rPr>
          <w:color w:val="142A45"/>
        </w:rPr>
        <w:t>2. Stack tecnológico</w:t>
      </w:r>
    </w:p>
    <w:p>
      <w:pPr>
        <w:pStyle w:val="ListBullet"/>
      </w:pPr>
      <w:r>
        <w:t>Frontend: React (SPA) + Tailwind CSS + ShadcnUI. Enrutamiento con React Router.</w:t>
      </w:r>
    </w:p>
    <w:p>
      <w:pPr>
        <w:pStyle w:val="ListBullet"/>
      </w:pPr>
      <w:r>
        <w:t>Backend: FastAPI (Python), servidor gestionado por Supervisor (uvicorn).</w:t>
      </w:r>
    </w:p>
    <w:p>
      <w:pPr>
        <w:pStyle w:val="ListBullet"/>
      </w:pPr>
      <w:r>
        <w:t>Base de datos: MongoDB (driver asíncrono Motor).</w:t>
      </w:r>
    </w:p>
    <w:p>
      <w:pPr>
        <w:pStyle w:val="ListBullet"/>
      </w:pPr>
      <w:r>
        <w:t>Generación de PDF: pdfplumber (lectura de anclas) + reportlab (dibujo).</w:t>
      </w:r>
    </w:p>
    <w:p>
      <w:pPr>
        <w:pStyle w:val="ListBullet"/>
      </w:pPr>
      <w:r>
        <w:t>Correo: SMTP (y Resend como alterno).</w:t>
      </w:r>
    </w:p>
    <w:p>
      <w:pPr>
        <w:pStyle w:val="Heading1"/>
      </w:pPr>
      <w:r>
        <w:rPr>
          <w:color w:val="142A45"/>
        </w:rPr>
        <w:t>3. Topología y enrutamiento</w:t>
      </w:r>
    </w:p>
    <w:p>
      <w:r>
        <w:rPr>
          <w:b w:val="0"/>
          <w:i w:val="0"/>
          <w:sz w:val="22"/>
        </w:rPr>
        <w:t>Los servicios corren dentro de un contenedor en Kubernetes:</w:t>
      </w:r>
    </w:p>
    <w:p>
      <w:pPr>
        <w:pStyle w:val="ListBullet"/>
      </w:pPr>
      <w:r>
        <w:t>Backend: 0.0.0.0:8001 (interno). Frontend: 3000 (interno).</w:t>
      </w:r>
    </w:p>
    <w:p>
      <w:pPr>
        <w:pStyle w:val="ListBullet"/>
      </w:pPr>
      <w:r>
        <w:t>Todas las rutas de API llevan el prefijo /api y el ingress las enruta al puerto 8001.</w:t>
      </w:r>
    </w:p>
    <w:p>
      <w:pPr>
        <w:pStyle w:val="ListBullet"/>
      </w:pPr>
      <w:r>
        <w:t>Las rutas sin /api van al frontend (puerto 3000).</w:t>
      </w:r>
    </w:p>
    <w:p>
      <w:r>
        <w:rPr>
          <w:rFonts w:ascii="Consolas" w:hAnsi="Consolas"/>
          <w:color w:val="24292E"/>
          <w:sz w:val="19"/>
        </w:rPr>
        <w:t>Navegador → Ingress → (/api/*) → FastAPI:8001 → MongoDB</w:t>
        <w:br/>
        <w:t xml:space="preserve">                    → (resto)  → React:3000</w:t>
      </w:r>
    </w:p>
    <w:p>
      <w:r>
        <w:rPr>
          <w:b/>
          <w:color w:val="B45309"/>
          <w:sz w:val="21"/>
        </w:rPr>
        <w:t xml:space="preserve">Importante: </w:t>
      </w:r>
      <w:r>
        <w:rPr>
          <w:color w:val="B45309"/>
          <w:sz w:val="21"/>
        </w:rPr>
        <w:t>El frontend debe usar SIEMPRE process.env.REACT_APP_BACKEND_URL; el backend usa MONGO_URL/DB_NAME desde variables de entorno. No se hardcodean URLs ni credenciales.</w:t>
      </w:r>
    </w:p>
    <w:p>
      <w:pPr>
        <w:pStyle w:val="Heading1"/>
      </w:pPr>
      <w:r>
        <w:rPr>
          <w:color w:val="142A45"/>
        </w:rPr>
        <w:t>4. Módulos funcionales principales</w:t>
      </w:r>
    </w:p>
    <w:p>
      <w:pPr>
        <w:pStyle w:val="ListBullet"/>
      </w:pPr>
      <w:r>
        <w:t>Cotizaciones (comercial): propuestas de Equipos, Accesorios y Reparaciones.</w:t>
      </w:r>
    </w:p>
    <w:p>
      <w:pPr>
        <w:pStyle w:val="ListBullet"/>
      </w:pPr>
      <w:r>
        <w:t>Proyectos (técnico/QA): seguimiento post-venta, SLA y cierre/certificación.</w:t>
      </w:r>
    </w:p>
    <w:p>
      <w:pPr>
        <w:pStyle w:val="ListBullet"/>
      </w:pPr>
      <w:r>
        <w:t>Integradores (aliados): registro maestro, certificados multiversión, comunicación masiva.</w:t>
      </w:r>
    </w:p>
    <w:p>
      <w:pPr>
        <w:pStyle w:val="ListBullet"/>
      </w:pPr>
      <w:r>
        <w:t>Catálogos: bancos, hardware, servicios, categorías comerciales, medios de pago.</w:t>
      </w:r>
    </w:p>
    <w:p>
      <w:pPr>
        <w:pStyle w:val="ListBullet"/>
      </w:pPr>
      <w:r>
        <w:t>Inventario y Taller: movimientos, seriales, almacenes, equipos en reparación.</w:t>
      </w:r>
    </w:p>
    <w:p>
      <w:pPr>
        <w:pStyle w:val="ListBullet"/>
      </w:pPr>
      <w:r>
        <w:t>Configuración: plantillas, remitentes, notificaciones, SLA, respaldos, calendario.</w:t>
      </w:r>
    </w:p>
    <w:p>
      <w:pPr>
        <w:pStyle w:val="Heading1"/>
      </w:pPr>
      <w:r>
        <w:rPr>
          <w:color w:val="142A45"/>
        </w:rPr>
        <w:t>5. Integraciones y componentes transversales</w:t>
      </w:r>
    </w:p>
    <w:p>
      <w:pPr>
        <w:pStyle w:val="ListBullet"/>
      </w:pPr>
      <w:r>
        <w:t>Motor de certificados PDF (ver documento dedicado).</w:t>
      </w:r>
    </w:p>
    <w:p>
      <w:pPr>
        <w:pStyle w:val="ListBullet"/>
      </w:pPr>
      <w:r>
        <w:t>Motor de notificaciones y plantillas (ver documento dedicado).</w:t>
      </w:r>
    </w:p>
    <w:p>
      <w:pPr>
        <w:pStyle w:val="ListBullet"/>
      </w:pPr>
      <w:r>
        <w:t>Centro de mensajes interno (inbox) y notificaciones push.</w:t>
      </w:r>
    </w:p>
    <w:p>
      <w:pPr>
        <w:pStyle w:val="ListBullet"/>
      </w:pPr>
      <w:r>
        <w:t>API externa protegida por API key (/api/external/*).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