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A45"/>
          <w:sz w:val="48"/>
        </w:rPr>
        <w:t>Notificaciones y Plantillas</w:t>
      </w:r>
    </w:p>
    <w:p>
      <w:pPr>
        <w:jc w:val="center"/>
      </w:pPr>
      <w:r>
        <w:rPr>
          <w:color w:val="4B5563"/>
          <w:sz w:val="24"/>
        </w:rPr>
        <w:t>Motor de correos, variables y acciones</w:t>
      </w:r>
    </w:p>
    <w:p>
      <w:pPr>
        <w:jc w:val="center"/>
      </w:pPr>
      <w:r>
        <w:rPr>
          <w:i/>
          <w:color w:val="4B5563"/>
          <w:sz w:val="18"/>
        </w:rPr>
        <w:t>Plataforma de Gestión Mega Soft · Documentación Técnica</w:t>
      </w:r>
    </w:p>
    <w:p/>
    <w:p>
      <w:pPr>
        <w:pStyle w:val="Heading1"/>
      </w:pPr>
      <w:r>
        <w:rPr>
          <w:color w:val="142A45"/>
        </w:rPr>
        <w:t>1. Plantillas de correo</w:t>
      </w:r>
    </w:p>
    <w:p>
      <w:pPr>
        <w:pStyle w:val="ListBullet"/>
      </w:pPr>
      <w:r>
        <w:t>Se almacenan en la colección email_templates, organizadas por contexto (ej. INTEGRADORES).</w:t>
      </w:r>
    </w:p>
    <w:p>
      <w:pPr>
        <w:pStyle w:val="ListBullet"/>
      </w:pPr>
      <w:r>
        <w:t>El editor de plantillas toma su paleta de variables de una fuente única en el frontend (templateVariables.js → VARIABLE_CATEGORIES).</w:t>
      </w:r>
    </w:p>
    <w:p>
      <w:pPr>
        <w:pStyle w:val="Heading1"/>
      </w:pPr>
      <w:r>
        <w:rPr>
          <w:color w:val="142A45"/>
        </w:rPr>
        <w:t>2. Sustitución de variables (_render)</w:t>
      </w:r>
    </w:p>
    <w:p>
      <w:pPr>
        <w:pStyle w:val="ListBullet"/>
      </w:pPr>
      <w:r>
        <w:t>services/notification_engine.py → _render(text, vars) reemplaza {Variable} y {{Variable}}.</w:t>
      </w:r>
    </w:p>
    <w:p>
      <w:pPr>
        <w:pStyle w:val="ListBullet"/>
      </w:pPr>
      <w:r>
        <w:t>Ejemplo: {Interfaz_Integrada} = "Componente - Versión" (idéntico al del certificado).</w:t>
      </w:r>
    </w:p>
    <w:p>
      <w:pPr>
        <w:pStyle w:val="Heading1"/>
      </w:pPr>
      <w:r>
        <w:rPr>
          <w:color w:val="142A45"/>
        </w:rPr>
        <w:t>3. Acciones configurables</w:t>
      </w:r>
    </w:p>
    <w:p>
      <w:pPr>
        <w:pStyle w:val="ListBullet"/>
      </w:pPr>
      <w:r>
        <w:t>action_notification_configs: acciones de Cotizaciones (destinatarios/plantilla por acción).</w:t>
      </w:r>
    </w:p>
    <w:p>
      <w:pPr>
        <w:pStyle w:val="ListBullet"/>
      </w:pPr>
      <w:r>
        <w:t>other_action_configs: otras acciones (Nuevos Productos, Proyectos de Integración).</w:t>
      </w:r>
    </w:p>
    <w:p>
      <w:pPr>
        <w:pStyle w:val="ListBullet"/>
      </w:pPr>
      <w:r>
        <w:t>El catálogo de variables por acción se expone vía /api/other-actions/catalog.</w:t>
      </w:r>
    </w:p>
    <w:p>
      <w:pPr>
        <w:pStyle w:val="Heading1"/>
      </w:pPr>
      <w:r>
        <w:rPr>
          <w:color w:val="142A45"/>
        </w:rPr>
        <w:t>4. Envío de correo</w:t>
      </w:r>
    </w:p>
    <w:p>
      <w:pPr>
        <w:pStyle w:val="ListBullet"/>
      </w:pPr>
      <w:r>
        <w:t>SMTP configurable por variables de entorno (SMTP_HOST/PORT/USER/PASSWORD, SENDER_EMAIL).</w:t>
      </w:r>
    </w:p>
    <w:p>
      <w:pPr>
        <w:pStyle w:val="ListBullet"/>
      </w:pPr>
      <w:r>
        <w:t>Comunicación masiva a integradores: envío en BCC (copia oculta) para preservar privacidad.</w:t>
      </w:r>
    </w:p>
    <w:p>
      <w:pPr>
        <w:pStyle w:val="ListBullet"/>
      </w:pPr>
      <w:r>
        <w:t>Adjuntos desde el repositorio (entity_documents) o archivos locales.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