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45"/>
          <w:sz w:val="48"/>
        </w:rPr>
        <w:t>Matriz de Permisos</w:t>
      </w:r>
    </w:p>
    <w:p>
      <w:pPr>
        <w:jc w:val="center"/>
      </w:pPr>
      <w:r>
        <w:rPr>
          <w:color w:val="4B5563"/>
          <w:sz w:val="24"/>
        </w:rPr>
        <w:t>Roles, departamentos y control de acceso (RBAC)</w:t>
      </w:r>
    </w:p>
    <w:p>
      <w:pPr>
        <w:jc w:val="center"/>
      </w:pPr>
      <w:r>
        <w:rPr>
          <w:i/>
          <w:color w:val="4B5563"/>
          <w:sz w:val="18"/>
        </w:rPr>
        <w:t>Plataforma de Gestión Mega Soft · Documentación Técnica</w:t>
      </w:r>
    </w:p>
    <w:p/>
    <w:p>
      <w:pPr>
        <w:pStyle w:val="Heading1"/>
      </w:pPr>
      <w:r>
        <w:rPr>
          <w:color w:val="142A45"/>
        </w:rPr>
        <w:t>1. Modelo de acceso</w:t>
      </w:r>
    </w:p>
    <w:p>
      <w:pPr>
        <w:pStyle w:val="ListBullet"/>
      </w:pPr>
      <w:r>
        <w:t>Cada usuario tiene un rol (ej. admin) y un departamento.</w:t>
      </w:r>
    </w:p>
    <w:p>
      <w:pPr>
        <w:pStyle w:val="ListBullet"/>
      </w:pPr>
      <w:r>
        <w:t>Permisos por grupos de menú, permisos específicos y permisos especiales (special_permissions).</w:t>
      </w:r>
    </w:p>
    <w:p>
      <w:pPr>
        <w:pStyle w:val="ListBullet"/>
      </w:pPr>
      <w:r>
        <w:t>Perfiles (profiles) permiten reutilizar conjuntos de permisos.</w:t>
      </w:r>
    </w:p>
    <w:p>
      <w:pPr>
        <w:pStyle w:val="Heading1"/>
      </w:pPr>
      <w:r>
        <w:rPr>
          <w:color w:val="142A45"/>
        </w:rPr>
        <w:t>2. Permisos especiales detectados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Permiso</w:t>
            </w:r>
          </w:p>
        </w:tc>
        <w:tc>
          <w:tcPr>
            <w:tcW w:type="dxa" w:w="5616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cotizaciones:equipos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Acceso al flujo de cotizaciones de equipos.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integradores:mass_comm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Uso de la Comunicación Masiva a integradores.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reportes_ventas:executive_summary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Ver el resumen ejecutivo de reportes de ventas.</w:t>
            </w:r>
          </w:p>
        </w:tc>
      </w:tr>
    </w:tbl>
    <w:p>
      <w:pPr>
        <w:pStyle w:val="Heading1"/>
      </w:pPr>
      <w:r>
        <w:rPr>
          <w:color w:val="142A45"/>
        </w:rPr>
        <w:t>3. Administración de usuarios (endpoints)</w:t>
      </w:r>
    </w:p>
    <w:p>
      <w:pPr>
        <w:pStyle w:val="ListBullet"/>
      </w:pPr>
      <w:r>
        <w:t>/api/admin/users (CRUD, estado, rol, permisos, permisos especiales, almacén, supervisor).</w:t>
      </w:r>
    </w:p>
    <w:p>
      <w:pPr>
        <w:pStyle w:val="ListBullet"/>
      </w:pPr>
      <w:r>
        <w:t>/api/admin/users/{id}/reset-password y /audit (auditoría por usuario).</w:t>
      </w:r>
    </w:p>
    <w:p>
      <w:pPr>
        <w:pStyle w:val="ListBullet"/>
      </w:pPr>
      <w:r>
        <w:t>/api/admin/executives/orphaned y /reassign (reasignación de ejecutivos).</w:t>
      </w:r>
    </w:p>
    <w:p>
      <w:pPr>
        <w:pStyle w:val="Heading1"/>
      </w:pPr>
      <w:r>
        <w:rPr>
          <w:color w:val="142A45"/>
        </w:rPr>
        <w:t>4. Reglas de negocio relevantes</w:t>
      </w:r>
    </w:p>
    <w:p>
      <w:pPr>
        <w:pStyle w:val="ListBullet"/>
      </w:pPr>
      <w:r>
        <w:t>Pertenencia de cotizaciones al departamento del creador (inmutable ante transferencias).</w:t>
      </w:r>
    </w:p>
    <w:p>
      <w:pPr>
        <w:pStyle w:val="ListBullet"/>
      </w:pPr>
      <w:r>
        <w:t>Overrides de acción por email estable (quote_action_overrides).</w:t>
      </w:r>
    </w:p>
    <w:p>
      <w:r>
        <w:rPr>
          <w:b/>
          <w:color w:val="1D4ED8"/>
          <w:sz w:val="21"/>
        </w:rPr>
        <w:t xml:space="preserve">Nota: </w:t>
      </w:r>
      <w:r>
        <w:rPr>
          <w:color w:val="1D4ED8"/>
          <w:sz w:val="21"/>
        </w:rPr>
        <w:t>Recomendación: completar esta matriz con la lista exacta de acciones por rol según las políticas internas; la base técnica ya está implementada.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