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5"/>
          <w:sz w:val="48"/>
        </w:rPr>
        <w:t>Guía de QA</w:t>
      </w:r>
    </w:p>
    <w:p>
      <w:pPr>
        <w:jc w:val="center"/>
      </w:pPr>
      <w:r>
        <w:rPr>
          <w:color w:val="4B5563"/>
          <w:sz w:val="24"/>
        </w:rPr>
        <w:t>Casos de prueba de flujos críticos</w:t>
      </w:r>
    </w:p>
    <w:p>
      <w:pPr>
        <w:jc w:val="center"/>
      </w:pPr>
      <w:r>
        <w:rPr>
          <w:i/>
          <w:color w:val="4B5563"/>
          <w:sz w:val="18"/>
        </w:rPr>
        <w:t>Plataforma de Gestión Mega Soft · Documentación Técnica</w:t>
      </w:r>
    </w:p>
    <w:p/>
    <w:p>
      <w:pPr>
        <w:pStyle w:val="Heading1"/>
      </w:pPr>
      <w:r>
        <w:rPr>
          <w:color w:val="142A45"/>
        </w:rPr>
        <w:t>1. Credenciales de prueba</w:t>
      </w:r>
    </w:p>
    <w:p>
      <w:pPr>
        <w:pStyle w:val="ListBullet"/>
      </w:pPr>
      <w:r>
        <w:t>Admin: rgonzalez@megasoft.com.ve / admin123.</w:t>
      </w:r>
    </w:p>
    <w:p>
      <w:pPr>
        <w:pStyle w:val="ListBullet"/>
      </w:pPr>
      <w:r>
        <w:t>Usuario Equipos: agodoy@megasoft.com.ve / Test1234!.</w:t>
      </w:r>
    </w:p>
    <w:p>
      <w:pPr>
        <w:pStyle w:val="Heading1"/>
      </w:pPr>
      <w:r>
        <w:rPr>
          <w:color w:val="142A45"/>
        </w:rPr>
        <w:t>2. Flujos críticos a verificar</w:t>
      </w:r>
    </w:p>
    <w:p>
      <w:pPr>
        <w:pStyle w:val="Heading3"/>
      </w:pPr>
      <w:r>
        <w:rPr>
          <w:color w:val="142A45"/>
        </w:rPr>
        <w:t>Cotizaciones</w:t>
      </w:r>
    </w:p>
    <w:p>
      <w:pPr>
        <w:pStyle w:val="ListNumber"/>
      </w:pPr>
      <w:r>
        <w:t>Crear cotización (Equipos Corp/Pyme, Accesorios, Reparación) y validar totales.</w:t>
      </w:r>
    </w:p>
    <w:p>
      <w:pPr>
        <w:pStyle w:val="ListNumber"/>
      </w:pPr>
      <w:r>
        <w:t>Recorrer el ciclo de estados (Borrador → Enviada → Aprobada → Implementación → Entrega).</w:t>
      </w:r>
    </w:p>
    <w:p>
      <w:pPr>
        <w:pStyle w:val="ListNumber"/>
      </w:pPr>
      <w:r>
        <w:t>Regularizar una cotización en estado irregular (dry-run + aplicar).</w:t>
      </w:r>
    </w:p>
    <w:p>
      <w:pPr>
        <w:pStyle w:val="ListNumber"/>
      </w:pPr>
      <w:r>
        <w:t>Restaurar anexos ZIP y verificar barra de progreso, contadores y ETA.</w:t>
      </w:r>
    </w:p>
    <w:p>
      <w:pPr>
        <w:pStyle w:val="Heading3"/>
      </w:pPr>
      <w:r>
        <w:rPr>
          <w:color w:val="142A45"/>
        </w:rPr>
        <w:t>Proyectos</w:t>
      </w:r>
    </w:p>
    <w:p>
      <w:pPr>
        <w:pStyle w:val="ListNumber"/>
      </w:pPr>
      <w:r>
        <w:t>Verificar KPIs y el tooltip de semáforo (Al día / Retraso Medio / Retraso Crítico).</w:t>
      </w:r>
    </w:p>
    <w:p>
      <w:pPr>
        <w:pStyle w:val="ListNumber"/>
      </w:pPr>
      <w:r>
        <w:t>Asignar y reasignar (individual y por lote) con motivo obligatorio.</w:t>
      </w:r>
    </w:p>
    <w:p>
      <w:pPr>
        <w:pStyle w:val="ListNumber"/>
      </w:pPr>
      <w:r>
        <w:t>Cerrar proyecto estándar (Modal 1 Componente/Versión + Modal 2 comunicación).</w:t>
      </w:r>
    </w:p>
    <w:p>
      <w:pPr>
        <w:pStyle w:val="ListNumber"/>
      </w:pPr>
      <w:r>
        <w:t>Cerrar proyecto Ambiente de Prueba: confirmar bypass total (sin certificado ni correos).</w:t>
      </w:r>
    </w:p>
    <w:p>
      <w:pPr>
        <w:pStyle w:val="Heading3"/>
      </w:pPr>
      <w:r>
        <w:rPr>
          <w:color w:val="142A45"/>
        </w:rPr>
        <w:t>Integradores</w:t>
      </w:r>
    </w:p>
    <w:p>
      <w:pPr>
        <w:pStyle w:val="ListNumber"/>
      </w:pPr>
      <w:r>
        <w:t>Verificar inserción vs. ampliación tras cierres de proyecto.</w:t>
      </w:r>
    </w:p>
    <w:p>
      <w:pPr>
        <w:pStyle w:val="ListNumber"/>
      </w:pPr>
      <w:r>
        <w:t>Certificados multiversión: listar, descargar y agregar PDF manual.</w:t>
      </w:r>
    </w:p>
    <w:p>
      <w:pPr>
        <w:pStyle w:val="ListNumber"/>
      </w:pPr>
      <w:r>
        <w:t>Comunicación masiva: filtrar por tipo, seleccionar todos, plantilla, adjuntos y envío BCC.</w:t>
      </w:r>
    </w:p>
    <w:p>
      <w:r>
        <w:rPr>
          <w:b/>
          <w:color w:val="15803D"/>
          <w:sz w:val="21"/>
        </w:rPr>
        <w:t xml:space="preserve">Consejo: </w:t>
      </w:r>
      <w:r>
        <w:rPr>
          <w:color w:val="15803D"/>
          <w:sz w:val="21"/>
        </w:rPr>
        <w:t>Todos los elementos interactivos exponen data-testid, lo que permite automatizar estos flujos con Playwright de forma estable.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