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749"/>
        <w:gridCol w:w="1271"/>
        <w:gridCol w:w="991"/>
        <w:gridCol w:w="1129"/>
        <w:gridCol w:w="1271"/>
        <w:gridCol w:w="983"/>
      </w:tblGrid>
      <w:tr w:rsidR="00250993" w14:paraId="55D1FAC7" w14:textId="77777777" w:rsidTr="00250993">
        <w:tc>
          <w:tcPr>
            <w:tcW w:w="2122" w:type="dxa"/>
            <w:tcBorders>
              <w:bottom w:val="single" w:sz="4" w:space="0" w:color="auto"/>
            </w:tcBorders>
          </w:tcPr>
          <w:p w14:paraId="524DF046" w14:textId="77777777" w:rsidR="00536405" w:rsidRDefault="00536405"/>
        </w:tc>
        <w:tc>
          <w:tcPr>
            <w:tcW w:w="708" w:type="dxa"/>
            <w:tcBorders>
              <w:bottom w:val="single" w:sz="4" w:space="0" w:color="auto"/>
            </w:tcBorders>
          </w:tcPr>
          <w:p w14:paraId="13079D00" w14:textId="1BEC1F08" w:rsidR="00536405" w:rsidRDefault="00536405" w:rsidP="00250993">
            <w:pPr>
              <w:jc w:val="center"/>
            </w:pPr>
            <w:r>
              <w:t>Min.</w:t>
            </w:r>
          </w:p>
        </w:tc>
        <w:tc>
          <w:tcPr>
            <w:tcW w:w="1276" w:type="dxa"/>
            <w:tcBorders>
              <w:bottom w:val="single" w:sz="4" w:space="0" w:color="auto"/>
            </w:tcBorders>
          </w:tcPr>
          <w:p w14:paraId="261ECE3C" w14:textId="51C4FC19" w:rsidR="00536405" w:rsidRDefault="00536405" w:rsidP="00250993">
            <w:pPr>
              <w:jc w:val="center"/>
            </w:pPr>
            <w:r>
              <w:t>1st Quartil</w:t>
            </w:r>
          </w:p>
        </w:tc>
        <w:tc>
          <w:tcPr>
            <w:tcW w:w="992" w:type="dxa"/>
            <w:tcBorders>
              <w:bottom w:val="single" w:sz="4" w:space="0" w:color="auto"/>
            </w:tcBorders>
          </w:tcPr>
          <w:p w14:paraId="06DAA759" w14:textId="3B4DA460" w:rsidR="00536405" w:rsidRDefault="00536405" w:rsidP="00250993">
            <w:pPr>
              <w:jc w:val="center"/>
            </w:pPr>
            <w:r>
              <w:t>Median</w:t>
            </w:r>
          </w:p>
        </w:tc>
        <w:tc>
          <w:tcPr>
            <w:tcW w:w="1134" w:type="dxa"/>
            <w:tcBorders>
              <w:bottom w:val="single" w:sz="4" w:space="0" w:color="auto"/>
            </w:tcBorders>
          </w:tcPr>
          <w:p w14:paraId="0D52A2C1" w14:textId="51C1361F" w:rsidR="00536405" w:rsidRDefault="00536405" w:rsidP="00250993">
            <w:pPr>
              <w:jc w:val="center"/>
            </w:pPr>
            <w:r>
              <w:t>Mean</w:t>
            </w:r>
          </w:p>
        </w:tc>
        <w:tc>
          <w:tcPr>
            <w:tcW w:w="1276" w:type="dxa"/>
            <w:tcBorders>
              <w:bottom w:val="single" w:sz="4" w:space="0" w:color="auto"/>
            </w:tcBorders>
          </w:tcPr>
          <w:p w14:paraId="363A7A0A" w14:textId="0CFED92D" w:rsidR="00536405" w:rsidRDefault="00536405" w:rsidP="00250993">
            <w:pPr>
              <w:jc w:val="center"/>
            </w:pPr>
            <w:r>
              <w:t>3rd Quartil</w:t>
            </w:r>
          </w:p>
        </w:tc>
        <w:tc>
          <w:tcPr>
            <w:tcW w:w="986" w:type="dxa"/>
            <w:tcBorders>
              <w:bottom w:val="single" w:sz="4" w:space="0" w:color="auto"/>
            </w:tcBorders>
          </w:tcPr>
          <w:p w14:paraId="7C68A6BF" w14:textId="4C6F42DB" w:rsidR="00536405" w:rsidRDefault="00536405" w:rsidP="00250993">
            <w:pPr>
              <w:jc w:val="center"/>
            </w:pPr>
            <w:r>
              <w:t>Max.</w:t>
            </w:r>
          </w:p>
        </w:tc>
      </w:tr>
      <w:tr w:rsidR="00250993" w14:paraId="05C1C78C" w14:textId="77777777" w:rsidTr="00250993">
        <w:tc>
          <w:tcPr>
            <w:tcW w:w="2122" w:type="dxa"/>
            <w:tcBorders>
              <w:top w:val="single" w:sz="4" w:space="0" w:color="auto"/>
              <w:bottom w:val="single" w:sz="4" w:space="0" w:color="auto"/>
            </w:tcBorders>
          </w:tcPr>
          <w:p w14:paraId="738E74D7" w14:textId="4CB7FC3E" w:rsidR="00536405" w:rsidRDefault="00536405">
            <w:r>
              <w:t>DEA</w:t>
            </w:r>
            <w:r w:rsidR="0056671B">
              <w:t xml:space="preserve"> radial model</w:t>
            </w:r>
          </w:p>
        </w:tc>
        <w:tc>
          <w:tcPr>
            <w:tcW w:w="708" w:type="dxa"/>
            <w:tcBorders>
              <w:top w:val="single" w:sz="4" w:space="0" w:color="auto"/>
              <w:bottom w:val="single" w:sz="4" w:space="0" w:color="auto"/>
            </w:tcBorders>
          </w:tcPr>
          <w:p w14:paraId="3B25400F" w14:textId="54B33E0C" w:rsidR="00536405" w:rsidRDefault="00536405" w:rsidP="003F6834">
            <w:pPr>
              <w:jc w:val="center"/>
            </w:pPr>
            <w:r>
              <w:t>1</w:t>
            </w:r>
            <w:r w:rsidR="001503C6">
              <w:t>.000</w:t>
            </w:r>
          </w:p>
        </w:tc>
        <w:tc>
          <w:tcPr>
            <w:tcW w:w="1276" w:type="dxa"/>
            <w:tcBorders>
              <w:top w:val="single" w:sz="4" w:space="0" w:color="auto"/>
              <w:bottom w:val="single" w:sz="4" w:space="0" w:color="auto"/>
            </w:tcBorders>
          </w:tcPr>
          <w:p w14:paraId="1F176547" w14:textId="5D813796" w:rsidR="00536405" w:rsidRDefault="001503C6" w:rsidP="003F6834">
            <w:pPr>
              <w:jc w:val="center"/>
            </w:pPr>
            <w:r>
              <w:t>1.058</w:t>
            </w:r>
          </w:p>
        </w:tc>
        <w:tc>
          <w:tcPr>
            <w:tcW w:w="992" w:type="dxa"/>
            <w:tcBorders>
              <w:top w:val="single" w:sz="4" w:space="0" w:color="auto"/>
              <w:bottom w:val="single" w:sz="4" w:space="0" w:color="auto"/>
            </w:tcBorders>
          </w:tcPr>
          <w:p w14:paraId="5F9528DC" w14:textId="6DB1B8DE" w:rsidR="00536405" w:rsidRDefault="001503C6" w:rsidP="003F6834">
            <w:pPr>
              <w:jc w:val="center"/>
            </w:pPr>
            <w:r>
              <w:t>1.096</w:t>
            </w:r>
          </w:p>
        </w:tc>
        <w:tc>
          <w:tcPr>
            <w:tcW w:w="1134" w:type="dxa"/>
            <w:tcBorders>
              <w:top w:val="single" w:sz="4" w:space="0" w:color="auto"/>
              <w:bottom w:val="single" w:sz="4" w:space="0" w:color="auto"/>
            </w:tcBorders>
          </w:tcPr>
          <w:p w14:paraId="784D787A" w14:textId="6D69B0F9" w:rsidR="00536405" w:rsidRDefault="001503C6" w:rsidP="003F6834">
            <w:pPr>
              <w:jc w:val="center"/>
            </w:pPr>
            <w:r>
              <w:t>1.101</w:t>
            </w:r>
          </w:p>
        </w:tc>
        <w:tc>
          <w:tcPr>
            <w:tcW w:w="1276" w:type="dxa"/>
            <w:tcBorders>
              <w:top w:val="single" w:sz="4" w:space="0" w:color="auto"/>
              <w:bottom w:val="single" w:sz="4" w:space="0" w:color="auto"/>
            </w:tcBorders>
          </w:tcPr>
          <w:p w14:paraId="4F13EA7D" w14:textId="05722144" w:rsidR="00536405" w:rsidRDefault="001503C6" w:rsidP="003F6834">
            <w:pPr>
              <w:jc w:val="center"/>
            </w:pPr>
            <w:r>
              <w:t>1.136</w:t>
            </w:r>
          </w:p>
        </w:tc>
        <w:tc>
          <w:tcPr>
            <w:tcW w:w="986" w:type="dxa"/>
            <w:tcBorders>
              <w:top w:val="single" w:sz="4" w:space="0" w:color="auto"/>
              <w:bottom w:val="single" w:sz="4" w:space="0" w:color="auto"/>
            </w:tcBorders>
          </w:tcPr>
          <w:p w14:paraId="4A179527" w14:textId="7FD484EC" w:rsidR="00536405" w:rsidRDefault="001503C6" w:rsidP="003F6834">
            <w:pPr>
              <w:jc w:val="center"/>
            </w:pPr>
            <w:r>
              <w:t>1.348</w:t>
            </w:r>
          </w:p>
        </w:tc>
      </w:tr>
      <w:tr w:rsidR="00250993" w14:paraId="2126D19E" w14:textId="77777777" w:rsidTr="00250993">
        <w:tc>
          <w:tcPr>
            <w:tcW w:w="2122" w:type="dxa"/>
            <w:tcBorders>
              <w:top w:val="single" w:sz="4" w:space="0" w:color="auto"/>
              <w:bottom w:val="single" w:sz="4" w:space="0" w:color="auto"/>
            </w:tcBorders>
          </w:tcPr>
          <w:p w14:paraId="7610F92F" w14:textId="4EF44484" w:rsidR="00536405" w:rsidRDefault="00536405">
            <w:r>
              <w:t>SVM Polynomial</w:t>
            </w:r>
          </w:p>
        </w:tc>
        <w:tc>
          <w:tcPr>
            <w:tcW w:w="708" w:type="dxa"/>
            <w:tcBorders>
              <w:top w:val="single" w:sz="4" w:space="0" w:color="auto"/>
              <w:bottom w:val="single" w:sz="4" w:space="0" w:color="auto"/>
            </w:tcBorders>
          </w:tcPr>
          <w:p w14:paraId="04346A2D" w14:textId="6538F245" w:rsidR="00536405" w:rsidRDefault="001503C6" w:rsidP="003F6834">
            <w:pPr>
              <w:jc w:val="center"/>
            </w:pPr>
            <w:r>
              <w:t>0.005</w:t>
            </w:r>
          </w:p>
        </w:tc>
        <w:tc>
          <w:tcPr>
            <w:tcW w:w="1276" w:type="dxa"/>
            <w:tcBorders>
              <w:top w:val="single" w:sz="4" w:space="0" w:color="auto"/>
              <w:bottom w:val="single" w:sz="4" w:space="0" w:color="auto"/>
            </w:tcBorders>
          </w:tcPr>
          <w:p w14:paraId="69D9FB9D" w14:textId="33675749" w:rsidR="00536405" w:rsidRDefault="001503C6" w:rsidP="003F6834">
            <w:pPr>
              <w:jc w:val="center"/>
            </w:pPr>
            <w:r>
              <w:t>1.035</w:t>
            </w:r>
          </w:p>
        </w:tc>
        <w:tc>
          <w:tcPr>
            <w:tcW w:w="992" w:type="dxa"/>
            <w:tcBorders>
              <w:top w:val="single" w:sz="4" w:space="0" w:color="auto"/>
              <w:bottom w:val="single" w:sz="4" w:space="0" w:color="auto"/>
            </w:tcBorders>
          </w:tcPr>
          <w:p w14:paraId="6A96A9DF" w14:textId="387E105F" w:rsidR="00536405" w:rsidRDefault="001503C6" w:rsidP="003F6834">
            <w:pPr>
              <w:jc w:val="center"/>
            </w:pPr>
            <w:r>
              <w:t>1.075</w:t>
            </w:r>
          </w:p>
        </w:tc>
        <w:tc>
          <w:tcPr>
            <w:tcW w:w="1134" w:type="dxa"/>
            <w:tcBorders>
              <w:top w:val="single" w:sz="4" w:space="0" w:color="auto"/>
              <w:bottom w:val="single" w:sz="4" w:space="0" w:color="auto"/>
            </w:tcBorders>
          </w:tcPr>
          <w:p w14:paraId="30FFC92C" w14:textId="4FB02CF9" w:rsidR="00536405" w:rsidRDefault="001503C6" w:rsidP="003F6834">
            <w:pPr>
              <w:jc w:val="center"/>
            </w:pPr>
            <w:r>
              <w:t>1.072</w:t>
            </w:r>
          </w:p>
        </w:tc>
        <w:tc>
          <w:tcPr>
            <w:tcW w:w="1276" w:type="dxa"/>
            <w:tcBorders>
              <w:top w:val="single" w:sz="4" w:space="0" w:color="auto"/>
              <w:bottom w:val="single" w:sz="4" w:space="0" w:color="auto"/>
            </w:tcBorders>
          </w:tcPr>
          <w:p w14:paraId="5FD56BCF" w14:textId="431C4DCC" w:rsidR="00536405" w:rsidRDefault="001503C6" w:rsidP="003F6834">
            <w:pPr>
              <w:jc w:val="center"/>
            </w:pPr>
            <w:r>
              <w:t>1.115</w:t>
            </w:r>
          </w:p>
        </w:tc>
        <w:tc>
          <w:tcPr>
            <w:tcW w:w="986" w:type="dxa"/>
            <w:tcBorders>
              <w:top w:val="single" w:sz="4" w:space="0" w:color="auto"/>
              <w:bottom w:val="single" w:sz="4" w:space="0" w:color="auto"/>
            </w:tcBorders>
          </w:tcPr>
          <w:p w14:paraId="1995C156" w14:textId="7E1A8831" w:rsidR="00536405" w:rsidRDefault="001503C6" w:rsidP="003F6834">
            <w:pPr>
              <w:jc w:val="center"/>
            </w:pPr>
            <w:r>
              <w:t>1.305</w:t>
            </w:r>
          </w:p>
        </w:tc>
      </w:tr>
      <w:tr w:rsidR="00250993" w14:paraId="31680BD9" w14:textId="77777777" w:rsidTr="00250993">
        <w:tc>
          <w:tcPr>
            <w:tcW w:w="2122" w:type="dxa"/>
            <w:tcBorders>
              <w:top w:val="single" w:sz="4" w:space="0" w:color="auto"/>
              <w:bottom w:val="single" w:sz="4" w:space="0" w:color="auto"/>
            </w:tcBorders>
          </w:tcPr>
          <w:p w14:paraId="694457EA" w14:textId="57F5B477" w:rsidR="00536405" w:rsidRDefault="00536405" w:rsidP="00536405">
            <w:r>
              <w:t>Neuronal Network</w:t>
            </w:r>
          </w:p>
        </w:tc>
        <w:tc>
          <w:tcPr>
            <w:tcW w:w="708" w:type="dxa"/>
            <w:tcBorders>
              <w:top w:val="single" w:sz="4" w:space="0" w:color="auto"/>
              <w:bottom w:val="single" w:sz="4" w:space="0" w:color="auto"/>
            </w:tcBorders>
          </w:tcPr>
          <w:p w14:paraId="7DED8AB7" w14:textId="0083A4B2" w:rsidR="00536405" w:rsidRDefault="001503C6" w:rsidP="003F6834">
            <w:pPr>
              <w:jc w:val="center"/>
            </w:pPr>
            <w:r>
              <w:t>0.885</w:t>
            </w:r>
          </w:p>
        </w:tc>
        <w:tc>
          <w:tcPr>
            <w:tcW w:w="1276" w:type="dxa"/>
            <w:tcBorders>
              <w:top w:val="single" w:sz="4" w:space="0" w:color="auto"/>
              <w:bottom w:val="single" w:sz="4" w:space="0" w:color="auto"/>
            </w:tcBorders>
          </w:tcPr>
          <w:p w14:paraId="1CEF7F1A" w14:textId="58406ECD" w:rsidR="00536405" w:rsidRDefault="001503C6" w:rsidP="003F6834">
            <w:pPr>
              <w:jc w:val="center"/>
            </w:pPr>
            <w:r>
              <w:t>1.045</w:t>
            </w:r>
          </w:p>
        </w:tc>
        <w:tc>
          <w:tcPr>
            <w:tcW w:w="992" w:type="dxa"/>
            <w:tcBorders>
              <w:top w:val="single" w:sz="4" w:space="0" w:color="auto"/>
              <w:bottom w:val="single" w:sz="4" w:space="0" w:color="auto"/>
            </w:tcBorders>
          </w:tcPr>
          <w:p w14:paraId="2AEBBC39" w14:textId="1E5C4A66" w:rsidR="00536405" w:rsidRDefault="001503C6" w:rsidP="003F6834">
            <w:pPr>
              <w:jc w:val="center"/>
            </w:pPr>
            <w:r>
              <w:t>1.075</w:t>
            </w:r>
          </w:p>
        </w:tc>
        <w:tc>
          <w:tcPr>
            <w:tcW w:w="1134" w:type="dxa"/>
            <w:tcBorders>
              <w:top w:val="single" w:sz="4" w:space="0" w:color="auto"/>
              <w:bottom w:val="single" w:sz="4" w:space="0" w:color="auto"/>
            </w:tcBorders>
          </w:tcPr>
          <w:p w14:paraId="30A09DE4" w14:textId="1A4878FF" w:rsidR="00536405" w:rsidRDefault="001503C6" w:rsidP="003F6834">
            <w:pPr>
              <w:jc w:val="center"/>
            </w:pPr>
            <w:r>
              <w:t>1.082</w:t>
            </w:r>
          </w:p>
        </w:tc>
        <w:tc>
          <w:tcPr>
            <w:tcW w:w="1276" w:type="dxa"/>
            <w:tcBorders>
              <w:top w:val="single" w:sz="4" w:space="0" w:color="auto"/>
              <w:bottom w:val="single" w:sz="4" w:space="0" w:color="auto"/>
            </w:tcBorders>
          </w:tcPr>
          <w:p w14:paraId="1CD5FCBC" w14:textId="2251C2FE" w:rsidR="00536405" w:rsidRDefault="001503C6" w:rsidP="003F6834">
            <w:pPr>
              <w:jc w:val="center"/>
            </w:pPr>
            <w:r>
              <w:t>1.115</w:t>
            </w:r>
          </w:p>
        </w:tc>
        <w:tc>
          <w:tcPr>
            <w:tcW w:w="986" w:type="dxa"/>
            <w:tcBorders>
              <w:top w:val="single" w:sz="4" w:space="0" w:color="auto"/>
              <w:bottom w:val="single" w:sz="4" w:space="0" w:color="auto"/>
            </w:tcBorders>
          </w:tcPr>
          <w:p w14:paraId="584D8805" w14:textId="0291415B" w:rsidR="00536405" w:rsidRDefault="001503C6" w:rsidP="003F6834">
            <w:pPr>
              <w:jc w:val="center"/>
            </w:pPr>
            <w:r>
              <w:t>1.335</w:t>
            </w:r>
          </w:p>
        </w:tc>
      </w:tr>
    </w:tbl>
    <w:p w14:paraId="5DA93563" w14:textId="77777777" w:rsidR="00536405" w:rsidRDefault="00536405"/>
    <w:p w14:paraId="3BCD0D17" w14:textId="77777777" w:rsidR="00250993" w:rsidRDefault="00250993"/>
    <w:p w14:paraId="32E72F06" w14:textId="77777777" w:rsidR="00243CB1" w:rsidRPr="00243CB1" w:rsidRDefault="00243CB1" w:rsidP="00243CB1">
      <w:pPr>
        <w:jc w:val="both"/>
      </w:pPr>
      <w:r w:rsidRPr="00243CB1">
        <w:t>In Table 1,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Figure KERNEL, where the neural network scores are more concentrated around the mean, followed by SVM, and then the radial model. On the left tail, the scores estimated at 0.005 can be seen.</w:t>
      </w:r>
    </w:p>
    <w:p w14:paraId="6A03BAF7" w14:textId="77777777" w:rsidR="00243CB1" w:rsidRPr="00243CB1" w:rsidRDefault="00243CB1" w:rsidP="00243CB1">
      <w:pPr>
        <w:jc w:val="both"/>
      </w:pPr>
      <w:r w:rsidRPr="00243CB1">
        <w:t>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Neural Network. This suggests that DEA tends to give higher efficiency scores compared to the other techniques analyzed.</w:t>
      </w:r>
    </w:p>
    <w:p w14:paraId="2C288201" w14:textId="77777777" w:rsidR="00243CB1" w:rsidRPr="00243CB1" w:rsidRDefault="00243CB1" w:rsidP="00243CB1">
      <w:pPr>
        <w:jc w:val="both"/>
      </w:pPr>
      <w:r w:rsidRPr="00243CB1">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291025E6" w14:textId="77777777" w:rsidR="00243CB1" w:rsidRPr="00243CB1" w:rsidRDefault="00243CB1" w:rsidP="00243CB1">
      <w:pPr>
        <w:jc w:val="both"/>
      </w:pPr>
      <w:r w:rsidRPr="00243CB1">
        <w:t>A notable feature of using machine learning (ML) techniques to estimate efficiency scores is the ability to identify as inefficient observations that the radial model classifies as efficient, even when detecting super-efficiency. For example, this is evident in observations 9 and 28.</w:t>
      </w:r>
    </w:p>
    <w:p w14:paraId="341F7CEF" w14:textId="77777777" w:rsidR="002348E7" w:rsidRDefault="002348E7" w:rsidP="00956269">
      <w:pPr>
        <w:jc w:val="both"/>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2348E7" w:rsidRPr="002348E7" w14:paraId="5341991E" w14:textId="77777777" w:rsidTr="002348E7">
        <w:trPr>
          <w:trHeight w:val="315"/>
          <w:jc w:val="center"/>
        </w:trPr>
        <w:tc>
          <w:tcPr>
            <w:tcW w:w="960" w:type="dxa"/>
            <w:tcBorders>
              <w:top w:val="nil"/>
              <w:left w:val="nil"/>
              <w:bottom w:val="single" w:sz="8" w:space="0" w:color="auto"/>
              <w:right w:val="nil"/>
            </w:tcBorders>
            <w:shd w:val="clear" w:color="auto" w:fill="auto"/>
            <w:noWrap/>
            <w:vAlign w:val="bottom"/>
            <w:hideMark/>
          </w:tcPr>
          <w:p w14:paraId="72FE0254"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id</w:t>
            </w:r>
          </w:p>
        </w:tc>
        <w:tc>
          <w:tcPr>
            <w:tcW w:w="960" w:type="dxa"/>
            <w:tcBorders>
              <w:top w:val="nil"/>
              <w:left w:val="nil"/>
              <w:bottom w:val="single" w:sz="8" w:space="0" w:color="auto"/>
              <w:right w:val="nil"/>
            </w:tcBorders>
            <w:shd w:val="clear" w:color="auto" w:fill="auto"/>
            <w:noWrap/>
            <w:vAlign w:val="bottom"/>
            <w:hideMark/>
          </w:tcPr>
          <w:p w14:paraId="15AC38AB"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0B06BE2F"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1CBABE2F" w14:textId="56318AAB"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431ED1E3" w14:textId="270425C8"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1066CFE1" w14:textId="77777777" w:rsidR="002348E7" w:rsidRPr="002348E7" w:rsidRDefault="002348E7" w:rsidP="002348E7">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sDEA</w:t>
            </w:r>
          </w:p>
        </w:tc>
      </w:tr>
      <w:tr w:rsidR="002348E7" w:rsidRPr="002348E7" w14:paraId="687B3225"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69BFE7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97D407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551FFCE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735658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66840C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72D8211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0,974</w:t>
            </w:r>
          </w:p>
        </w:tc>
      </w:tr>
      <w:tr w:rsidR="002348E7" w:rsidRPr="002348E7" w14:paraId="5C39FEA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593FA2C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7953ED3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23BFBF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E34BCC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0,955</w:t>
            </w:r>
          </w:p>
        </w:tc>
        <w:tc>
          <w:tcPr>
            <w:tcW w:w="960" w:type="dxa"/>
            <w:tcBorders>
              <w:top w:val="nil"/>
              <w:left w:val="nil"/>
              <w:bottom w:val="single" w:sz="4" w:space="0" w:color="auto"/>
              <w:right w:val="nil"/>
            </w:tcBorders>
            <w:shd w:val="clear" w:color="auto" w:fill="auto"/>
            <w:noWrap/>
            <w:vAlign w:val="bottom"/>
            <w:hideMark/>
          </w:tcPr>
          <w:p w14:paraId="183BDC4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4B7ED83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0,899</w:t>
            </w:r>
          </w:p>
        </w:tc>
      </w:tr>
      <w:tr w:rsidR="002348E7" w:rsidRPr="002348E7" w14:paraId="609DB0C5"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7EA9D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B0470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0BA276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2AC79E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1,045</w:t>
            </w:r>
          </w:p>
        </w:tc>
        <w:tc>
          <w:tcPr>
            <w:tcW w:w="960" w:type="dxa"/>
            <w:tcBorders>
              <w:top w:val="nil"/>
              <w:left w:val="nil"/>
              <w:bottom w:val="single" w:sz="4" w:space="0" w:color="auto"/>
              <w:right w:val="nil"/>
            </w:tcBorders>
            <w:shd w:val="clear" w:color="auto" w:fill="auto"/>
            <w:noWrap/>
            <w:vAlign w:val="bottom"/>
            <w:hideMark/>
          </w:tcPr>
          <w:p w14:paraId="5DCCDD0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748D84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536F6D4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C9370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5F4AE18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56BBAD6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F8E1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7EFD24F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507FD73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0,936</w:t>
            </w:r>
          </w:p>
        </w:tc>
      </w:tr>
      <w:tr w:rsidR="002348E7" w:rsidRPr="002348E7" w14:paraId="7E0B6CB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4C148D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361525F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645E73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679895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4F96B5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3CE57C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w:t>
            </w:r>
          </w:p>
        </w:tc>
      </w:tr>
      <w:tr w:rsidR="002348E7" w:rsidRPr="002348E7" w14:paraId="29A409E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755FA5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5871203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06ECA9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37372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214CC2E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8DE77B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0,986</w:t>
            </w:r>
          </w:p>
        </w:tc>
      </w:tr>
      <w:tr w:rsidR="002348E7" w:rsidRPr="002348E7" w14:paraId="08E27DF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51D2CB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1B48AEF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4E6BF3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E768A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44A5585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163BA2D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0,992</w:t>
            </w:r>
          </w:p>
        </w:tc>
      </w:tr>
      <w:tr w:rsidR="002348E7" w:rsidRPr="002348E7" w14:paraId="6F1A728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406B26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3FF8406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31CAFDB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3752B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5110DB4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EB9205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4B1FC4E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4A7DB5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1695701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7DFA0EF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D1E5B5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1,055</w:t>
            </w:r>
          </w:p>
        </w:tc>
        <w:tc>
          <w:tcPr>
            <w:tcW w:w="960" w:type="dxa"/>
            <w:tcBorders>
              <w:top w:val="nil"/>
              <w:left w:val="nil"/>
              <w:bottom w:val="single" w:sz="4" w:space="0" w:color="auto"/>
              <w:right w:val="nil"/>
            </w:tcBorders>
            <w:shd w:val="clear" w:color="auto" w:fill="auto"/>
            <w:noWrap/>
            <w:vAlign w:val="bottom"/>
            <w:hideMark/>
          </w:tcPr>
          <w:p w14:paraId="10A44C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1,005</w:t>
            </w:r>
          </w:p>
        </w:tc>
        <w:tc>
          <w:tcPr>
            <w:tcW w:w="960" w:type="dxa"/>
            <w:tcBorders>
              <w:top w:val="nil"/>
              <w:left w:val="nil"/>
              <w:bottom w:val="single" w:sz="4" w:space="0" w:color="auto"/>
              <w:right w:val="nil"/>
            </w:tcBorders>
            <w:shd w:val="clear" w:color="auto" w:fill="auto"/>
            <w:noWrap/>
            <w:vAlign w:val="bottom"/>
            <w:hideMark/>
          </w:tcPr>
          <w:p w14:paraId="0A21BB6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0,951</w:t>
            </w:r>
          </w:p>
        </w:tc>
      </w:tr>
      <w:tr w:rsidR="002348E7" w:rsidRPr="002348E7" w14:paraId="32CDE95B"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CD17A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2B64D77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56AAF17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EE22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2B38117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10408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0,991</w:t>
            </w:r>
          </w:p>
        </w:tc>
      </w:tr>
      <w:tr w:rsidR="002348E7" w:rsidRPr="002348E7" w14:paraId="1AA9B8A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07E225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lastRenderedPageBreak/>
              <w:t>11</w:t>
            </w:r>
          </w:p>
        </w:tc>
        <w:tc>
          <w:tcPr>
            <w:tcW w:w="960" w:type="dxa"/>
            <w:tcBorders>
              <w:top w:val="nil"/>
              <w:left w:val="nil"/>
              <w:bottom w:val="single" w:sz="4" w:space="0" w:color="auto"/>
              <w:right w:val="nil"/>
            </w:tcBorders>
            <w:shd w:val="clear" w:color="auto" w:fill="auto"/>
            <w:noWrap/>
            <w:vAlign w:val="bottom"/>
            <w:hideMark/>
          </w:tcPr>
          <w:p w14:paraId="21F885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562473C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F7B764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4E7691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35BFD0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0,981</w:t>
            </w:r>
          </w:p>
        </w:tc>
      </w:tr>
      <w:tr w:rsidR="002348E7" w:rsidRPr="002348E7" w14:paraId="100E91AD"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C1CFCC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F1B88D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5E5E3C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537A2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D821D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3A946D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0,962</w:t>
            </w:r>
          </w:p>
        </w:tc>
      </w:tr>
      <w:tr w:rsidR="002348E7" w:rsidRPr="002348E7" w14:paraId="47F952C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9F753D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0584F9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16F1868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C2D7D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2FE0059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40423B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09DB194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2E9E68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223D860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2D4BDB9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2330A6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1,035</w:t>
            </w:r>
          </w:p>
        </w:tc>
        <w:tc>
          <w:tcPr>
            <w:tcW w:w="960" w:type="dxa"/>
            <w:tcBorders>
              <w:top w:val="nil"/>
              <w:left w:val="nil"/>
              <w:bottom w:val="single" w:sz="4" w:space="0" w:color="auto"/>
              <w:right w:val="nil"/>
            </w:tcBorders>
            <w:shd w:val="clear" w:color="auto" w:fill="auto"/>
            <w:noWrap/>
            <w:vAlign w:val="bottom"/>
            <w:hideMark/>
          </w:tcPr>
          <w:p w14:paraId="0B235BF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68B522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4B1A4F53"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56494D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EAF388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53194C6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C948A2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398483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BC54CA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0,992</w:t>
            </w:r>
          </w:p>
        </w:tc>
      </w:tr>
      <w:tr w:rsidR="002348E7" w:rsidRPr="002348E7" w14:paraId="749F116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B6206E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AAEDCE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15C4FD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D70F7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1CD18C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43C33E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0,979</w:t>
            </w:r>
          </w:p>
        </w:tc>
      </w:tr>
      <w:tr w:rsidR="002348E7" w:rsidRPr="002348E7" w14:paraId="6C7E8ABD"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56AC3D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3BE867B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DE002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D6FBE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5389EF6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DB24E9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0,959</w:t>
            </w:r>
          </w:p>
        </w:tc>
      </w:tr>
      <w:tr w:rsidR="002348E7" w:rsidRPr="002348E7" w14:paraId="24899F2E"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D9D6D5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2B79A0F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7420FA3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2B418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067DD1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0,885</w:t>
            </w:r>
          </w:p>
        </w:tc>
        <w:tc>
          <w:tcPr>
            <w:tcW w:w="960" w:type="dxa"/>
            <w:tcBorders>
              <w:top w:val="nil"/>
              <w:left w:val="nil"/>
              <w:bottom w:val="single" w:sz="4" w:space="0" w:color="auto"/>
              <w:right w:val="nil"/>
            </w:tcBorders>
            <w:shd w:val="clear" w:color="auto" w:fill="auto"/>
            <w:noWrap/>
            <w:vAlign w:val="bottom"/>
            <w:hideMark/>
          </w:tcPr>
          <w:p w14:paraId="23DB063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7A570A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EAC7A9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49E77BE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089E5C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3FC87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AFB90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FE3223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0,997</w:t>
            </w:r>
          </w:p>
        </w:tc>
      </w:tr>
      <w:tr w:rsidR="002348E7" w:rsidRPr="002348E7" w14:paraId="7033E416"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0DF7F2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391CBA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1E3DE62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7B458F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CC6B96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1EC46A6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w:t>
            </w:r>
          </w:p>
        </w:tc>
      </w:tr>
      <w:tr w:rsidR="002348E7" w:rsidRPr="002348E7" w14:paraId="7020717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1C20FF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5CEA2C0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EA8BB9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31C45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7246C6D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2047735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r>
      <w:tr w:rsidR="002348E7" w:rsidRPr="002348E7" w14:paraId="75B18D4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7AF0B6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01542DA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1567457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E0C71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0B43838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381AC2D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0,996</w:t>
            </w:r>
          </w:p>
        </w:tc>
      </w:tr>
      <w:tr w:rsidR="002348E7" w:rsidRPr="002348E7" w14:paraId="4DCA7ED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786524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370E89E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43CDAA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2511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5D2CF05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00DD5A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0,969</w:t>
            </w:r>
          </w:p>
        </w:tc>
      </w:tr>
      <w:tr w:rsidR="002348E7" w:rsidRPr="002348E7" w14:paraId="60E8FF8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C721FF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7141BA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0198A93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8A01B1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113CFE9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6C0041C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r>
      <w:tr w:rsidR="002348E7" w:rsidRPr="002348E7" w14:paraId="24AE8A2F"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659EF4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1E0FBC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5CB830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130B1C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64219B2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7849076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0,941</w:t>
            </w:r>
          </w:p>
        </w:tc>
      </w:tr>
      <w:tr w:rsidR="002348E7" w:rsidRPr="002348E7" w14:paraId="55E4C2B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56F7FFB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31A1D1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1BDB071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CAC1AB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0,935</w:t>
            </w:r>
          </w:p>
        </w:tc>
        <w:tc>
          <w:tcPr>
            <w:tcW w:w="960" w:type="dxa"/>
            <w:tcBorders>
              <w:top w:val="nil"/>
              <w:left w:val="nil"/>
              <w:bottom w:val="single" w:sz="4" w:space="0" w:color="auto"/>
              <w:right w:val="nil"/>
            </w:tcBorders>
            <w:shd w:val="clear" w:color="auto" w:fill="auto"/>
            <w:noWrap/>
            <w:vAlign w:val="bottom"/>
            <w:hideMark/>
          </w:tcPr>
          <w:p w14:paraId="31896D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003394E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0,964</w:t>
            </w:r>
          </w:p>
        </w:tc>
      </w:tr>
      <w:tr w:rsidR="002348E7" w:rsidRPr="002348E7" w14:paraId="285FFB12"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40E4A3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7342B5A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61401AB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34EB8B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1,045</w:t>
            </w:r>
          </w:p>
        </w:tc>
        <w:tc>
          <w:tcPr>
            <w:tcW w:w="960" w:type="dxa"/>
            <w:tcBorders>
              <w:top w:val="nil"/>
              <w:left w:val="nil"/>
              <w:bottom w:val="single" w:sz="4" w:space="0" w:color="auto"/>
              <w:right w:val="nil"/>
            </w:tcBorders>
            <w:shd w:val="clear" w:color="auto" w:fill="auto"/>
            <w:noWrap/>
            <w:vAlign w:val="bottom"/>
            <w:hideMark/>
          </w:tcPr>
          <w:p w14:paraId="2E1178E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1,025</w:t>
            </w:r>
          </w:p>
        </w:tc>
        <w:tc>
          <w:tcPr>
            <w:tcW w:w="960" w:type="dxa"/>
            <w:tcBorders>
              <w:top w:val="nil"/>
              <w:left w:val="nil"/>
              <w:bottom w:val="single" w:sz="4" w:space="0" w:color="auto"/>
              <w:right w:val="nil"/>
            </w:tcBorders>
            <w:shd w:val="clear" w:color="auto" w:fill="auto"/>
            <w:noWrap/>
            <w:vAlign w:val="bottom"/>
            <w:hideMark/>
          </w:tcPr>
          <w:p w14:paraId="6F58451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2B5DDA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52FA8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5FEA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AB40C9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53B9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1,055</w:t>
            </w:r>
          </w:p>
        </w:tc>
        <w:tc>
          <w:tcPr>
            <w:tcW w:w="960" w:type="dxa"/>
            <w:tcBorders>
              <w:top w:val="nil"/>
              <w:left w:val="nil"/>
              <w:bottom w:val="single" w:sz="4" w:space="0" w:color="auto"/>
              <w:right w:val="nil"/>
            </w:tcBorders>
            <w:shd w:val="clear" w:color="auto" w:fill="auto"/>
            <w:noWrap/>
            <w:vAlign w:val="bottom"/>
            <w:hideMark/>
          </w:tcPr>
          <w:p w14:paraId="3EFC4EE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706BCD7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0,954</w:t>
            </w:r>
          </w:p>
        </w:tc>
      </w:tr>
      <w:tr w:rsidR="002348E7" w:rsidRPr="002348E7" w14:paraId="7B01077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605ACC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62C24F65"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36CAE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65E84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5F8CBE8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57595C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0,982</w:t>
            </w:r>
          </w:p>
        </w:tc>
      </w:tr>
      <w:tr w:rsidR="002348E7" w:rsidRPr="002348E7" w14:paraId="351F3E0A"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187E4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0555E9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4BFDEFD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7E5F02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7B3AF01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1F19A01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68A4BB0B"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A9BDB8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18409D7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E66BA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FBD863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1,075</w:t>
            </w:r>
          </w:p>
        </w:tc>
        <w:tc>
          <w:tcPr>
            <w:tcW w:w="960" w:type="dxa"/>
            <w:tcBorders>
              <w:top w:val="nil"/>
              <w:left w:val="nil"/>
              <w:bottom w:val="single" w:sz="4" w:space="0" w:color="auto"/>
              <w:right w:val="nil"/>
            </w:tcBorders>
            <w:shd w:val="clear" w:color="auto" w:fill="auto"/>
            <w:noWrap/>
            <w:vAlign w:val="bottom"/>
            <w:hideMark/>
          </w:tcPr>
          <w:p w14:paraId="24D2D8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0,995</w:t>
            </w:r>
          </w:p>
        </w:tc>
        <w:tc>
          <w:tcPr>
            <w:tcW w:w="960" w:type="dxa"/>
            <w:tcBorders>
              <w:top w:val="nil"/>
              <w:left w:val="nil"/>
              <w:bottom w:val="single" w:sz="4" w:space="0" w:color="auto"/>
              <w:right w:val="nil"/>
            </w:tcBorders>
            <w:shd w:val="clear" w:color="auto" w:fill="auto"/>
            <w:noWrap/>
            <w:vAlign w:val="bottom"/>
            <w:hideMark/>
          </w:tcPr>
          <w:p w14:paraId="47D8F11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2348E7" w:rsidRPr="002348E7" w14:paraId="75B8C32C"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2A872B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634652B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1BDF133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7F0E05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4EDAA4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4E9504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0,998</w:t>
            </w:r>
          </w:p>
        </w:tc>
      </w:tr>
      <w:tr w:rsidR="002348E7" w:rsidRPr="002348E7" w14:paraId="486AA378"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C246EF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2CC1B68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1E830BE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46BF6E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5CECDEC7"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062B5BB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0,994</w:t>
            </w:r>
          </w:p>
        </w:tc>
      </w:tr>
      <w:tr w:rsidR="002348E7" w:rsidRPr="002348E7" w14:paraId="1367D5B7"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E0E159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3D5E803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6D69B9A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C056A8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46D3C17C"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0,955</w:t>
            </w:r>
          </w:p>
        </w:tc>
        <w:tc>
          <w:tcPr>
            <w:tcW w:w="960" w:type="dxa"/>
            <w:tcBorders>
              <w:top w:val="nil"/>
              <w:left w:val="nil"/>
              <w:bottom w:val="single" w:sz="4" w:space="0" w:color="auto"/>
              <w:right w:val="nil"/>
            </w:tcBorders>
            <w:shd w:val="clear" w:color="auto" w:fill="auto"/>
            <w:noWrap/>
            <w:vAlign w:val="bottom"/>
            <w:hideMark/>
          </w:tcPr>
          <w:p w14:paraId="44B29E1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0,947</w:t>
            </w:r>
          </w:p>
        </w:tc>
      </w:tr>
      <w:tr w:rsidR="002348E7" w:rsidRPr="002348E7" w14:paraId="07756710"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117E7C8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3C7C704E"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0CED46B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5BDAC6D"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1,025</w:t>
            </w:r>
          </w:p>
        </w:tc>
        <w:tc>
          <w:tcPr>
            <w:tcW w:w="960" w:type="dxa"/>
            <w:tcBorders>
              <w:top w:val="nil"/>
              <w:left w:val="nil"/>
              <w:bottom w:val="single" w:sz="4" w:space="0" w:color="auto"/>
              <w:right w:val="nil"/>
            </w:tcBorders>
            <w:shd w:val="clear" w:color="auto" w:fill="auto"/>
            <w:noWrap/>
            <w:vAlign w:val="bottom"/>
            <w:hideMark/>
          </w:tcPr>
          <w:p w14:paraId="588C86F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2221D85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w:t>
            </w:r>
          </w:p>
        </w:tc>
      </w:tr>
      <w:tr w:rsidR="002348E7" w:rsidRPr="002348E7" w14:paraId="1B468ED7"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3DFF820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0E2CA07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6113A44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9913AF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638FD80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0,975</w:t>
            </w:r>
          </w:p>
        </w:tc>
        <w:tc>
          <w:tcPr>
            <w:tcW w:w="960" w:type="dxa"/>
            <w:tcBorders>
              <w:top w:val="nil"/>
              <w:left w:val="nil"/>
              <w:bottom w:val="single" w:sz="4" w:space="0" w:color="auto"/>
              <w:right w:val="nil"/>
            </w:tcBorders>
            <w:shd w:val="clear" w:color="auto" w:fill="auto"/>
            <w:noWrap/>
            <w:vAlign w:val="bottom"/>
            <w:hideMark/>
          </w:tcPr>
          <w:p w14:paraId="205FEE5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0,976</w:t>
            </w:r>
          </w:p>
        </w:tc>
      </w:tr>
      <w:tr w:rsidR="002348E7" w:rsidRPr="002348E7" w14:paraId="4773093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7CE299C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1C32790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59E69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3CE0"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77B9326A"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16D012EF"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0,982</w:t>
            </w:r>
          </w:p>
        </w:tc>
      </w:tr>
      <w:tr w:rsidR="002348E7" w:rsidRPr="002348E7" w14:paraId="43202DF4"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2334FA7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42787FC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23CA5D5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56AC17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0,005</w:t>
            </w:r>
          </w:p>
        </w:tc>
        <w:tc>
          <w:tcPr>
            <w:tcW w:w="960" w:type="dxa"/>
            <w:tcBorders>
              <w:top w:val="nil"/>
              <w:left w:val="nil"/>
              <w:bottom w:val="single" w:sz="4" w:space="0" w:color="auto"/>
              <w:right w:val="nil"/>
            </w:tcBorders>
            <w:shd w:val="clear" w:color="auto" w:fill="auto"/>
            <w:noWrap/>
            <w:vAlign w:val="bottom"/>
            <w:hideMark/>
          </w:tcPr>
          <w:p w14:paraId="0B8CF8A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0,915</w:t>
            </w:r>
          </w:p>
        </w:tc>
        <w:tc>
          <w:tcPr>
            <w:tcW w:w="960" w:type="dxa"/>
            <w:tcBorders>
              <w:top w:val="nil"/>
              <w:left w:val="nil"/>
              <w:bottom w:val="single" w:sz="4" w:space="0" w:color="auto"/>
              <w:right w:val="nil"/>
            </w:tcBorders>
            <w:shd w:val="clear" w:color="auto" w:fill="auto"/>
            <w:noWrap/>
            <w:vAlign w:val="bottom"/>
            <w:hideMark/>
          </w:tcPr>
          <w:p w14:paraId="3A2BF343"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w:t>
            </w:r>
          </w:p>
        </w:tc>
      </w:tr>
      <w:tr w:rsidR="002348E7" w:rsidRPr="002348E7" w14:paraId="18E4247C"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448FB09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5776B7F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07B9B0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0F631E8"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1,015</w:t>
            </w:r>
          </w:p>
        </w:tc>
        <w:tc>
          <w:tcPr>
            <w:tcW w:w="960" w:type="dxa"/>
            <w:tcBorders>
              <w:top w:val="nil"/>
              <w:left w:val="nil"/>
              <w:bottom w:val="single" w:sz="4" w:space="0" w:color="auto"/>
              <w:right w:val="nil"/>
            </w:tcBorders>
            <w:shd w:val="clear" w:color="auto" w:fill="auto"/>
            <w:noWrap/>
            <w:vAlign w:val="bottom"/>
            <w:hideMark/>
          </w:tcPr>
          <w:p w14:paraId="1FE5622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0,985</w:t>
            </w:r>
          </w:p>
        </w:tc>
        <w:tc>
          <w:tcPr>
            <w:tcW w:w="960" w:type="dxa"/>
            <w:tcBorders>
              <w:top w:val="nil"/>
              <w:left w:val="nil"/>
              <w:bottom w:val="single" w:sz="4" w:space="0" w:color="auto"/>
              <w:right w:val="nil"/>
            </w:tcBorders>
            <w:shd w:val="clear" w:color="auto" w:fill="auto"/>
            <w:noWrap/>
            <w:vAlign w:val="bottom"/>
            <w:hideMark/>
          </w:tcPr>
          <w:p w14:paraId="3DF270F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0,969</w:t>
            </w:r>
          </w:p>
        </w:tc>
      </w:tr>
      <w:tr w:rsidR="002348E7" w:rsidRPr="002348E7" w14:paraId="5B895BE1" w14:textId="77777777" w:rsidTr="002348E7">
        <w:trPr>
          <w:trHeight w:val="300"/>
          <w:jc w:val="center"/>
        </w:trPr>
        <w:tc>
          <w:tcPr>
            <w:tcW w:w="960" w:type="dxa"/>
            <w:tcBorders>
              <w:top w:val="nil"/>
              <w:left w:val="nil"/>
              <w:bottom w:val="single" w:sz="4" w:space="0" w:color="auto"/>
              <w:right w:val="nil"/>
            </w:tcBorders>
            <w:shd w:val="clear" w:color="auto" w:fill="auto"/>
            <w:noWrap/>
            <w:vAlign w:val="bottom"/>
            <w:hideMark/>
          </w:tcPr>
          <w:p w14:paraId="03587122"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72F8CEC9"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4E21E004"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49BE1FB"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0,945</w:t>
            </w:r>
          </w:p>
        </w:tc>
        <w:tc>
          <w:tcPr>
            <w:tcW w:w="960" w:type="dxa"/>
            <w:tcBorders>
              <w:top w:val="nil"/>
              <w:left w:val="nil"/>
              <w:bottom w:val="single" w:sz="4" w:space="0" w:color="auto"/>
              <w:right w:val="nil"/>
            </w:tcBorders>
            <w:shd w:val="clear" w:color="auto" w:fill="auto"/>
            <w:noWrap/>
            <w:vAlign w:val="bottom"/>
            <w:hideMark/>
          </w:tcPr>
          <w:p w14:paraId="6B391C91"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0,965</w:t>
            </w:r>
          </w:p>
        </w:tc>
        <w:tc>
          <w:tcPr>
            <w:tcW w:w="960" w:type="dxa"/>
            <w:tcBorders>
              <w:top w:val="nil"/>
              <w:left w:val="nil"/>
              <w:bottom w:val="single" w:sz="4" w:space="0" w:color="auto"/>
              <w:right w:val="nil"/>
            </w:tcBorders>
            <w:shd w:val="clear" w:color="auto" w:fill="auto"/>
            <w:noWrap/>
            <w:vAlign w:val="bottom"/>
            <w:hideMark/>
          </w:tcPr>
          <w:p w14:paraId="0909E456" w14:textId="77777777" w:rsidR="002348E7" w:rsidRPr="002348E7" w:rsidRDefault="002348E7" w:rsidP="002348E7">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0,971</w:t>
            </w:r>
          </w:p>
        </w:tc>
      </w:tr>
    </w:tbl>
    <w:p w14:paraId="352848C1" w14:textId="77777777" w:rsidR="002348E7" w:rsidRDefault="002348E7" w:rsidP="00956269">
      <w:pPr>
        <w:jc w:val="both"/>
      </w:pPr>
    </w:p>
    <w:sectPr w:rsidR="002348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05"/>
    <w:rsid w:val="00016B4F"/>
    <w:rsid w:val="000F2CE7"/>
    <w:rsid w:val="001503C6"/>
    <w:rsid w:val="00222015"/>
    <w:rsid w:val="002348E7"/>
    <w:rsid w:val="00243CB1"/>
    <w:rsid w:val="00250993"/>
    <w:rsid w:val="00385AC7"/>
    <w:rsid w:val="003F6834"/>
    <w:rsid w:val="00430046"/>
    <w:rsid w:val="00536405"/>
    <w:rsid w:val="00557E55"/>
    <w:rsid w:val="0056671B"/>
    <w:rsid w:val="006377FD"/>
    <w:rsid w:val="008E2BB0"/>
    <w:rsid w:val="00956269"/>
    <w:rsid w:val="009D488D"/>
    <w:rsid w:val="00A64A97"/>
    <w:rsid w:val="00B24244"/>
    <w:rsid w:val="00B8518B"/>
    <w:rsid w:val="00E6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8CB0"/>
  <w15:chartTrackingRefBased/>
  <w15:docId w15:val="{F94BA19E-F7EC-48BA-92AC-BB8C977A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4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4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4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4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4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4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4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4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4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4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4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4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4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4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4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405"/>
    <w:rPr>
      <w:rFonts w:eastAsiaTheme="majorEastAsia" w:cstheme="majorBidi"/>
      <w:color w:val="272727" w:themeColor="text1" w:themeTint="D8"/>
    </w:rPr>
  </w:style>
  <w:style w:type="paragraph" w:styleId="Ttulo">
    <w:name w:val="Title"/>
    <w:basedOn w:val="Normal"/>
    <w:next w:val="Normal"/>
    <w:link w:val="TtuloCar"/>
    <w:uiPriority w:val="10"/>
    <w:qFormat/>
    <w:rsid w:val="00536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4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4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4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405"/>
    <w:pPr>
      <w:spacing w:before="160"/>
      <w:jc w:val="center"/>
    </w:pPr>
    <w:rPr>
      <w:i/>
      <w:iCs/>
      <w:color w:val="404040" w:themeColor="text1" w:themeTint="BF"/>
    </w:rPr>
  </w:style>
  <w:style w:type="character" w:customStyle="1" w:styleId="CitaCar">
    <w:name w:val="Cita Car"/>
    <w:basedOn w:val="Fuentedeprrafopredeter"/>
    <w:link w:val="Cita"/>
    <w:uiPriority w:val="29"/>
    <w:rsid w:val="00536405"/>
    <w:rPr>
      <w:i/>
      <w:iCs/>
      <w:color w:val="404040" w:themeColor="text1" w:themeTint="BF"/>
    </w:rPr>
  </w:style>
  <w:style w:type="paragraph" w:styleId="Prrafodelista">
    <w:name w:val="List Paragraph"/>
    <w:basedOn w:val="Normal"/>
    <w:uiPriority w:val="34"/>
    <w:qFormat/>
    <w:rsid w:val="00536405"/>
    <w:pPr>
      <w:ind w:left="720"/>
      <w:contextualSpacing/>
    </w:pPr>
  </w:style>
  <w:style w:type="character" w:styleId="nfasisintenso">
    <w:name w:val="Intense Emphasis"/>
    <w:basedOn w:val="Fuentedeprrafopredeter"/>
    <w:uiPriority w:val="21"/>
    <w:qFormat/>
    <w:rsid w:val="00536405"/>
    <w:rPr>
      <w:i/>
      <w:iCs/>
      <w:color w:val="0F4761" w:themeColor="accent1" w:themeShade="BF"/>
    </w:rPr>
  </w:style>
  <w:style w:type="paragraph" w:styleId="Citadestacada">
    <w:name w:val="Intense Quote"/>
    <w:basedOn w:val="Normal"/>
    <w:next w:val="Normal"/>
    <w:link w:val="CitadestacadaCar"/>
    <w:uiPriority w:val="30"/>
    <w:qFormat/>
    <w:rsid w:val="00536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405"/>
    <w:rPr>
      <w:i/>
      <w:iCs/>
      <w:color w:val="0F4761" w:themeColor="accent1" w:themeShade="BF"/>
    </w:rPr>
  </w:style>
  <w:style w:type="character" w:styleId="Referenciaintensa">
    <w:name w:val="Intense Reference"/>
    <w:basedOn w:val="Fuentedeprrafopredeter"/>
    <w:uiPriority w:val="32"/>
    <w:qFormat/>
    <w:rsid w:val="00536405"/>
    <w:rPr>
      <w:b/>
      <w:bCs/>
      <w:smallCaps/>
      <w:color w:val="0F4761" w:themeColor="accent1" w:themeShade="BF"/>
      <w:spacing w:val="5"/>
    </w:rPr>
  </w:style>
  <w:style w:type="table" w:styleId="Tablaconcuadrcula">
    <w:name w:val="Table Grid"/>
    <w:basedOn w:val="Tablanormal"/>
    <w:uiPriority w:val="39"/>
    <w:rsid w:val="0053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617">
      <w:bodyDiv w:val="1"/>
      <w:marLeft w:val="0"/>
      <w:marRight w:val="0"/>
      <w:marTop w:val="0"/>
      <w:marBottom w:val="0"/>
      <w:divBdr>
        <w:top w:val="none" w:sz="0" w:space="0" w:color="auto"/>
        <w:left w:val="none" w:sz="0" w:space="0" w:color="auto"/>
        <w:bottom w:val="none" w:sz="0" w:space="0" w:color="auto"/>
        <w:right w:val="none" w:sz="0" w:space="0" w:color="auto"/>
      </w:divBdr>
    </w:div>
    <w:div w:id="256333353">
      <w:bodyDiv w:val="1"/>
      <w:marLeft w:val="0"/>
      <w:marRight w:val="0"/>
      <w:marTop w:val="0"/>
      <w:marBottom w:val="0"/>
      <w:divBdr>
        <w:top w:val="none" w:sz="0" w:space="0" w:color="auto"/>
        <w:left w:val="none" w:sz="0" w:space="0" w:color="auto"/>
        <w:bottom w:val="none" w:sz="0" w:space="0" w:color="auto"/>
        <w:right w:val="none" w:sz="0" w:space="0" w:color="auto"/>
      </w:divBdr>
    </w:div>
    <w:div w:id="452939896">
      <w:bodyDiv w:val="1"/>
      <w:marLeft w:val="0"/>
      <w:marRight w:val="0"/>
      <w:marTop w:val="0"/>
      <w:marBottom w:val="0"/>
      <w:divBdr>
        <w:top w:val="none" w:sz="0" w:space="0" w:color="auto"/>
        <w:left w:val="none" w:sz="0" w:space="0" w:color="auto"/>
        <w:bottom w:val="none" w:sz="0" w:space="0" w:color="auto"/>
        <w:right w:val="none" w:sz="0" w:space="0" w:color="auto"/>
      </w:divBdr>
    </w:div>
    <w:div w:id="5397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Ricardo Gonzalez Moyano</cp:lastModifiedBy>
  <cp:revision>2</cp:revision>
  <dcterms:created xsi:type="dcterms:W3CDTF">2024-05-29T07:35:00Z</dcterms:created>
  <dcterms:modified xsi:type="dcterms:W3CDTF">2024-05-29T14:24:00Z</dcterms:modified>
</cp:coreProperties>
</file>