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0"/>
        <w:gridCol w:w="300"/>
        <w:gridCol w:w="6225"/>
        <w:gridCol w:w="1965"/>
        <w:tblGridChange w:id="0">
          <w:tblGrid>
            <w:gridCol w:w="1230"/>
            <w:gridCol w:w="300"/>
            <w:gridCol w:w="6225"/>
            <w:gridCol w:w="1965"/>
          </w:tblGrid>
        </w:tblGridChange>
      </w:tblGrid>
      <w:tr>
        <w:trPr>
          <w:cantSplit w:val="0"/>
          <w:trHeight w:val="87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557213" cy="428625"/>
                  <wp:effectExtent b="0" l="0" r="0" t="0"/>
                  <wp:wrapNone/>
                  <wp:docPr id="26740317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3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PES University, Bengaluru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(Established under Karnataka Act No. 16 of 2013)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UE20CS933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October 2024: END SEMESTER ASSESSMENT (ESA)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 TECH DATA SCIENCE AND MACHINE LEARNING_ SEMESTER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ab/>
              <w:t xml:space="preserve">UE20CS933 -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NATURAL LANGUAGE PROCESSING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3 Hrs  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 All Questions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Marks: 100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9.0" w:type="dxa"/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70"/>
        <w:gridCol w:w="506"/>
        <w:gridCol w:w="8055"/>
        <w:gridCol w:w="755"/>
        <w:gridCol w:w="13"/>
        <w:tblGridChange w:id="0">
          <w:tblGrid>
            <w:gridCol w:w="470"/>
            <w:gridCol w:w="506"/>
            <w:gridCol w:w="8055"/>
            <w:gridCol w:w="755"/>
            <w:gridCol w:w="13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questions are compulsory.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A should be handwritten in the answer script provided.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B and C are coding questions which have to be answered in the system.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A – 20 MARKS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A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B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C">
            <w:pPr>
              <w:shd w:fill="fffffe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 you mean by NLP?  list 4 real-world applications of NLP. (Marks- 3 + 2)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F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hd w:fill="fffffe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Large Language Models (LLMs)? List any four limitations/drawbacks of LLMs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(Marks 1 + 4)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1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3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RNN cell and its drawback. How LSTM overcomes RNN drawbacks? (Marks 3+2)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7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8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Named Entity Recognition with an example.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9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A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B –40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56250000000006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0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1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3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4">
            <w:pPr>
              <w:spacing w:after="100" w:before="120" w:line="384.0000000000000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the dataset reviews.csv, perform the following preprocessing steps: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511.5625000000000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7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8">
            <w:pPr>
              <w:spacing w:after="100" w:before="120" w:line="384.0000000000000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dataset and display the first 5 rows.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B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any duplicate reviews.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F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 the text by removing punctuation, converting to lowercase, and removing stopwords.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2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3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 the cleaned text into word embeddings using TF-IDF.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7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shape of the resulting TF-IDF matrix.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B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vocabulary of TF-IDF.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C –40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8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9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 building using 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D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E">
            <w:pPr>
              <w:shd w:fill="ffffff" w:val="clear"/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Split the dataset into training and testing sets.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F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1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2">
            <w:pPr>
              <w:shd w:fill="ffffff" w:val="clear"/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 a Naive Bayes classifier on the training set.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5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6">
            <w:pPr>
              <w:shd w:fill="ffffff" w:val="clear"/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Evaluate the model on the testing set and display the accuracy.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7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9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A">
            <w:pPr>
              <w:shd w:fill="ffffff" w:val="clear"/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 Building using LSTM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D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 the cleaned text into sequences using Tokenizer.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F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1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and compile an LSTM model for sentiment analysis.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5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 the model and evaluate its performance on the testing set.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7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</w:t>
      <w:tab/>
      <w:tab/>
      <w:tab/>
    </w:r>
  </w:p>
  <w:tbl>
    <w:tblPr>
      <w:tblStyle w:val="Table3"/>
      <w:tblW w:w="4051.0" w:type="dxa"/>
      <w:jc w:val="left"/>
      <w:tblInd w:w="577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80"/>
      <w:gridCol w:w="263"/>
      <w:gridCol w:w="300"/>
      <w:gridCol w:w="301"/>
      <w:gridCol w:w="263"/>
      <w:gridCol w:w="314"/>
      <w:gridCol w:w="250"/>
      <w:gridCol w:w="291"/>
      <w:gridCol w:w="250"/>
      <w:gridCol w:w="291"/>
      <w:gridCol w:w="250"/>
      <w:gridCol w:w="299"/>
      <w:gridCol w:w="299"/>
      <w:tblGridChange w:id="0">
        <w:tblGrid>
          <w:gridCol w:w="680"/>
          <w:gridCol w:w="263"/>
          <w:gridCol w:w="300"/>
          <w:gridCol w:w="301"/>
          <w:gridCol w:w="263"/>
          <w:gridCol w:w="314"/>
          <w:gridCol w:w="250"/>
          <w:gridCol w:w="291"/>
          <w:gridCol w:w="250"/>
          <w:gridCol w:w="291"/>
          <w:gridCol w:w="250"/>
          <w:gridCol w:w="299"/>
          <w:gridCol w:w="299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SRN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left="-2" w:firstLine="0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0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C77D9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66982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6982"/>
  </w:style>
  <w:style w:type="paragraph" w:styleId="Footer">
    <w:name w:val="footer"/>
    <w:basedOn w:val="Normal"/>
    <w:link w:val="FooterChar"/>
    <w:uiPriority w:val="99"/>
    <w:unhideWhenUsed w:val="1"/>
    <w:rsid w:val="00166982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6982"/>
  </w:style>
  <w:style w:type="paragraph" w:styleId="NoSpacing">
    <w:name w:val="No Spacing"/>
    <w:uiPriority w:val="1"/>
    <w:qFormat w:val="1"/>
    <w:rsid w:val="00BB41A2"/>
    <w:pPr>
      <w:suppressAutoHyphens w:val="1"/>
      <w:spacing w:line="240" w:lineRule="auto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  <w:lang w:eastAsia="en-US"/>
    </w:rPr>
  </w:style>
  <w:style w:type="table" w:styleId="a1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2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7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8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9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a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b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NormalWeb">
    <w:name w:val="Normal (Web)"/>
    <w:basedOn w:val="Normal"/>
    <w:uiPriority w:val="99"/>
    <w:unhideWhenUsed w:val="1"/>
    <w:rsid w:val="00584DF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584DF5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58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84DF5"/>
    <w:rPr>
      <w:rFonts w:ascii="Courier New" w:cs="Courier New" w:eastAsia="Times New Roman" w:hAnsi="Courier New"/>
      <w:sz w:val="20"/>
      <w:szCs w:val="20"/>
      <w:lang w:val="en-IN"/>
    </w:rPr>
  </w:style>
  <w:style w:type="character" w:styleId="mtk1" w:customStyle="1">
    <w:name w:val="mtk1"/>
    <w:basedOn w:val="DefaultParagraphFont"/>
    <w:rsid w:val="00584DF5"/>
  </w:style>
  <w:style w:type="character" w:styleId="Strong">
    <w:name w:val="Strong"/>
    <w:basedOn w:val="DefaultParagraphFont"/>
    <w:uiPriority w:val="22"/>
    <w:qFormat w:val="1"/>
    <w:rsid w:val="006502A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a9u/bBaXLcsjVElbxK08cqmDBQ==">CgMxLjA4AHIhMTNjbUMyYlhUOHRlMXlXMTk1azFZTzRCRHhXYnVBWGZ3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2024-02-15T07:18:00Z</dcterms:created>
  <dc:creator>Deepali Gatade</dc:creator>
</cp:coreProperties>
</file>