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Garamond" w:cs="Garamond" w:eastAsia="Garamond" w:hAnsi="Garamond"/>
          <w:b/>
          <w:bCs/>
          <w:sz w:val="22"/>
          <w:szCs w:val="22"/>
        </w:rPr>
        <w:t xml:space="preserve">Table 1. Donor countries and composition of each synthetic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</w:tblGrid>
      <w:tr>
        <w:tc>
          <w:tcPr>
            <w:tcW w:type="dxa" w:w="15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Garamond" w:cs="Garamond" w:eastAsia="Garamond" w:hAnsi="Garamond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29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/>
                <w:bCs/>
                <w:sz w:val="18"/>
                <w:szCs w:val="18"/>
              </w:rPr>
              <w:t xml:space="preserve">Lib.</w:t>
            </w:r>
          </w:p>
          <w:p>
            <w:pPr>
              <w:jc w:val="center"/>
            </w:pPr>
            <w:r>
              <w:rPr>
                <w:rFonts w:ascii="Garamond" w:cs="Garamond" w:eastAsia="Garamond" w:hAnsi="Garamond"/>
                <w:b/>
                <w:bCs/>
                <w:sz w:val="18"/>
                <w:szCs w:val="18"/>
              </w:rPr>
              <w:t xml:space="preserve">democracy</w:t>
            </w:r>
          </w:p>
        </w:tc>
        <w:tc>
          <w:tcPr>
            <w:tcW w:type="dxa" w:w="129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/>
                <w:bCs/>
                <w:sz w:val="18"/>
                <w:szCs w:val="18"/>
              </w:rPr>
              <w:t xml:space="preserve">Polyarchy</w:t>
            </w:r>
          </w:p>
        </w:tc>
        <w:tc>
          <w:tcPr>
            <w:tcW w:type="dxa" w:w="129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/>
                <w:bCs/>
                <w:sz w:val="18"/>
                <w:szCs w:val="18"/>
              </w:rPr>
              <w:t xml:space="preserve">Religion</w:t>
            </w:r>
          </w:p>
        </w:tc>
        <w:tc>
          <w:tcPr>
            <w:tcW w:type="dxa" w:w="129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/>
                <w:bCs/>
                <w:sz w:val="18"/>
                <w:szCs w:val="18"/>
              </w:rPr>
              <w:t xml:space="preserve">Expression</w:t>
            </w:r>
          </w:p>
        </w:tc>
        <w:tc>
          <w:tcPr>
            <w:tcW w:type="dxa" w:w="129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/>
                <w:bCs/>
                <w:sz w:val="18"/>
                <w:szCs w:val="18"/>
              </w:rPr>
              <w:t xml:space="preserve">Association</w:t>
            </w:r>
          </w:p>
        </w:tc>
        <w:tc>
          <w:tcPr>
            <w:tcW w:type="dxa" w:w="129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/>
                <w:bCs/>
                <w:sz w:val="18"/>
                <w:szCs w:val="18"/>
              </w:rPr>
              <w:t xml:space="preserve">Eq.</w:t>
            </w:r>
          </w:p>
          <w:p>
            <w:pPr>
              <w:jc w:val="center"/>
            </w:pPr>
            <w:r>
              <w:rPr>
                <w:rFonts w:ascii="Garamond" w:cs="Garamond" w:eastAsia="Garamond" w:hAnsi="Garamond"/>
                <w:b/>
                <w:bCs/>
                <w:sz w:val="18"/>
                <w:szCs w:val="18"/>
              </w:rPr>
              <w:t xml:space="preserve">before</w:t>
            </w:r>
          </w:p>
          <w:p>
            <w:pPr>
              <w:jc w:val="center"/>
            </w:pPr>
            <w:r>
              <w:rPr>
                <w:rFonts w:ascii="Garamond" w:cs="Garamond" w:eastAsia="Garamond" w:hAnsi="Garamond"/>
                <w:b/>
                <w:bCs/>
                <w:sz w:val="18"/>
                <w:szCs w:val="18"/>
              </w:rPr>
              <w:t xml:space="preserve">law</w:t>
            </w:r>
          </w:p>
        </w:tc>
        <w:tc>
          <w:tcPr>
            <w:tcW w:type="dxa" w:w="129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/>
                <w:bCs/>
                <w:sz w:val="18"/>
                <w:szCs w:val="18"/>
              </w:rPr>
              <w:t xml:space="preserve">Eq.</w:t>
            </w:r>
          </w:p>
          <w:p>
            <w:pPr>
              <w:jc w:val="center"/>
            </w:pPr>
            <w:r>
              <w:rPr>
                <w:rFonts w:ascii="Garamond" w:cs="Garamond" w:eastAsia="Garamond" w:hAnsi="Garamond"/>
                <w:b/>
                <w:bCs/>
                <w:sz w:val="18"/>
                <w:szCs w:val="18"/>
              </w:rPr>
              <w:t xml:space="preserve">protection</w:t>
            </w:r>
          </w:p>
        </w:tc>
        <w:tc>
          <w:tcPr>
            <w:tcW w:type="dxa" w:w="129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/>
                <w:bCs/>
                <w:sz w:val="18"/>
                <w:szCs w:val="18"/>
              </w:rPr>
              <w:t xml:space="preserve">Legisl.</w:t>
            </w:r>
          </w:p>
          <w:p>
            <w:pPr>
              <w:jc w:val="center"/>
            </w:pPr>
            <w:r>
              <w:rPr>
                <w:rFonts w:ascii="Garamond" w:cs="Garamond" w:eastAsia="Garamond" w:hAnsi="Garamond"/>
                <w:b/>
                <w:bCs/>
                <w:sz w:val="18"/>
                <w:szCs w:val="18"/>
              </w:rPr>
              <w:t xml:space="preserve">constr.</w:t>
            </w:r>
          </w:p>
        </w:tc>
        <w:tc>
          <w:tcPr>
            <w:tcW w:type="dxa" w:w="129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/>
                <w:bCs/>
                <w:sz w:val="18"/>
                <w:szCs w:val="18"/>
              </w:rPr>
              <w:t xml:space="preserve">Judic.</w:t>
            </w:r>
          </w:p>
          <w:p>
            <w:pPr>
              <w:jc w:val="center"/>
            </w:pPr>
            <w:r>
              <w:rPr>
                <w:rFonts w:ascii="Garamond" w:cs="Garamond" w:eastAsia="Garamond" w:hAnsi="Garamond"/>
                <w:b/>
                <w:bCs/>
                <w:sz w:val="18"/>
                <w:szCs w:val="18"/>
              </w:rPr>
              <w:t xml:space="preserve">constr.</w:t>
            </w:r>
          </w:p>
        </w:tc>
        <w:tc>
          <w:tcPr>
            <w:tcW w:type="dxa" w:w="129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/>
                <w:bCs/>
                <w:sz w:val="18"/>
                <w:szCs w:val="18"/>
              </w:rPr>
              <w:t xml:space="preserve">Corruption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Argentina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39.2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48.6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6.2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17.4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45.0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23.2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14.3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2.3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4.0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Benin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5.9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9.1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16.2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Brazil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2.4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3.6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0.3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6.8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Colombia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0.3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1.9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1.1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Dom. Republic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0.2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1.4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50.4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1.7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1.3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8.2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3.5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3.8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Ghana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1.5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Greece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20.7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16.2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5.9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65.6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13.4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5.9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51.7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89.9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74.2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7.3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Indonesia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0.8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Malaysia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4.5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6.0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27.0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5.4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18.5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35.5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4.0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3.4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27.6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Mexico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0.1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2.2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17.4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2.4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Peru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1.3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0.2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0.1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5.7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Philippines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1.4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0.7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0.9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5.5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1.4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0.9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1.1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Poland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4.3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0.4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0.3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0.7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Romania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5.2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S. Africa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0.8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1.1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0.6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Sri Lanka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21.3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13.9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0.6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2.5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22.2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15.1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0.7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10.0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0.6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21.2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Thailand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0.1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0.1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10.0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2.1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0.4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2.3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10.9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0.4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Zambia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2.9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3.3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Garamond" w:cs="Garamond" w:eastAsia="Garamond" w:hAnsi="Garamond"/>
                <w:b/>
                <w:bCs/>
                <w:sz w:val="18"/>
                <w:szCs w:val="18"/>
              </w:rPr>
              <w:t xml:space="preserve">Pre-RMSPE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/>
                <w:bCs/>
                <w:sz w:val="18"/>
                <w:szCs w:val="18"/>
              </w:rPr>
              <w:t xml:space="preserve">0.011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/>
                <w:bCs/>
                <w:sz w:val="18"/>
                <w:szCs w:val="18"/>
              </w:rPr>
              <w:t xml:space="preserve">0.015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/>
                <w:bCs/>
                <w:sz w:val="18"/>
                <w:szCs w:val="18"/>
              </w:rPr>
              <w:t xml:space="preserve">0.113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/>
                <w:bCs/>
                <w:sz w:val="18"/>
                <w:szCs w:val="18"/>
              </w:rPr>
              <w:t xml:space="preserve">0.005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/>
                <w:bCs/>
                <w:sz w:val="18"/>
                <w:szCs w:val="18"/>
              </w:rPr>
              <w:t xml:space="preserve">0.015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/>
                <w:bCs/>
                <w:sz w:val="18"/>
                <w:szCs w:val="18"/>
              </w:rPr>
              <w:t xml:space="preserve">0.008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/>
                <w:bCs/>
                <w:sz w:val="18"/>
                <w:szCs w:val="18"/>
              </w:rPr>
              <w:t xml:space="preserve">0.006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/>
                <w:bCs/>
                <w:sz w:val="18"/>
                <w:szCs w:val="18"/>
              </w:rPr>
              <w:t xml:space="preserve">0.008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/>
                <w:bCs/>
                <w:sz w:val="18"/>
                <w:szCs w:val="18"/>
              </w:rPr>
              <w:t xml:space="preserve">0.005</w:t>
            </w:r>
          </w:p>
        </w:tc>
        <w:tc>
          <w:tcPr>
            <w:tcW w:type="dxa" w:w="129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/>
                <w:bCs/>
                <w:sz w:val="18"/>
                <w:szCs w:val="18"/>
              </w:rPr>
              <w:t xml:space="preserve">0.016</w:t>
            </w:r>
          </w:p>
        </w:tc>
      </w:tr>
    </w:tbl>
    <w:p>
      <w:pPr>
        <w:spacing w:after="120"/>
      </w:pPr>
      <w:r>
        <w:rPr>
          <w:rFonts w:ascii="Garamond" w:cs="Garamond" w:eastAsia="Garamond" w:hAnsi="Garamond"/>
          <w:sz w:val="22"/>
          <w:szCs w:val="22"/>
        </w:rPr>
        <w:t xml:space="preserve"/>
      </w:r>
    </w:p>
    <w:p>
      <w:pPr>
        <w:spacing w:after="120"/>
      </w:pPr>
      <w:r>
        <w:rPr>
          <w:rFonts w:ascii="Garamond" w:cs="Garamond" w:eastAsia="Garamond" w:hAnsi="Garamond"/>
          <w:i/>
          <w:iCs/>
          <w:sz w:val="20"/>
          <w:szCs w:val="20"/>
        </w:rPr>
        <w:t xml:space="preserve">Notes: Donor weights in percent from the partially pooled synthetic control (PPSYNTH, Grier 2026), fitted jointly to all ten outcomes on the eighteen-donor EIU-rule pool, 1984–2023, treatment 2014. Pre-RMSPE is the root mean squared gap between India and synthetic India over 1984–2013 in the units of each index.</w:t>
      </w:r>
    </w:p>
    <w:p>
      <w:pPr>
        <w:sectPr>
          <w:pgSz w:w="15840" w:h="12240" w:orient="landscape"/>
          <w:pgMar w:top="1440" w:right="720" w:bottom="1440" w:left="720" w:header="708" w:footer="708" w:gutter="0"/>
          <w:pgNumType/>
          <w:docGrid w:linePitch="360"/>
        </w:sectPr>
      </w:pPr>
    </w:p>
    <w:p>
      <w:pPr>
        <w:spacing w:after="120"/>
      </w:pPr>
      <w:r>
        <w:rPr>
          <w:rFonts w:ascii="Garamond" w:cs="Garamond" w:eastAsia="Garamond" w:hAnsi="Garamond"/>
          <w:b/>
          <w:bCs/>
          <w:sz w:val="22"/>
          <w:szCs w:val="22"/>
        </w:rPr>
        <w:t xml:space="preserve">Table 2. Summary of governance treatment effects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2400"/>
        <w:gridCol w:w="1800"/>
      </w:tblGrid>
      <w:tr>
        <w:tc>
          <w:tcPr>
            <w:tcW w:type="dxa" w:w="30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Garamond" w:cs="Garamond" w:eastAsia="Garamond" w:hAnsi="Garamond"/>
                <w:b/>
                <w:bCs/>
                <w:sz w:val="22"/>
                <w:szCs w:val="22"/>
              </w:rPr>
              <w:t xml:space="preserve">Variable</w:t>
            </w:r>
          </w:p>
        </w:tc>
        <w:tc>
          <w:tcPr>
            <w:tcW w:type="dxa" w:w="18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/>
                <w:bCs/>
                <w:sz w:val="22"/>
                <w:szCs w:val="22"/>
              </w:rPr>
              <w:t xml:space="preserve">Final-year gap</w:t>
            </w:r>
          </w:p>
        </w:tc>
        <w:tc>
          <w:tcPr>
            <w:tcW w:type="dxa" w:w="24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/>
                <w:bCs/>
                <w:sz w:val="22"/>
                <w:szCs w:val="22"/>
              </w:rPr>
              <w:t xml:space="preserve">Gap as % of 2013 level</w:t>
            </w:r>
          </w:p>
        </w:tc>
        <w:tc>
          <w:tcPr>
            <w:tcW w:type="dxa" w:w="18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/>
                <w:bCs/>
                <w:sz w:val="22"/>
                <w:szCs w:val="22"/>
              </w:rPr>
              <w:t xml:space="preserve">Rank (p-value)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sz w:val="22"/>
                <w:szCs w:val="22"/>
              </w:rPr>
              <w:t xml:space="preserve">Polyarchy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22"/>
                <w:szCs w:val="22"/>
              </w:rPr>
              <w:t xml:space="preserve">−0.352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22"/>
                <w:szCs w:val="22"/>
              </w:rPr>
              <w:t xml:space="preserve">−54.2%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22"/>
                <w:szCs w:val="22"/>
              </w:rPr>
              <w:t xml:space="preserve">1 (0.00)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sz w:val="22"/>
                <w:szCs w:val="22"/>
              </w:rPr>
              <w:t xml:space="preserve">Liberal democracy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22"/>
                <w:szCs w:val="22"/>
              </w:rPr>
              <w:t xml:space="preserve">−0.285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22"/>
                <w:szCs w:val="22"/>
              </w:rPr>
              <w:t xml:space="preserve">−54.6%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22"/>
                <w:szCs w:val="22"/>
              </w:rPr>
              <w:t xml:space="preserve">1 (0.00)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sz w:val="22"/>
                <w:szCs w:val="22"/>
              </w:rPr>
              <w:t xml:space="preserve">Legislative constraints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22"/>
                <w:szCs w:val="22"/>
              </w:rPr>
              <w:t xml:space="preserve">+0.030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22"/>
                <w:szCs w:val="22"/>
              </w:rPr>
              <w:t xml:space="preserve">+3.6%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22"/>
                <w:szCs w:val="22"/>
              </w:rPr>
              <w:t xml:space="preserve">1 (0.00)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sz w:val="22"/>
                <w:szCs w:val="22"/>
              </w:rPr>
              <w:t xml:space="preserve">Judicial constraints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22"/>
                <w:szCs w:val="22"/>
              </w:rPr>
              <w:t xml:space="preserve">−0.068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22"/>
                <w:szCs w:val="22"/>
              </w:rPr>
              <w:t xml:space="preserve">−8.2%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22"/>
                <w:szCs w:val="22"/>
              </w:rPr>
              <w:t xml:space="preserve">1 (0.00)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sz w:val="22"/>
                <w:szCs w:val="22"/>
              </w:rPr>
              <w:t xml:space="preserve">Political corruption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22"/>
                <w:szCs w:val="22"/>
              </w:rPr>
              <w:t xml:space="preserve">+0.302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22"/>
                <w:szCs w:val="22"/>
              </w:rPr>
              <w:t xml:space="preserve">+52.0%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22"/>
                <w:szCs w:val="22"/>
              </w:rPr>
              <w:t xml:space="preserve">2 (0.05)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sz w:val="22"/>
                <w:szCs w:val="22"/>
              </w:rPr>
              <w:t xml:space="preserve">Equality before the law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22"/>
                <w:szCs w:val="22"/>
              </w:rPr>
              <w:t xml:space="preserve">−0.222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22"/>
                <w:szCs w:val="22"/>
              </w:rPr>
              <w:t xml:space="preserve">−30.5%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22"/>
                <w:szCs w:val="22"/>
              </w:rPr>
              <w:t xml:space="preserve">1 (0.00)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sz w:val="22"/>
                <w:szCs w:val="22"/>
              </w:rPr>
              <w:t xml:space="preserve">Freedom of association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22"/>
                <w:szCs w:val="22"/>
              </w:rPr>
              <w:t xml:space="preserve">−0.221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22"/>
                <w:szCs w:val="22"/>
              </w:rPr>
              <w:t xml:space="preserve">−28.4%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22"/>
                <w:szCs w:val="22"/>
              </w:rPr>
              <w:t xml:space="preserve">1 (0.00)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sz w:val="22"/>
                <w:szCs w:val="22"/>
              </w:rPr>
              <w:t xml:space="preserve">Freedom of expression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22"/>
                <w:szCs w:val="22"/>
              </w:rPr>
              <w:t xml:space="preserve">−0.387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22"/>
                <w:szCs w:val="22"/>
              </w:rPr>
              <w:t xml:space="preserve">−44.6%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22"/>
                <w:szCs w:val="22"/>
              </w:rPr>
              <w:t xml:space="preserve">1 (0.00)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sz w:val="22"/>
                <w:szCs w:val="22"/>
              </w:rPr>
              <w:t xml:space="preserve">Freedom of religion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22"/>
                <w:szCs w:val="22"/>
              </w:rPr>
              <w:t xml:space="preserve">−1.117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22"/>
                <w:szCs w:val="22"/>
              </w:rPr>
              <w:t xml:space="preserve">−133.9%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22"/>
                <w:szCs w:val="22"/>
              </w:rPr>
              <w:t xml:space="preserve">3 (0.11)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sz w:val="22"/>
                <w:szCs w:val="22"/>
              </w:rPr>
              <w:t xml:space="preserve">Equal protection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22"/>
                <w:szCs w:val="22"/>
              </w:rPr>
              <w:t xml:space="preserve">−0.118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22"/>
                <w:szCs w:val="22"/>
              </w:rPr>
              <w:t xml:space="preserve">−16.3%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22"/>
                <w:szCs w:val="22"/>
              </w:rPr>
              <w:t xml:space="preserve">2 (0.05)</w:t>
            </w:r>
          </w:p>
        </w:tc>
      </w:tr>
    </w:tbl>
    <w:p>
      <w:pPr>
        <w:spacing w:after="120"/>
      </w:pPr>
      <w:r>
        <w:rPr>
          <w:rFonts w:ascii="Garamond" w:cs="Garamond" w:eastAsia="Garamond" w:hAnsi="Garamond"/>
          <w:sz w:val="22"/>
          <w:szCs w:val="22"/>
        </w:rPr>
        <w:t xml:space="preserve"/>
      </w:r>
    </w:p>
    <w:p>
      <w:pPr>
        <w:spacing w:after="120"/>
      </w:pPr>
      <w:r>
        <w:rPr>
          <w:rFonts w:ascii="Garamond" w:cs="Garamond" w:eastAsia="Garamond" w:hAnsi="Garamond"/>
          <w:i/>
          <w:iCs/>
          <w:sz w:val="20"/>
          <w:szCs w:val="20"/>
        </w:rPr>
        <w:t xml:space="preserve">Notes: Gaps are India minus synthetic India in 2023, in the units of each index (PPSYNTH, data-chosen partial pooling). Indicators are bounded between 0 and 1 except freedom of religion, which is an interval-scale measure. On the corruption index higher values mean more corruption, so the positive gap indicates deterioration; on all other indicators negative gaps indicate deterioration. Rank is India's position among the nineteen units by post/pre RMSPE ratio; p is the share of placebo units with a larger ratio (smallest attainable 0.05).</w:t>
      </w:r>
    </w:p>
    <w:p>
      <w:r>
        <w:br w:type="page"/>
      </w:r>
    </w:p>
    <w:p>
      <w:pPr>
        <w:spacing w:after="120"/>
      </w:pPr>
      <w:r>
        <w:rPr>
          <w:rFonts w:ascii="Garamond" w:cs="Garamond" w:eastAsia="Garamond" w:hAnsi="Garamond"/>
          <w:b/>
          <w:bCs/>
          <w:sz w:val="22"/>
          <w:szCs w:val="22"/>
        </w:rPr>
        <w:t xml:space="preserve">Appendix Table. Separate synthetic controls (synth, nested optimization) on the same donor pool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000"/>
        <w:gridCol w:w="900"/>
        <w:gridCol w:w="900"/>
        <w:gridCol w:w="900"/>
        <w:gridCol w:w="900"/>
        <w:gridCol w:w="3000"/>
      </w:tblGrid>
      <w:tr>
        <w:tc>
          <w:tcPr>
            <w:tcW w:type="dxa" w:w="23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Garamond" w:cs="Garamond" w:eastAsia="Garamond" w:hAnsi="Garamond"/>
                <w:b/>
                <w:bCs/>
                <w:sz w:val="22"/>
                <w:szCs w:val="22"/>
              </w:rPr>
              <w:t xml:space="preserve">Outcome</w:t>
            </w:r>
          </w:p>
        </w:tc>
        <w:tc>
          <w:tcPr>
            <w:tcW w:type="dxa" w:w="10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/>
                <w:bCs/>
                <w:sz w:val="22"/>
                <w:szCs w:val="22"/>
              </w:rPr>
              <w:t xml:space="preserve">Pre-RMSPE</w:t>
            </w:r>
          </w:p>
        </w:tc>
        <w:tc>
          <w:tcPr>
            <w:tcW w:type="dxa" w:w="9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/>
                <w:bCs/>
                <w:sz w:val="22"/>
                <w:szCs w:val="22"/>
              </w:rPr>
              <w:t xml:space="preserve">2014</w:t>
            </w:r>
          </w:p>
        </w:tc>
        <w:tc>
          <w:tcPr>
            <w:tcW w:type="dxa" w:w="9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/>
                <w:bCs/>
                <w:sz w:val="22"/>
                <w:szCs w:val="22"/>
              </w:rPr>
              <w:t xml:space="preserve">2019</w:t>
            </w:r>
          </w:p>
        </w:tc>
        <w:tc>
          <w:tcPr>
            <w:tcW w:type="dxa" w:w="9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/>
                <w:bCs/>
                <w:sz w:val="22"/>
                <w:szCs w:val="22"/>
              </w:rPr>
              <w:t xml:space="preserve">2023</w:t>
            </w:r>
          </w:p>
        </w:tc>
        <w:tc>
          <w:tcPr>
            <w:tcW w:type="dxa" w:w="9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/>
                <w:bCs/>
                <w:sz w:val="22"/>
                <w:szCs w:val="22"/>
              </w:rPr>
              <w:t xml:space="preserve">Joint p</w:t>
            </w:r>
          </w:p>
        </w:tc>
        <w:tc>
          <w:tcPr>
            <w:tcW w:type="dxa" w:w="30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/>
                <w:bCs/>
                <w:sz w:val="22"/>
                <w:szCs w:val="22"/>
              </w:rPr>
              <w:t xml:space="preserve">Largest weights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sz w:val="22"/>
                <w:szCs w:val="22"/>
              </w:rPr>
              <w:t xml:space="preserve">Polyarchy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22"/>
                <w:szCs w:val="22"/>
              </w:rPr>
              <w:t xml:space="preserve">0.0137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22"/>
                <w:szCs w:val="22"/>
              </w:rPr>
              <w:t xml:space="preserve">−0.082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22"/>
                <w:szCs w:val="22"/>
              </w:rPr>
              <w:t xml:space="preserve">−0.264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22"/>
                <w:szCs w:val="22"/>
              </w:rPr>
              <w:t xml:space="preserve">−0.377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22"/>
                <w:szCs w:val="22"/>
              </w:rPr>
              <w:t xml:space="preserve">0.00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22"/>
                <w:szCs w:val="22"/>
              </w:rPr>
              <w:t xml:space="preserve">ARG 0.696, BEN 0.103, LKA 0.072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sz w:val="22"/>
                <w:szCs w:val="22"/>
              </w:rPr>
              <w:t xml:space="preserve">Liberal democracy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22"/>
                <w:szCs w:val="22"/>
              </w:rPr>
              <w:t xml:space="preserve">0.0117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22"/>
                <w:szCs w:val="22"/>
              </w:rPr>
              <w:t xml:space="preserve">−0.063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22"/>
                <w:szCs w:val="22"/>
              </w:rPr>
              <w:t xml:space="preserve">−0.225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22"/>
                <w:szCs w:val="22"/>
              </w:rPr>
              <w:t xml:space="preserve">−0.335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22"/>
                <w:szCs w:val="22"/>
              </w:rPr>
              <w:t xml:space="preserve">0.00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22"/>
                <w:szCs w:val="22"/>
              </w:rPr>
              <w:t xml:space="preserve">ARG 0.651, BEN 0.134, LKA 0.128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sz w:val="22"/>
                <w:szCs w:val="22"/>
              </w:rPr>
              <w:t xml:space="preserve">Political corruption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22"/>
                <w:szCs w:val="22"/>
              </w:rPr>
              <w:t xml:space="preserve">0.0191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22"/>
                <w:szCs w:val="22"/>
              </w:rPr>
              <w:t xml:space="preserve">+0.036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22"/>
                <w:szCs w:val="22"/>
              </w:rPr>
              <w:t xml:space="preserve">+0.174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22"/>
                <w:szCs w:val="22"/>
              </w:rPr>
              <w:t xml:space="preserve">+0.322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22"/>
                <w:szCs w:val="22"/>
              </w:rPr>
              <w:t xml:space="preserve">0.00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22"/>
                <w:szCs w:val="22"/>
              </w:rPr>
              <w:t xml:space="preserve">BEN 0.432, LKA 0.347, ZMB 0.077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sz w:val="22"/>
                <w:szCs w:val="22"/>
              </w:rPr>
              <w:t xml:space="preserve">Equality before the law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22"/>
                <w:szCs w:val="22"/>
              </w:rPr>
              <w:t xml:space="preserve">0.0090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22"/>
                <w:szCs w:val="22"/>
              </w:rPr>
              <w:t xml:space="preserve">+0.009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22"/>
                <w:szCs w:val="22"/>
              </w:rPr>
              <w:t xml:space="preserve">−0.091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22"/>
                <w:szCs w:val="22"/>
              </w:rPr>
              <w:t xml:space="preserve">−0.186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22"/>
                <w:szCs w:val="22"/>
              </w:rPr>
              <w:t xml:space="preserve">0.06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22"/>
                <w:szCs w:val="22"/>
              </w:rPr>
              <w:t xml:space="preserve">ARG 0.332, MYS 0.244, MEX 0.243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sz w:val="22"/>
                <w:szCs w:val="22"/>
              </w:rPr>
              <w:t xml:space="preserve">Freedom of association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22"/>
                <w:szCs w:val="22"/>
              </w:rPr>
              <w:t xml:space="preserve">0.0166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22"/>
                <w:szCs w:val="22"/>
              </w:rPr>
              <w:t xml:space="preserve">−0.008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22"/>
                <w:szCs w:val="22"/>
              </w:rPr>
              <w:t xml:space="preserve">−0.178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22"/>
                <w:szCs w:val="22"/>
              </w:rPr>
              <w:t xml:space="preserve">−0.229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22"/>
                <w:szCs w:val="22"/>
              </w:rPr>
              <w:t xml:space="preserve">0.00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22"/>
                <w:szCs w:val="22"/>
              </w:rPr>
              <w:t xml:space="preserve">ARG 0.396, LKA 0.380, DOM 0.185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sz w:val="22"/>
                <w:szCs w:val="22"/>
              </w:rPr>
              <w:t xml:space="preserve">Freedom of expression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22"/>
                <w:szCs w:val="22"/>
              </w:rPr>
              <w:t xml:space="preserve">0.0064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22"/>
                <w:szCs w:val="22"/>
              </w:rPr>
              <w:t xml:space="preserve">−0.069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22"/>
                <w:szCs w:val="22"/>
              </w:rPr>
              <w:t xml:space="preserve">−0.334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22"/>
                <w:szCs w:val="22"/>
              </w:rPr>
              <w:t xml:space="preserve">−0.401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22"/>
                <w:szCs w:val="22"/>
              </w:rPr>
              <w:t xml:space="preserve">0.00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22"/>
                <w:szCs w:val="22"/>
              </w:rPr>
              <w:t xml:space="preserve">GRC 0.623, ARG 0.189, COL 0.079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sz w:val="22"/>
                <w:szCs w:val="22"/>
              </w:rPr>
              <w:t xml:space="preserve">Freedom of religion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22"/>
                <w:szCs w:val="22"/>
              </w:rPr>
              <w:t xml:space="preserve">0.1066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22"/>
                <w:szCs w:val="22"/>
              </w:rPr>
              <w:t xml:space="preserve">−0.580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22"/>
                <w:szCs w:val="22"/>
              </w:rPr>
              <w:t xml:space="preserve">−1.141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22"/>
                <w:szCs w:val="22"/>
              </w:rPr>
              <w:t xml:space="preserve">−1.129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22"/>
                <w:szCs w:val="22"/>
              </w:rPr>
              <w:t xml:space="preserve">0.00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22"/>
                <w:szCs w:val="22"/>
              </w:rPr>
              <w:t xml:space="preserve">DOM 0.689, MYS 0.242, THA 0.069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sz w:val="22"/>
                <w:szCs w:val="22"/>
              </w:rPr>
              <w:t xml:space="preserve">Equal protection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22"/>
                <w:szCs w:val="22"/>
              </w:rPr>
              <w:t xml:space="preserve">0.0125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22"/>
                <w:szCs w:val="22"/>
              </w:rPr>
              <w:t xml:space="preserve">+0.030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22"/>
                <w:szCs w:val="22"/>
              </w:rPr>
              <w:t xml:space="preserve">−0.086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22"/>
                <w:szCs w:val="22"/>
              </w:rPr>
              <w:t xml:space="preserve">−0.167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22"/>
                <w:szCs w:val="22"/>
              </w:rPr>
              <w:t xml:space="preserve">0.06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22"/>
                <w:szCs w:val="22"/>
              </w:rPr>
              <w:t xml:space="preserve">ARG 0.680, MYS 0.111, ZMB 0.083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sz w:val="22"/>
                <w:szCs w:val="22"/>
              </w:rPr>
              <w:t xml:space="preserve">Legislative constraints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22"/>
                <w:szCs w:val="22"/>
              </w:rPr>
              <w:t xml:space="preserve">0.0076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22"/>
                <w:szCs w:val="22"/>
              </w:rPr>
              <w:t xml:space="preserve">−0.026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22"/>
                <w:szCs w:val="22"/>
              </w:rPr>
              <w:t xml:space="preserve">−0.184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22"/>
                <w:szCs w:val="22"/>
              </w:rPr>
              <w:t xml:space="preserve">+0.030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22"/>
                <w:szCs w:val="22"/>
              </w:rPr>
              <w:t xml:space="preserve">0.00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22"/>
                <w:szCs w:val="22"/>
              </w:rPr>
              <w:t xml:space="preserve">GRC 0.899, LKA 0.099, PER 0.002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sz w:val="22"/>
                <w:szCs w:val="22"/>
              </w:rPr>
              <w:t xml:space="preserve">Judicial constraints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22"/>
                <w:szCs w:val="22"/>
              </w:rPr>
              <w:t xml:space="preserve">0.0065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22"/>
                <w:szCs w:val="22"/>
              </w:rPr>
              <w:t xml:space="preserve">+0.018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22"/>
                <w:szCs w:val="22"/>
              </w:rPr>
              <w:t xml:space="preserve">−0.035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22"/>
                <w:szCs w:val="22"/>
              </w:rPr>
              <w:t xml:space="preserve">−0.064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22"/>
                <w:szCs w:val="22"/>
              </w:rPr>
              <w:t xml:space="preserve">0.17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22"/>
                <w:szCs w:val="22"/>
              </w:rPr>
              <w:t xml:space="preserve">GRC 0.637, THA 0.219, MYS 0.043</w:t>
            </w:r>
          </w:p>
        </w:tc>
      </w:tr>
    </w:tbl>
    <w:p>
      <w:pPr>
        <w:spacing w:after="120"/>
      </w:pPr>
      <w:r>
        <w:rPr>
          <w:rFonts w:ascii="Garamond" w:cs="Garamond" w:eastAsia="Garamond" w:hAnsi="Garamond"/>
          <w:sz w:val="22"/>
          <w:szCs w:val="22"/>
        </w:rPr>
        <w:t xml:space="preserve"/>
      </w:r>
    </w:p>
    <w:p>
      <w:pPr>
        <w:spacing w:after="120"/>
      </w:pPr>
      <w:r>
        <w:rPr>
          <w:rFonts w:ascii="Garamond" w:cs="Garamond" w:eastAsia="Garamond" w:hAnsi="Garamond"/>
          <w:i/>
          <w:iCs/>
          <w:sz w:val="20"/>
          <w:szCs w:val="20"/>
        </w:rPr>
        <w:t xml:space="preserve">Notes: Effects are India minus synthetic India in the year shown. Joint p is synth_runner's standardized joint post-treatment p-value. Predictors: the outcome in 1986, 1991, 1996, 2001, 2006 and 2011, the Gini coefficient, government consumption share and human capital.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2026-09-19T22:26:30.844Z</dcterms:created>
  <dcterms:modified xsi:type="dcterms:W3CDTF">2026-09-19T22:26:30.844Z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