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i w:val="false"/>
          <w:iCs w:val="false"/>
          <w:sz w:val="22"/>
          <w:szCs w:val="22"/>
        </w:rPr>
        <w:t xml:space="preserve">Table A1. All-lags income model, leave-one-out: yearly effects and placebo p-values</w:t>
      </w:r>
    </w:p>
    <w:p>
      <w:pPr>
        <w:spacing w:after="120"/>
      </w:pPr>
      <w:r>
        <w:rPr>
          <w:rFonts w:ascii="Garamond" w:cs="Garamond" w:eastAsia="Garamond" w:hAnsi="Garamond"/>
          <w:b w:val="false"/>
          <w:bCs w:val="false"/>
          <w:i/>
          <w:iCs/>
          <w:sz w:val="18"/>
          <w:szCs w:val="18"/>
        </w:rPr>
        <w:t xml:space="preserve">Stata version (synth / synth_runner, nested allopt), run 13–14 October 2026 from income_loo_alllags.do; replaces the Python-based table in the 13 October draft.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700"/>
        <w:gridCol w:w="900"/>
        <w:gridCol w:w="700"/>
        <w:gridCol w:w="900"/>
        <w:gridCol w:w="700"/>
        <w:gridCol w:w="900"/>
        <w:gridCol w:w="700"/>
      </w:tblGrid>
      <w:tr>
        <w:tc>
          <w:tcPr>
            <w:tcW w:type="dxa" w:w="23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
            </w:r>
          </w:p>
        </w:tc>
        <w:tc>
          <w:tcPr>
            <w:tcW w:type="dxa" w:w="1600"/>
            <w:gridSpan w:val="2"/>
            <w:tcBorders>
              <w:top w:val="single" w:color="000000" w:sz="6"/>
              <w:left w:val="none" w:color="FFFFFF" w:sz="0"/>
              <w:bottom w:val="none" w:color="FFFFFF" w:sz="0"/>
              <w:right w:val="none" w:color="FFFFFF" w:sz="0"/>
            </w:tcBorders>
          </w:tcPr>
          <w:p>
            <w:pPr>
              <w:jc w:val="center"/>
            </w:pPr>
            <w:r>
              <w:rPr>
                <w:rFonts w:ascii="Garamond" w:cs="Garamond" w:eastAsia="Garamond" w:hAnsi="Garamond"/>
                <w:b/>
                <w:bCs/>
                <w:i w:val="false"/>
                <w:iCs w:val="false"/>
                <w:sz w:val="20"/>
                <w:szCs w:val="20"/>
              </w:rPr>
              <w:t xml:space="preserve">All 18 donors</w:t>
            </w:r>
          </w:p>
        </w:tc>
        <w:tc>
          <w:tcPr>
            <w:tcW w:type="dxa" w:w="1600"/>
            <w:gridSpan w:val="2"/>
            <w:tcBorders>
              <w:top w:val="single" w:color="000000" w:sz="6"/>
              <w:left w:val="none" w:color="FFFFFF" w:sz="0"/>
              <w:bottom w:val="none" w:color="FFFFFF" w:sz="0"/>
              <w:right w:val="none" w:color="FFFFFF" w:sz="0"/>
            </w:tcBorders>
          </w:tcPr>
          <w:p>
            <w:pPr>
              <w:jc w:val="center"/>
            </w:pPr>
            <w:r>
              <w:rPr>
                <w:rFonts w:ascii="Garamond" w:cs="Garamond" w:eastAsia="Garamond" w:hAnsi="Garamond"/>
                <w:b/>
                <w:bCs/>
                <w:i w:val="false"/>
                <w:iCs w:val="false"/>
                <w:sz w:val="20"/>
                <w:szCs w:val="20"/>
              </w:rPr>
              <w:t xml:space="preserve">Without Bangladesh</w:t>
            </w:r>
          </w:p>
        </w:tc>
        <w:tc>
          <w:tcPr>
            <w:tcW w:type="dxa" w:w="1600"/>
            <w:gridSpan w:val="2"/>
            <w:tcBorders>
              <w:top w:val="single" w:color="000000" w:sz="6"/>
              <w:left w:val="none" w:color="FFFFFF" w:sz="0"/>
              <w:bottom w:val="none" w:color="FFFFFF" w:sz="0"/>
              <w:right w:val="none" w:color="FFFFFF" w:sz="0"/>
            </w:tcBorders>
          </w:tcPr>
          <w:p>
            <w:pPr>
              <w:jc w:val="center"/>
            </w:pPr>
            <w:r>
              <w:rPr>
                <w:rFonts w:ascii="Garamond" w:cs="Garamond" w:eastAsia="Garamond" w:hAnsi="Garamond"/>
                <w:b/>
                <w:bCs/>
                <w:i w:val="false"/>
                <w:iCs w:val="false"/>
                <w:sz w:val="20"/>
                <w:szCs w:val="20"/>
              </w:rPr>
              <w:t xml:space="preserve">Without China</w:t>
            </w:r>
          </w:p>
        </w:tc>
        <w:tc>
          <w:tcPr>
            <w:tcW w:type="dxa" w:w="1600"/>
            <w:gridSpan w:val="2"/>
            <w:tcBorders>
              <w:top w:val="single" w:color="000000" w:sz="6"/>
              <w:left w:val="none" w:color="FFFFFF" w:sz="0"/>
              <w:bottom w:val="none" w:color="FFFFFF" w:sz="0"/>
              <w:right w:val="none" w:color="FFFFFF" w:sz="0"/>
            </w:tcBorders>
          </w:tcPr>
          <w:p>
            <w:pPr>
              <w:jc w:val="center"/>
            </w:pPr>
            <w:r>
              <w:rPr>
                <w:rFonts w:ascii="Garamond" w:cs="Garamond" w:eastAsia="Garamond" w:hAnsi="Garamond"/>
                <w:b/>
                <w:bCs/>
                <w:i w:val="false"/>
                <w:iCs w:val="false"/>
                <w:sz w:val="20"/>
                <w:szCs w:val="20"/>
              </w:rPr>
              <w:t xml:space="preserve">Without Ethiopia</w:t>
            </w:r>
          </w:p>
        </w:tc>
      </w:tr>
      <w:tr>
        <w:tc>
          <w:tcPr>
            <w:tcW w:type="dxa" w:w="2300"/>
            <w:tcBorders>
              <w:top w:val="none" w:color="FFFFFF" w:sz="0"/>
              <w:left w:val="none" w:color="FFFFFF" w:sz="0"/>
              <w:bottom w:val="single" w:color="000000" w:sz="6"/>
              <w:right w:val="none" w:color="FFFFFF" w:sz="0"/>
            </w:tcBorders>
          </w:tcPr>
          <w:p>
            <w:pPr>
              <w:jc w:val="left"/>
            </w:pPr>
            <w:r>
              <w:rPr>
                <w:rFonts w:ascii="Garamond" w:cs="Garamond" w:eastAsia="Garamond" w:hAnsi="Garamond"/>
                <w:b w:val="false"/>
                <w:bCs w:val="false"/>
                <w:i/>
                <w:iCs/>
                <w:sz w:val="20"/>
                <w:szCs w:val="20"/>
              </w:rPr>
              <w:t xml:space="preserve">Year</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Effect</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p</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Effect</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p</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Effect</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p</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Effect</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iCs/>
                <w:sz w:val="20"/>
                <w:szCs w:val="20"/>
              </w:rPr>
              <w:t xml:space="preserve">p</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2014</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-254</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-214</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-301</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-470</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2015</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-286</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-238</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-312</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-458</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2016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-339</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-297</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0.13</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-374</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0.19</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-394</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0.20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2017</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-442</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0.12</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-418</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-515</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0.19</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-396</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0.20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2018</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-384</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-345</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0.13</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-559</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0.13</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-609</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0.13</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2019</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-425</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-371</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-575</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0.13</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-681</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0.07</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2020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-963</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-902</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-1,096</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-1,135</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2021</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-631</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-488</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-637</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-1,208</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2022</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-642</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-513</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-680</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-1,139</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0.00</w:t>
            </w:r>
          </w:p>
        </w:tc>
      </w:tr>
      <w:tr>
        <w:tc>
          <w:tcPr>
            <w:tcW w:type="dxa" w:w="2300"/>
            <w:tcBorders>
              <w:top w:val="none" w:color="FFFFFF" w:sz="0"/>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2023</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-593</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-461</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0.19</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-498</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0.31</w:t>
            </w:r>
          </w:p>
        </w:tc>
        <w:tc>
          <w:tcPr>
            <w:tcW w:type="dxa" w:w="9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-851</w:t>
            </w:r>
          </w:p>
        </w:tc>
        <w:tc>
          <w:tcPr>
            <w:tcW w:type="dxa" w:w="700"/>
            <w:tcBorders>
              <w:top w:val="none" w:color="FFFFFF" w:sz="0"/>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0.13</w:t>
            </w:r>
          </w:p>
        </w:tc>
      </w:tr>
      <w:tr>
        <w:tc>
          <w:tcPr>
            <w:tcW w:type="dxa" w:w="2300"/>
            <w:tcBorders>
              <w:top w:val="single" w:color="000000" w:sz="6"/>
              <w:left w:val="none" w:color="FFFFFF" w:sz="0"/>
              <w:bottom w:val="none" w:color="FFFFFF" w:sz="0"/>
              <w:right w:val="none" w:color="FFFFFF" w:sz="0"/>
            </w:tcBorders>
          </w:tcPr>
          <w:p>
            <w:pPr>
              <w:jc w:val="left"/>
            </w:pPr>
            <w:r>
              <w:rPr>
                <w:rFonts w:ascii="Garamond" w:cs="Garamond" w:eastAsia="Garamond" w:hAnsi="Garamond"/>
                <w:b w:val="false"/>
                <w:bCs w:val="false"/>
                <w:i w:val="false"/>
                <w:iCs w:val="false"/>
                <w:sz w:val="20"/>
                <w:szCs w:val="20"/>
              </w:rPr>
              <w:t xml:space="preserve">Pre-treatment RMSPE</w:t>
            </w:r>
          </w:p>
        </w:tc>
        <w:tc>
          <w:tcPr>
            <w:tcW w:type="dxa" w:w="9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47.4</w:t>
            </w:r>
          </w:p>
        </w:tc>
        <w:tc>
          <w:tcPr>
            <w:tcW w:type="dxa" w:w="7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
            </w:r>
          </w:p>
        </w:tc>
        <w:tc>
          <w:tcPr>
            <w:tcW w:type="dxa" w:w="9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49.2</w:t>
            </w:r>
          </w:p>
        </w:tc>
        <w:tc>
          <w:tcPr>
            <w:tcW w:type="dxa" w:w="7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
            </w:r>
          </w:p>
        </w:tc>
        <w:tc>
          <w:tcPr>
            <w:tcW w:type="dxa" w:w="9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64.4</w:t>
            </w:r>
          </w:p>
        </w:tc>
        <w:tc>
          <w:tcPr>
            <w:tcW w:type="dxa" w:w="7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
            </w:r>
          </w:p>
        </w:tc>
        <w:tc>
          <w:tcPr>
            <w:tcW w:type="dxa" w:w="9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90.1</w:t>
            </w:r>
          </w:p>
        </w:tc>
        <w:tc>
          <w:tcPr>
            <w:tcW w:type="dxa" w:w="700"/>
            <w:tcBorders>
              <w:top w:val="single" w:color="000000" w:sz="6"/>
              <w:left w:val="none" w:color="FFFFFF" w:sz="0"/>
              <w:bottom w:val="none" w:color="FFFFFF" w:sz="0"/>
              <w:right w:val="none" w:color="FFFFFF" w:sz="0"/>
            </w:tcBorders>
          </w:tcPr>
          <w:p>
            <w:pPr>
              <w:jc w:val="center"/>
            </w:pPr>
            <w:r>
              <w:rPr>
                <w:rFonts w:ascii="Garamond" w:cs="Garamond" w:eastAsia="Garamond" w:hAnsi="Garamond"/>
                <w:b w:val="false"/>
                <w:bCs w:val="false"/>
                <w:i w:val="false"/>
                <w:iCs w:val="false"/>
                <w:sz w:val="20"/>
                <w:szCs w:val="20"/>
              </w:rPr>
              <w:t xml:space="preserve"/>
            </w:r>
          </w:p>
        </w:tc>
      </w:tr>
      <w:tr>
        <w:tc>
          <w:tcPr>
            <w:tcW w:type="dxa" w:w="2300"/>
            <w:tcBorders>
              <w:top w:val="none" w:color="FFFFFF" w:sz="0"/>
              <w:left w:val="none" w:color="FFFFFF" w:sz="0"/>
              <w:bottom w:val="single" w:color="000000" w:sz="6"/>
              <w:right w:val="none" w:color="FFFFFF" w:sz="0"/>
            </w:tcBorders>
          </w:tcPr>
          <w:p>
            <w:pPr>
              <w:jc w:val="left"/>
            </w:pPr>
            <w:r>
              <w:rPr>
                <w:rFonts w:ascii="Garamond" w:cs="Garamond" w:eastAsia="Garamond" w:hAnsi="Garamond"/>
                <w:b w:val="false"/>
                <w:bCs w:val="false"/>
                <w:i w:val="false"/>
                <w:iCs w:val="false"/>
                <w:sz w:val="20"/>
                <w:szCs w:val="20"/>
              </w:rPr>
              <w:t xml:space="preserve">Post/pre ratio: rank (p)</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2 of 18</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0.06</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1 of 17</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0.00</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3 of 17</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0.12</w:t>
            </w:r>
          </w:p>
        </w:tc>
        <w:tc>
          <w:tcPr>
            <w:tcW w:type="dxa" w:w="9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1 of 16</w:t>
            </w:r>
          </w:p>
        </w:tc>
        <w:tc>
          <w:tcPr>
            <w:tcW w:type="dxa" w:w="700"/>
            <w:tcBorders>
              <w:top w:val="none" w:color="FFFFFF" w:sz="0"/>
              <w:left w:val="none" w:color="FFFFFF" w:sz="0"/>
              <w:bottom w:val="single" w:color="000000" w:sz="6"/>
              <w:right w:val="none" w:color="FFFFFF" w:sz="0"/>
            </w:tcBorders>
          </w:tcPr>
          <w:p>
            <w:pPr>
              <w:jc w:val="center"/>
            </w:pPr>
            <w:r>
              <w:rPr>
                <w:rFonts w:ascii="Garamond" w:cs="Garamond" w:eastAsia="Garamond" w:hAnsi="Garamond"/>
                <w:b w:val="false"/>
                <w:bCs w:val="false"/>
                <w:i w:val="false"/>
                <w:iCs w:val="false"/>
                <w:sz w:val="20"/>
                <w:szCs w:val="20"/>
              </w:rPr>
              <w:t xml:space="preserve">0.00</w:t>
            </w:r>
          </w:p>
        </w:tc>
      </w:tr>
    </w:tbl>
    <w:p>
      <w:pPr>
        <w:spacing w:after="120"/>
      </w:pPr>
      <w:r>
        <w:rPr>
          <w:rFonts w:ascii="Garamond" w:cs="Garamond" w:eastAsia="Garamond" w:hAnsi="Garamond"/>
          <w:b w:val="false"/>
          <w:bCs w:val="false"/>
          <w:i w:val="false"/>
          <w:iCs w:val="false"/>
          <w:sz w:val="22"/>
          <w:szCs w:val="22"/>
        </w:rPr>
        <w:t xml:space="preserve"/>
      </w:r>
    </w:p>
    <w:p>
      <w:pPr>
        <w:spacing w:after="120"/>
      </w:pPr>
      <w:r>
        <w:rPr>
          <w:rFonts w:ascii="Garamond" w:cs="Garamond" w:eastAsia="Garamond" w:hAnsi="Garamond"/>
          <w:b w:val="false"/>
          <w:bCs w:val="false"/>
          <w:i/>
          <w:iCs/>
          <w:sz w:val="18"/>
          <w:szCs w:val="18"/>
        </w:rPr>
        <w:t xml:space="preserve">Notes: Effects are India minus synthetic India in real per-capita income, from the all-lags specification (matching on every pre-treatment year of income, 1984–2013; treatment 2014) on the rule-based 18-donor pool, and then with Bangladesh, China or Ethiopia removed. Yearly p is the share of placebo units whose standardized gap (gap divided by its own pre-treatment RMSPE) exceeds India’s in that year. The post/pre ratio row ranks India among the units compared by the ratio of post- to pre-treatment RMSPE; synth_runner excludes placebo units whose nested optimization fails, so the number of units compared is 18, 17, 17 and 16 respectively (one placebo failed in the full pool and without Bangladesh or China; two failed without Ethiopia). Source: income_loo_alllags.log.</w:t>
      </w:r>
    </w:p>
    <w:p>
      <w:pPr>
        <w:spacing w:after="120"/>
      </w:pPr>
      <w:r>
        <w:rPr>
          <w:rFonts w:ascii="Garamond" w:cs="Garamond" w:eastAsia="Garamond" w:hAnsi="Garamond"/>
          <w:b w:val="false"/>
          <w:bCs w:val="false"/>
          <w:i w:val="false"/>
          <w:iCs w:val="false"/>
          <w:sz w:val="22"/>
          <w:szCs w:val="22"/>
        </w:rPr>
        <w:t xml:space="preserve"/>
      </w:r>
    </w:p>
    <w:p>
      <w:pPr>
        <w:spacing w:after="120"/>
      </w:pPr>
      <w:r>
        <w:rPr>
          <w:rFonts w:ascii="Garamond" w:cs="Garamond" w:eastAsia="Garamond" w:hAnsi="Garamond"/>
          <w:b w:val="false"/>
          <w:bCs w:val="false"/>
          <w:i w:val="false"/>
          <w:iCs w:val="false"/>
          <w:sz w:val="18"/>
          <w:szCs w:val="18"/>
        </w:rPr>
        <w:t xml:space="preserve">Changes from the printed (Python) version: all-donors column now identical to Figure 4 (2023 effect −593, p 0.06, RMSPE 47.4). Leave-one-out 2023 effects −461 / −498 / −851 (printed −489 / −475 / −846); pre-RMSPE 49.2 / 64.4 / 90.1 (printed 47.8 / 63.5 / 90.1); ranks unchanged at 2, 1, 3, 1 with the denominators above (printed 19, 18, 18, 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2026-10-14T13:21:10.264Z</dcterms:created>
  <dcterms:modified xsi:type="dcterms:W3CDTF">2026-10-14T13:21:10.282Z</dcterms:modified>
</cp:coreProperties>
</file>

<file path=docProps/custom.xml><?xml version="1.0" encoding="utf-8"?>
<Properties xmlns="http://schemas.openxmlformats.org/officeDocument/2006/custom-properties" xmlns:vt="http://schemas.openxmlformats.org/officeDocument/2006/docPropsVTypes"/>
</file>