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Garamond" w:cs="Garamond" w:eastAsia="Garamond" w:hAnsi="Garamond"/>
          <w:b/>
          <w:bCs/>
          <w:sz w:val="26"/>
          <w:szCs w:val="26"/>
        </w:rPr>
        <w:t xml:space="preserve">Verification list: every number in Section 4A (governance and civil society) and Figures A11–A12</w:t>
      </w:r>
    </w:p>
    <w:p>
      <w:r>
        <w:rPr>
          <w:rFonts w:ascii="Garamond" w:cs="Garamond" w:eastAsia="Garamond" w:hAnsi="Garamond"/>
          <w:sz w:val="18"/>
          <w:szCs w:val="18"/>
        </w:rPr>
        <w:t xml:space="preserve">Revised 2 October 2026. For each number: the document, a link, where in the document to look, and the sentence or cell that carries the number. Quotations are short extracts to help you find the spot, not substitutes for reading the page. The last column records who has checked it; “Astra” refers to the independent check of 2 October.</w:t>
      </w:r>
    </w:p>
    <w:p>
      <w:r>
        <w:rPr>
          <w:rFonts w:ascii="Garamond" w:cs="Garamond" w:eastAsia="Garamond" w:hAnsi="Garamond"/>
          <w:sz w:val="18"/>
          <w:szCs w:val="18"/>
        </w:rPr>
        <w:t xml:space="preserve"/>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500"/>
        <w:gridCol w:w="2500"/>
        <w:gridCol w:w="2500"/>
        <w:gridCol w:w="3000"/>
        <w:gridCol w:w="1100"/>
      </w:tblGrid>
      <w:tr>
        <w:trPr>
          <w:tblHeader/>
        </w:trP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b/>
                <w:bCs/>
                <w:sz w:val="18"/>
                <w:szCs w:val="18"/>
              </w:rPr>
              <w:t xml:space="preserve">#</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b/>
                <w:bCs/>
                <w:sz w:val="18"/>
                <w:szCs w:val="18"/>
              </w:rPr>
              <w:t xml:space="preserve">Number in the paper</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b/>
                <w:bCs/>
                <w:sz w:val="18"/>
                <w:szCs w:val="18"/>
              </w:rPr>
              <w:t xml:space="preserve">Document</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b/>
                <w:bCs/>
                <w:sz w:val="18"/>
                <w:szCs w:val="18"/>
              </w:rPr>
              <w:t xml:space="preserve">Link</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b/>
                <w:bCs/>
                <w:sz w:val="18"/>
                <w:szCs w:val="18"/>
              </w:rPr>
              <w:t xml:space="preserve">Where in the document</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b/>
                <w:bCs/>
                <w:sz w:val="18"/>
                <w:szCs w:val="18"/>
              </w:rPr>
              <w:t xml:space="preserve">Exact wording to look for</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b/>
                <w:bCs/>
                <w:sz w:val="18"/>
                <w:szCs w:val="18"/>
              </w:rPr>
              <w:t xml:space="preserve">Checked by</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1</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60%, 71%, 28%, 16% of bills referred to committees (14th–17th Lok Sabha). Text and Fig A11-A.</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PRS Legislative Research, Functioning of the 17th Lok Sabha (Vital Stats, 2024)</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hyperlink w:history="1" r:id="rIdgxjhjzirerxdpwuybvtnj">
              <w:r>
                <w:rPr>
                  <w:rStyle w:val="Hyperlink"/>
                  <w:rFonts w:ascii="Garamond" w:cs="Garamond" w:eastAsia="Garamond" w:hAnsi="Garamond"/>
                  <w:sz w:val="18"/>
                  <w:szCs w:val="18"/>
                </w:rPr>
                <w:t xml:space="preserve">prsindia.org/files/parliament/vital_stats/Functioning-1…</w:t>
              </w:r>
            </w:hyperlink>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Page 2, bar chart headed “% Bills referred to Committees”; also the bullet “16% of Bills were referred to Committees for detailed scrutiny.”</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Bars labelled 60% (14th), 71% (15th), 28% (16th), 16% (17th).</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Fable; Astra (page 2)</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2</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CBI: 72 politicians 2004–14, 43 (60%) opposition; 124 in 2014–Sep 2022, 118 (95%) opposition. Text and Fig A11-B.</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Tiwary, The Indian Express, 20 Sep 2022</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hyperlink w:history="1" r:id="rIdhcnkgsvpmtcl3nlfgu0dh">
              <w:r>
                <w:rPr>
                  <w:rStyle w:val="Hyperlink"/>
                  <w:rFonts w:ascii="Garamond" w:cs="Garamond" w:eastAsia="Garamond" w:hAnsi="Garamond"/>
                  <w:sz w:val="18"/>
                  <w:szCs w:val="18"/>
                </w:rPr>
                <w:t xml:space="preserve">indianexpress.com/article/express-exclusive/from-60-per…</w:t>
              </w:r>
            </w:hyperlink>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Headline and opening paragraphs; headline reads “The CBI Casebook: A surge in share of Opposition leaders in agency net.”</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Look for 72 and 43 for the UPA period, 124 and 118 for 2014 onward. Unpaywalled restatement: LiveLaw, 24 Mar 2023, para beginning “Between 2004-14, of the 72 political leaders…”.</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Fable (via Scroll, LiveLaw); Astra (original)</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3</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ED: 26 politicians 2004–14, 14 (54%) opposition; 121 in 2014–Sep 2022, 115 (95%) opposition. Text and Fig A11-B.</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Tiwary, The Indian Express, 21 Sep 2022</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hyperlink w:history="1" r:id="rIdxalos6zhi-02ljcjfxeve">
              <w:r>
                <w:rPr>
                  <w:rStyle w:val="Hyperlink"/>
                  <w:rFonts w:ascii="Garamond" w:cs="Garamond" w:eastAsia="Garamond" w:hAnsi="Garamond"/>
                  <w:sz w:val="18"/>
                  <w:szCs w:val="18"/>
                </w:rPr>
                <w:t xml:space="preserve">indianexpress.com/article/express-exclusive/since-2014-…</w:t>
              </w:r>
            </w:hyperlink>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Headline and opening paragraphs; headline reads “Since 2014, 4-fold jump in ED cases against politicians; 95% are from Opposition.”</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Look for 121 and 115, and 26 and 14. Unpaywalled restatement: NewsClick, para “121 prominent politicians … 115 belonged to the Opposition compared to only 14 out of 26”.</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Fable (via NewsClick); Astra (original)</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4</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93 hate-crime incidents in 2018 (to 26 Dec); 30 deaths in 2018. Text and Fig A12-A.</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FactChecker / Hate Crime Watch report, republished by The Wire, 27 Dec 2018</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hyperlink w:history="1" r:id="rIdfdt0kli4swzrtqzu6r_gw">
              <w:r>
                <w:rPr>
                  <w:rStyle w:val="Hyperlink"/>
                  <w:rFonts w:ascii="Garamond" w:cs="Garamond" w:eastAsia="Garamond" w:hAnsi="Garamond"/>
                  <w:sz w:val="18"/>
                  <w:szCs w:val="18"/>
                </w:rPr>
                <w:t xml:space="preserve">thewire.in/communalism/2018-saw-most-religious-hate-cri…</w:t>
              </w:r>
            </w:hyperlink>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First sentence of the article; second paragraph.</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“With 93 attacks as of December 26 …”; “In 2018, 30 people were killed in such attacks”. Footnote 12 (“cover January 1 through December 26”) follows from the first sentence.</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Fable; Astra</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5</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Yearly incidents 2009–2018: 3, 8, 1, 1, 9, 18, 30, 42, 75, 93. Deaths: 2, 0, 0, 0, 2, 4, 18, 15, 29, 30. Fig A12-A; text’s “one to nine incidents” and “zero to two deaths” for 2009–13.</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Hate Crime Watch yearly chart (Infogram embed inside the Wire article)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hyperlink w:history="1" r:id="rIdy9djge7gjfgxeknlva4m8">
              <w:r>
                <w:rPr>
                  <w:rStyle w:val="Hyperlink"/>
                  <w:rFonts w:ascii="Garamond" w:cs="Garamond" w:eastAsia="Garamond" w:hAnsi="Garamond"/>
                  <w:sz w:val="18"/>
                  <w:szCs w:val="18"/>
                </w:rPr>
                <w:t xml:space="preserve">e.infogram.com/d2837134-02db-4fd6-8ab7-4fe8766ee26b?src…</w:t>
              </w:r>
            </w:hyperlink>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The embedded chart under the heading on hate crimes by year; hover each year for the value.</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Each bar/point should read exactly the numbers at left. Cross-checks in the article text: “280 incidents since 2009 … 100 deaths”; “almost as many deaths in 2017 (29)”.</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Astra (chart data); Fable (totals)</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6</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42,569 FCRA-registered organisations, 16 July 2014. Text and Fig A12-B.</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Lok Sabha Unstarred Question No. 1866, answered 22 July 2014 (MHA)</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hyperlink w:history="1" r:id="rIdinmljfu3fmnkdyz4wofjx">
              <w:r>
                <w:rPr>
                  <w:rStyle w:val="Hyperlink"/>
                  <w:rFonts w:ascii="Garamond" w:cs="Garamond" w:eastAsia="Garamond" w:hAnsi="Garamond"/>
                  <w:sz w:val="18"/>
                  <w:szCs w:val="18"/>
                </w:rPr>
                <w:t xml:space="preserve">eparlib.nic.in/bitstream/123456789/657216/1/1215.pdf</w:t>
              </w:r>
            </w:hyperlink>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Page 1, answer to part (b).</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“As on 16/07/2014, a total number of 42,569 organisations have been registered under the FCRA, 2010”.</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Fable; Astra</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7</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16,383 FCRA-registered organisations, 10 March 2023. Text and Fig A12-B.</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Rajya Sabha written reply, 15 Mar 2023, as reported by Deccan Herald</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hyperlink w:history="1" r:id="rIdpeb9ddbxwk3nyagzvhwyn">
              <w:r>
                <w:rPr>
                  <w:rStyle w:val="Hyperlink"/>
                  <w:rFonts w:ascii="Garamond" w:cs="Garamond" w:eastAsia="Garamond" w:hAnsi="Garamond"/>
                  <w:sz w:val="18"/>
                  <w:szCs w:val="18"/>
                </w:rPr>
                <w:t xml:space="preserve">www.deccanherald.com/india/fcra-of-1827-ngos-cancelled-…</w:t>
              </w:r>
            </w:hyperlink>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Third paragraph.</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 16,383 FCRA-registered organisations as on March 10, 2023”. Astra located the original parliamentary answer with the same figure.</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Fable; Astra (original)</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8</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61.5% decline in registrations.</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Arithmetic from rows 6–7</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(42,569 − 16,383) / 42,569 = 0.6151. Describe as a decline in the registration count, not as NGOs closed.</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Fable; Astra</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9</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30,321 (31 Mar 2005) and 38,436 (31 Mar 2010) FCRA registrations. Fig A12-B.</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MHA, FCRA annual reports 2004–05 and 2009–10</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hyperlink w:history="1" r:id="rIdnjzgnad6tlscshtdk8fed">
              <w:r>
                <w:rPr>
                  <w:rStyle w:val="Hyperlink"/>
                  <w:rFonts w:ascii="Garamond" w:cs="Garamond" w:eastAsia="Garamond" w:hAnsi="Garamond"/>
                  <w:sz w:val="18"/>
                  <w:szCs w:val="18"/>
                </w:rPr>
                <w:t xml:space="preserve">fcraonline.nic.in/home/PDF_Doc/annual/ar2009-10.pdf</w:t>
              </w:r>
            </w:hyperlink>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2009–10 report: ‘Salient features’, first page, first bullet. 2004–05 report (ar2004-05.pdf in the same folder): introductory section.</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2009–10: “A total of 38436 Associations have been registered under FCRA, 1976 upto 31.3.2010”. 2004–05: “As on 31-03-2005, 30,321 associations were registered”.</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Fable; Astra</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10</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33,216 FCRA registrations, 31 Oct 2016. Fig A12-B.</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Lok Sabha Unstarred Question No. 1065, answered 22 Nov 2016 (MHA)</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hyperlink w:history="1" r:id="rIdncd4vuf8x9tr3ru7dipw6">
              <w:r>
                <w:rPr>
                  <w:rStyle w:val="Hyperlink"/>
                  <w:rFonts w:ascii="Garamond" w:cs="Garamond" w:eastAsia="Garamond" w:hAnsi="Garamond"/>
                  <w:sz w:val="18"/>
                  <w:szCs w:val="18"/>
                </w:rPr>
                <w:t xml:space="preserve">eparlib.nic.in/bitstream/123456789/689484/1/41665.pdf</w:t>
              </w:r>
            </w:hyperlink>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Page 1, answer to part (a).</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“As on 31.10.2016, 33216 associations/NGOs were registered under FCRA”.</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Fable; Astra</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11</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22,489 registered associations, 28 Feb 2021 (22,678 including 189 with prior permission). Fig A12-B.</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Rajya Sabha Unstarred Question No. 2450, 17 Mar 2021 (MHA), and the PIB release of the same reply</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hyperlink w:history="1" r:id="rId5schtm1vknj8ujj8rehcd">
              <w:r>
                <w:rPr>
                  <w:rStyle w:val="Hyperlink"/>
                  <w:rFonts w:ascii="Garamond" w:cs="Garamond" w:eastAsia="Garamond" w:hAnsi="Garamond"/>
                  <w:sz w:val="18"/>
                  <w:szCs w:val="18"/>
                </w:rPr>
                <w:t xml:space="preserve">rsdebate.nic.in/bitstream/123456789/717704/1/PQ_253_170…</w:t>
              </w:r>
            </w:hyperlink>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Answer to part (a) (debates volume pp. 216–218); the PIB release gives the split.</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Reply: “Presently 22678 NGOs have either been granted a certificate of registration or given prior permission”. PIB: 22,489 registered and 189 prior permission. The figure uses 22,489.</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Astra (split); Fable (total)</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12</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22,762 registered before 1 Jan 2022; 16,829 after the lapse. Fig A12-B.</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The Quint, 4 Jan 2022 (explainer on the FCRA lapse)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hyperlink w:history="1" r:id="rIdl3h0cb6l5pjbbgndxd09x">
              <w:r>
                <w:rPr>
                  <w:rStyle w:val="Hyperlink"/>
                  <w:rFonts w:ascii="Garamond" w:cs="Garamond" w:eastAsia="Garamond" w:hAnsi="Garamond"/>
                  <w:sz w:val="18"/>
                  <w:szCs w:val="18"/>
                </w:rPr>
                <w:t xml:space="preserve">www.thequint.com/explainers/explained-nearly-6000-ngos-…</w:t>
              </w:r>
            </w:hyperlink>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Opening section.</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“Before 1 January, 22,762 NGOs were registered … come down to 16,829”.</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Fable; Astra</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13</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62 blocking orders in 2013. Text and Fig A12-C.</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MeitY RTI reply, reported by The Hindu, 9 Jan 2024; Scroll summary</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hyperlink w:history="1" r:id="rIdxcv8swctru4zyvs_fsy1r">
              <w:r>
                <w:rPr>
                  <w:rStyle w:val="Hyperlink"/>
                  <w:rFonts w:ascii="Garamond" w:cs="Garamond" w:eastAsia="Garamond" w:hAnsi="Garamond"/>
                  <w:sz w:val="18"/>
                  <w:szCs w:val="18"/>
                </w:rPr>
                <w:t xml:space="preserve">scroll.in/latest/1061915/orders-blocking-websites-grew-…</w:t>
              </w:r>
            </w:hyperlink>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Scroll: first and second paragraphs.</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“62 such orders in 2013”. Same article: “6,954” for 2023 till October and “6,775” for 2022.</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Fable; Astra</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14</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471, 500, 633, 1,385, 2,799, 3,603, 9,849, 6,096 URLs blocked, 2014–2021. Fig A12-C.</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MeitY reply to Lok Sabha, Feb 2023, as reported (The Hawk / Business Standard); Medianama for 2017–20</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hyperlink w:history="1" r:id="rIdpoevareespqsj4obkw23b">
              <w:r>
                <w:rPr>
                  <w:rStyle w:val="Hyperlink"/>
                  <w:rFonts w:ascii="Garamond" w:cs="Garamond" w:eastAsia="Garamond" w:hAnsi="Garamond"/>
                  <w:sz w:val="18"/>
                  <w:szCs w:val="18"/>
                </w:rPr>
                <w:t xml:space="preserve">www.medianama.com/2021/03/223-sec-69a-blocks-2020-2/</w:t>
              </w:r>
            </w:hyperlink>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Medianama: second paragraph. The Hawk: paragraphs 2–3.</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Medianama: “1385, 2799, 3603 and 9849 URLs … 2017, 2018, 2019 and 2020”. 2019 is a source discrepancy (3,603 in these replies; 3,635 in an earlier annexure); the figure uses 3,603.</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Fable; Astra</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15</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6,775 (2022) and 12,483 (2023) URLs/accounts blocked. Text and Fig A12-C.</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Manral, The Indian Express, 2 Dec 2024 (MHA compilation); Swarajya summary with the same figures</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hyperlink w:history="1" r:id="rIdvygwsoqu9hj8joy_go4jn">
              <w:r>
                <w:rPr>
                  <w:rStyle w:val="Hyperlink"/>
                  <w:rFonts w:ascii="Garamond" w:cs="Garamond" w:eastAsia="Garamond" w:hAnsi="Garamond"/>
                  <w:sz w:val="18"/>
                  <w:szCs w:val="18"/>
                </w:rPr>
                <w:t xml:space="preserve">swarajyamag.com/amp/story/news-brief/major-crackdown-on…</w:t>
              </w:r>
            </w:hyperlink>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Swarajya: final paragraph (“In terms of timeline…”).</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“6,775 accounts were blocked in 2022, 12,483 in 2023, and 8,821 in 2024 (up to September)”. Footnote records MeitY’s lower interim 2023 figures: 6,954 (RTI, to Oct; row 13) and 7,502 (Rajya Sabha, 8 Dec 2023; The Wire, 9 Dec 2023).</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Fable; Astra (IE original)</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16</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Internet-use share: 12.3% (2013), 43.4% (2020), 49.26% (2021), 55.9% (2022), 60.25% (2023).</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World Bank WDI via FRED, series ITNETUSERP2IND</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hyperlink w:history="1" r:id="rIdejy4ziu1g3kub7vbwtqgg">
              <w:r>
                <w:rPr>
                  <w:rStyle w:val="Hyperlink"/>
                  <w:rFonts w:ascii="Garamond" w:cs="Garamond" w:eastAsia="Garamond" w:hAnsi="Garamond"/>
                  <w:sz w:val="18"/>
                  <w:szCs w:val="18"/>
                </w:rPr>
                <w:t xml:space="preserve">fred.stlouisfed.org/data/ITNETUSERP2IND</w:t>
              </w:r>
            </w:hyperlink>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Data table, rows dated 2013-01-01, 2020-01-01, 2021-01-01, 2022-01-01, 2023-01-01.</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12.30, 43.41, 49.26, 55.90, 60.25.</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Fable (2013, 2020, 2022); Astra (2021, 2023)</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17</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Population: 1,295,829,511 (2013); 1,402,617,695 (2020); 1,438,069,596 (2023).</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World Bank WDI, Population, total (SP.POP.TOTL), via FRED</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hyperlink w:history="1" r:id="rIdfio7ejrojzf1cwl7ftonu">
              <w:r>
                <w:rPr>
                  <w:rStyle w:val="Hyperlink"/>
                  <w:rFonts w:ascii="Garamond" w:cs="Garamond" w:eastAsia="Garamond" w:hAnsi="Garamond"/>
                  <w:sz w:val="18"/>
                  <w:szCs w:val="18"/>
                </w:rPr>
                <w:t xml:space="preserve">fred.stlouisfed.org/series/POPTOTINA647NWDB</w:t>
              </w:r>
            </w:hyperlink>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Series page, recent observations; ‘View All’ for 2013.</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2023: 1,438,069,596; 2020: 1,402,617,695; 2013: 1,295,829,511.</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Fable; Astra</w:t>
            </w:r>
          </w:p>
        </w:tc>
      </w:tr>
      <w:tr>
        <w:tc>
          <w:tcPr>
            <w:tcW w:type="dxa" w:w="4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18</w:t>
            </w:r>
          </w:p>
        </w:tc>
        <w:tc>
          <w:tcPr>
            <w:tcW w:type="dxa" w:w="26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Rates per 10 million users: 3.9 (2013), 161.8 (2020), 144.1 (2023); peak 2020. Text and Fig A12-C.</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Arithmetic from rows 13–17</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62 / 159.4 m × 10 m = 3.9; 9,849 / 608.8 m × 10 m = 161.8; 12,483 / 866.5 m × 10 m = 144.1. Users = share × population.</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rFonts w:ascii="Garamond" w:cs="Garamond" w:eastAsia="Garamond" w:hAnsi="Garamond"/>
                <w:sz w:val="18"/>
                <w:szCs w:val="18"/>
              </w:rPr>
              <w:t xml:space="preserve">Fable; Astra</w:t>
            </w:r>
          </w:p>
        </w:tc>
      </w:tr>
    </w:tbl>
    <w:p>
      <w:r>
        <w:rPr>
          <w:rFonts w:ascii="Garamond" w:cs="Garamond" w:eastAsia="Garamond" w:hAnsi="Garamond"/>
          <w:sz w:val="18"/>
          <w:szCs w:val="18"/>
        </w:rPr>
        <w:t xml:space="preserve"/>
      </w:r>
    </w:p>
    <w:p>
      <w:r>
        <w:rPr>
          <w:rFonts w:ascii="Garamond" w:cs="Garamond" w:eastAsia="Garamond" w:hAnsi="Garamond"/>
          <w:i/>
          <w:iCs/>
          <w:sz w:val="18"/>
          <w:szCs w:val="18"/>
        </w:rPr>
        <w:t xml:space="preserve">Caveats carried in the manuscript: the CBI/ED counts are politicians identified by the Indian Express investigation, not a census; Hate Crime Watch counts come from media reports and are not exhaustive; the FCRA series mixes cumulative registrations (to 2016) with active registrations (from 2021), as the Ministry reports them; blocking sources count orders, URLs or accounts depending on the year.</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xjhjzirerxdpwuybvtnj" Type="http://schemas.openxmlformats.org/officeDocument/2006/relationships/hyperlink" Target="https://prsindia.org/files/parliament/vital_stats/Functioning-17th_Lok_Sabha.pdf" TargetMode="External"/><Relationship Id="rIdhcnkgsvpmtcl3nlfgu0dh" Type="http://schemas.openxmlformats.org/officeDocument/2006/relationships/hyperlink" Target="https://indianexpress.com/article/express-exclusive/from-60-per-cent-in-upa-to-95-per-cent-in-nda-a-surge-in-share-of-opposition-leaders-in-cbi-net-express-investigation-8160912/" TargetMode="External"/><Relationship Id="rIdxalos6zhi-02ljcjfxeve" Type="http://schemas.openxmlformats.org/officeDocument/2006/relationships/hyperlink" Target="https://indianexpress.com/article/express-exclusive/since-2014-4-fold-jump-in-ed-cases-against-politicians-95-per-cent-are-from-opposition-8163060/" TargetMode="External"/><Relationship Id="rIdfdt0kli4swzrtqzu6r_gw" Type="http://schemas.openxmlformats.org/officeDocument/2006/relationships/hyperlink" Target="https://thewire.in/communalism/2018-saw-most-religious-hate-crimes-against-religions" TargetMode="External"/><Relationship Id="rIdy9djge7gjfgxeknlva4m8" Type="http://schemas.openxmlformats.org/officeDocument/2006/relationships/hyperlink" Target="https://e.infogram.com/d2837134-02db-4fd6-8ab7-4fe8766ee26b?src=embed" TargetMode="External"/><Relationship Id="rIdinmljfu3fmnkdyz4wofjx" Type="http://schemas.openxmlformats.org/officeDocument/2006/relationships/hyperlink" Target="https://eparlib.nic.in/bitstream/123456789/657216/1/1215.pdf" TargetMode="External"/><Relationship Id="rIdpeb9ddbxwk3nyagzvhwyn" Type="http://schemas.openxmlformats.org/officeDocument/2006/relationships/hyperlink" Target="https://www.deccanherald.com/india/fcra-of-1827-ngos-cancelled-between-2018-22-1200438.html" TargetMode="External"/><Relationship Id="rIdnjzgnad6tlscshtdk8fed" Type="http://schemas.openxmlformats.org/officeDocument/2006/relationships/hyperlink" Target="https://fcraonline.nic.in/home/PDF_Doc/annual/ar2009-10.pdf" TargetMode="External"/><Relationship Id="rIdncd4vuf8x9tr3ru7dipw6" Type="http://schemas.openxmlformats.org/officeDocument/2006/relationships/hyperlink" Target="https://eparlib.nic.in/bitstream/123456789/689484/1/41665.pdf" TargetMode="External"/><Relationship Id="rId5schtm1vknj8ujj8rehcd" Type="http://schemas.openxmlformats.org/officeDocument/2006/relationships/hyperlink" Target="https://rsdebate.nic.in/bitstream/123456789/717704/1/PQ_253_17032021_U2450_p216_p218.pdf" TargetMode="External"/><Relationship Id="rIdl3h0cb6l5pjbbgndxd09x" Type="http://schemas.openxmlformats.org/officeDocument/2006/relationships/hyperlink" Target="https://www.thequint.com/explainers/explained-nearly-6000-ngos-lose-fcra-license-what-now-what-next" TargetMode="External"/><Relationship Id="rIdxcv8swctru4zyvs_fsy1r" Type="http://schemas.openxmlformats.org/officeDocument/2006/relationships/hyperlink" Target="https://scroll.in/latest/1061915/orders-blocking-websites-grew-over-hundredfold-in-last-10-years-shows-rti-data" TargetMode="External"/><Relationship Id="rIdpoevareespqsj4obkw23b" Type="http://schemas.openxmlformats.org/officeDocument/2006/relationships/hyperlink" Target="https://www.medianama.com/2021/03/223-sec-69a-blocks-2020-2/" TargetMode="External"/><Relationship Id="rIdvygwsoqu9hj8joy_go4jn" Type="http://schemas.openxmlformats.org/officeDocument/2006/relationships/hyperlink" Target="https://swarajyamag.com/amp/story/news-brief/major-crackdown-on-digital-terrorism-india-blocks-10500-pro-khalistan-urls-in-past-three-years-under-it-act" TargetMode="External"/><Relationship Id="rIdejy4ziu1g3kub7vbwtqgg" Type="http://schemas.openxmlformats.org/officeDocument/2006/relationships/hyperlink" Target="https://fred.stlouisfed.org/data/ITNETUSERP2IND" TargetMode="External"/><Relationship Id="rIdfio7ejrojzf1cwl7ftonu" Type="http://schemas.openxmlformats.org/officeDocument/2006/relationships/hyperlink" Target="https://fred.stlouisfed.org/series/POPTOTINA647NWDB"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2026-10-02T14:08:57.030Z</dcterms:created>
  <dcterms:modified xsi:type="dcterms:W3CDTF">2026-10-02T14:08:57.037Z</dcterms:modified>
</cp:coreProperties>
</file>

<file path=docProps/custom.xml><?xml version="1.0" encoding="utf-8"?>
<Properties xmlns="http://schemas.openxmlformats.org/officeDocument/2006/custom-properties" xmlns:vt="http://schemas.openxmlformats.org/officeDocument/2006/docPropsVTypes"/>
</file>