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03864"/>
          <w:sz w:val="44"/>
        </w:rPr>
        <w:t>Evalueringsopplegg ODCR og AAR</w:t>
      </w:r>
    </w:p>
    <w:p>
      <w:r>
        <w:rPr>
          <w:color w:val="5A5A5A"/>
          <w:sz w:val="24"/>
        </w:rPr>
        <w:t>Trafikkulykke med militær kolonne og sekundær brann/røykutvikling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Sentral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B43 fiktiv øvelsessentral</w:t>
            </w:r>
          </w:p>
        </w:tc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Sted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Stavern</w:t>
            </w:r>
          </w:p>
        </w:tc>
      </w:tr>
      <w:tr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Scenario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E18 Farrisbrua, Larvik, fiktivt B43-område</w:t>
            </w:r>
          </w:p>
        </w:tc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Versjon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Utkast 04.05.2026</w:t>
            </w:r>
          </w:p>
        </w:tc>
      </w:tr>
    </w:tbl>
    <w:p/>
    <w:p>
      <w:pPr>
        <w:pStyle w:val="Heading1"/>
      </w:pPr>
      <w:r>
        <w:t>1. Evalueringsdesign</w:t>
      </w:r>
    </w:p>
    <w:p>
      <w:r>
        <w:t>Evalueringen gjennomføres med observasjon under øvelsen og AAR umiddelbart etterpå. Fokus er måloppnåelse, læring og forbedring, ikke å ta enkeltpersoner.</w:t>
      </w:r>
    </w:p>
    <w:p>
      <w:pPr>
        <w:pStyle w:val="Heading1"/>
      </w:pPr>
      <w:r>
        <w:t>2. Observasjonspunkter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Mål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Hva observeres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Tegn på god måloppnåelse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D1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Første meldingsmottak og utalarmering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Posisjon, skade, brann/røyk og risiko avklares raskt. Tiltak startes tidlig.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D2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Felles situasjonsforståelse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VL og OP-er deler korte, presise statusoppdateringer.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D3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Samvirke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AMK, politi og VTS får relevant informasjon og oppdateres ved endring.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D4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Rollefordeling og driftsfase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Oppgaver fordeles tydelig, og sentralen skifter arbeidsform når første ressurs er fremme.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D5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Sluttstatus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Vaktlaget kan oppsummere hendelse, tiltak, varsling og gjenstående oppfølging.</w:t>
            </w:r>
          </w:p>
        </w:tc>
      </w:tr>
    </w:tbl>
    <w:p/>
    <w:p>
      <w:r>
        <w:t>Observatørene skal særlig merke seg når rollefordeling etableres, om rollefordelingen er tydelig for hele vaktlaget, og om den justeres hensiktsmessig ved overgang til driftsfase.</w:t>
      </w:r>
    </w:p>
    <w:p>
      <w:pPr>
        <w:pStyle w:val="Heading1"/>
      </w:pPr>
      <w:r>
        <w:t>3. ODCR-skjema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Nr.</w:t>
            </w:r>
          </w:p>
        </w:tc>
        <w:tc>
          <w:tcPr>
            <w:tcW w:type="dxa" w:w="2074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Observasjon</w:t>
            </w:r>
          </w:p>
        </w:tc>
        <w:tc>
          <w:tcPr>
            <w:tcW w:type="dxa" w:w="2074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Refleksjon</w:t>
            </w:r>
          </w:p>
        </w:tc>
        <w:tc>
          <w:tcPr>
            <w:tcW w:type="dxa" w:w="2074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Konklusjon</w:t>
            </w:r>
          </w:p>
        </w:tc>
        <w:tc>
          <w:tcPr>
            <w:tcW w:type="dxa" w:w="2074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Anbefaling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74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4. AAR-gjennomføring</w:t>
      </w:r>
    </w:p>
    <w:p>
      <w:r>
        <w:t>AAR gjennomføres direkte etter øvelsen. Foreslått tidsbruk: 25-35 minutter.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Steg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Spørsmål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Hensikt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Hva forventet vi ville skje?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Koble tilbake til mål og før-brief.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Hva skjedde?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Etablere felles faktabilde.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Hvorfor ble det slik?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Forstå valg, prioriteringer og rammer.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Hva gikk bra, og hvorfor?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Identifisere bevaringspunkter.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Hva kan forbedres, og hvordan?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Identifisere konkrete læringspunkter.</w:t>
            </w:r>
          </w:p>
        </w:tc>
      </w:tr>
    </w:tbl>
    <w:p/>
    <w:p>
      <w:pPr>
        <w:pStyle w:val="Heading1"/>
      </w:pPr>
      <w:r>
        <w:t>5. Fortsette, slutte, begynne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Fortsette å gjøre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Slutte å gjøre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Begynne å gjøre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030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