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left"/>
      </w:pPr>
      <w:r>
        <w:rPr>
          <w:rFonts w:ascii="Arial Unicode MS" w:hAnsi="Arial Unicode MS" w:eastAsia="Arial Unicode MS"/>
          <w:b/>
          <w:color w:val="000000"/>
          <w:sz w:val="40"/>
        </w:rPr>
        <w:t>第一期默认登录与企业切换需求说明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2F2F2"/>
          </w:tcPr>
          <w:p>
            <w:r>
              <w:rPr>
                <w:rFonts w:ascii="Arial Unicode MS" w:hAnsi="Arial Unicode MS" w:eastAsia="Arial Unicode MS"/>
                <w:b/>
                <w:color w:val="1F1F1F"/>
                <w:sz w:val="19"/>
              </w:rPr>
              <w:t>版本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V1.0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2F2F2"/>
          </w:tcPr>
          <w:p>
            <w:r>
              <w:rPr>
                <w:rFonts w:ascii="Arial Unicode MS" w:hAnsi="Arial Unicode MS" w:eastAsia="Arial Unicode MS"/>
                <w:b/>
                <w:color w:val="1F1F1F"/>
                <w:sz w:val="19"/>
              </w:rPr>
              <w:t>状态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待评审</w:t>
            </w:r>
          </w:p>
        </w:tc>
      </w:tr>
      <w:t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2F2F2"/>
          </w:tcPr>
          <w:p>
            <w:r>
              <w:rPr>
                <w:rFonts w:ascii="Arial Unicode MS" w:hAnsi="Arial Unicode MS" w:eastAsia="Arial Unicode MS"/>
                <w:b/>
                <w:color w:val="1F1F1F"/>
                <w:sz w:val="19"/>
              </w:rPr>
              <w:t>适用范围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第一期账号与权限底座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2F2F2"/>
          </w:tcPr>
          <w:p>
            <w:r>
              <w:rPr>
                <w:rFonts w:ascii="Arial Unicode MS" w:hAnsi="Arial Unicode MS" w:eastAsia="Arial Unicode MS"/>
                <w:b/>
                <w:color w:val="1F1F1F"/>
                <w:sz w:val="19"/>
              </w:rPr>
              <w:t>提出日期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2026-09-16</w:t>
            </w:r>
          </w:p>
        </w:tc>
      </w:tr>
      <w:t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2F2F2"/>
          </w:tcPr>
          <w:p>
            <w:r>
              <w:rPr>
                <w:rFonts w:ascii="Arial Unicode MS" w:hAnsi="Arial Unicode MS" w:eastAsia="Arial Unicode MS"/>
                <w:b/>
                <w:color w:val="1F1F1F"/>
                <w:sz w:val="19"/>
              </w:rPr>
              <w:t>需求目标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减少重复验证码登录操作，同时保留企业切换与数据隔离能力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2F2F2"/>
          </w:tcPr>
          <w:p>
            <w:r>
              <w:rPr>
                <w:rFonts w:ascii="Arial Unicode MS" w:hAnsi="Arial Unicode MS" w:eastAsia="Arial Unicode MS"/>
                <w:b/>
                <w:color w:val="1F1F1F"/>
                <w:sz w:val="19"/>
              </w:rPr>
              <w:t>参考界面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用户头像菜单中的切换入口</w:t>
            </w:r>
          </w:p>
        </w:tc>
      </w:tr>
    </w:tbl>
    <w:p>
      <w:pPr>
        <w:spacing w:before="160"/>
      </w:pPr>
      <w:r>
        <w:rPr>
          <w:rFonts w:ascii="Arial Unicode MS" w:hAnsi="Arial Unicode MS" w:eastAsia="Arial Unicode MS"/>
          <w:b/>
          <w:color w:val="1F1F1F"/>
          <w:sz w:val="21"/>
        </w:rPr>
        <w:t>结论：</w:t>
      </w:r>
      <w:r>
        <w:rPr>
          <w:rFonts w:ascii="Arial Unicode MS" w:hAnsi="Arial Unicode MS" w:eastAsia="Arial Unicode MS"/>
          <w:b w:val="0"/>
          <w:color w:val="1F1F1F"/>
          <w:sz w:val="21"/>
        </w:rPr>
        <w:t>在验证码验证成功后，用户可选择“记住默认登录”。系统在可信设备上保存受保护的登录会话和默认工作空间；下次打开系统时可直接进入该工作空间。用户仍可通过右上角个人信息菜单中的“切换企业”进入其已激活企业列表，快速更换当前企业。此功能不保存验证码，也不允许访问未激活、停用或未授权的企业。</w:t>
      </w:r>
    </w:p>
    <w:p>
      <w:pPr>
        <w:pStyle w:val="Heading1"/>
        <w:spacing w:before="280" w:after="120"/>
      </w:pPr>
      <w:r>
        <w:rPr>
          <w:rFonts w:ascii="Arial Unicode MS" w:hAnsi="Arial Unicode MS" w:eastAsia="Arial Unicode MS"/>
          <w:b/>
          <w:color w:val="1F1F1F"/>
          <w:sz w:val="26"/>
        </w:rPr>
        <w:t>1 需求背景与目标</w:t>
      </w:r>
    </w:p>
    <w:p>
      <w:r>
        <w:rPr>
          <w:rFonts w:ascii="Arial Unicode MS" w:hAnsi="Arial Unicode MS" w:eastAsia="Arial Unicode MS"/>
          <w:b w:val="0"/>
          <w:color w:val="1F1F1F"/>
          <w:sz w:val="21"/>
        </w:rPr>
        <w:t>当前第一期登录流程在完成验证码认证后，需要解析用户可进入的企业。对于长期使用同一企业的用户，反复输入验证码和重复选择企业会增加操作成本。附图展示了用户头像菜单中的“切换账号”入口，本需求将该入口定义为“切换企业”，用于切换已激活的企业工作空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828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减少重复登录操作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用户主动选择后，在同一可信设备上记住默认登录状态与默认企业。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保持企业隔离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默认登录和企业切换均以有效成员关系为准，不能凭本地记录绕过企业授权。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支持多企业用户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已激活多家企业的用户可从个人信息菜单快速切换企业，无需重复输入另一企业密码。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保留安全控制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退出登录、停用、合作终止、风险识别或敏感操作时，系统可撤销默认登录并要求重新认证。</w:t>
            </w:r>
          </w:p>
        </w:tc>
      </w:tr>
    </w:tbl>
    <w:p>
      <w:pPr>
        <w:spacing w:after="20"/>
      </w:pPr>
    </w:p>
    <w:p>
      <w:pPr>
        <w:pStyle w:val="Heading1"/>
        <w:spacing w:before="280" w:after="120"/>
      </w:pPr>
      <w:r>
        <w:rPr>
          <w:rFonts w:ascii="Arial Unicode MS" w:hAnsi="Arial Unicode MS" w:eastAsia="Arial Unicode MS"/>
          <w:b/>
          <w:color w:val="1F1F1F"/>
          <w:sz w:val="26"/>
        </w:rPr>
        <w:t>2 适用范围与术语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828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定义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默认登录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用户在验证码登录时主动勾选后，系统在当前可信设备保存受保护的长期会话和默认工作空间。下次访问时，若会话仍有效，直接进入默认企业。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默认企业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用户上一次明确设定或实际进入的企业工作空间。默认企业不是永久授权，必须持续具备有效成员关系。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已激活企业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用户已通过邀请、验证码或其他受控流程完成激活，并且该企业成员关系当前为有效状态。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切换企业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已登录用户在个人信息菜单中选择另一家已激活且有效的企业。系统换发新的企业上下文会话并重新加载权限与数据范围。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服务药企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服务专员进入所属服务商后可访问的药厂业务范围。它是业务数据范围，不等同于企业工作空间。</w:t>
            </w:r>
          </w:p>
        </w:tc>
      </w:tr>
    </w:tbl>
    <w:p>
      <w:pPr>
        <w:spacing w:after="20"/>
      </w:pPr>
    </w:p>
    <w:p>
      <w:pPr>
        <w:pStyle w:val="Heading1"/>
        <w:spacing w:before="280" w:after="120"/>
      </w:pPr>
      <w:r>
        <w:rPr>
          <w:rFonts w:ascii="Arial Unicode MS" w:hAnsi="Arial Unicode MS" w:eastAsia="Arial Unicode MS"/>
          <w:b/>
          <w:color w:val="1F1F1F"/>
          <w:sz w:val="26"/>
        </w:rPr>
        <w:t>3 用户流程</w:t>
      </w:r>
    </w:p>
    <w:p>
      <w:pPr>
        <w:pStyle w:val="Heading2"/>
        <w:spacing w:before="200" w:after="120"/>
      </w:pPr>
      <w:r>
        <w:rPr>
          <w:rFonts w:ascii="Arial Unicode MS" w:hAnsi="Arial Unicode MS" w:eastAsia="Arial Unicode MS"/>
          <w:b/>
          <w:color w:val="1F1F1F"/>
          <w:sz w:val="22"/>
        </w:rPr>
        <w:t>3.1 首次或普通验证码登录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b w:val="0"/>
          <w:color w:val="1F1F1F"/>
          <w:sz w:val="21"/>
        </w:rPr>
        <w:t>用户输入手机号或邮箱，并输入验证码。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b w:val="0"/>
          <w:color w:val="1F1F1F"/>
          <w:sz w:val="21"/>
        </w:rPr>
        <w:t>登录页展示“记住默认登录”复选框，默认不勾选。复选框的选择仅在验证码验证成功后生效。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b w:val="0"/>
          <w:color w:val="1F1F1F"/>
          <w:sz w:val="21"/>
        </w:rPr>
        <w:t>系统完成用户认证后，解析该用户当前有效的企业成员关系。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b w:val="0"/>
          <w:color w:val="1F1F1F"/>
          <w:sz w:val="21"/>
        </w:rPr>
        <w:t>只有一家有效企业时，直接进入该企业；有多家有效企业时，用户选择本次进入的企业。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b w:val="0"/>
          <w:color w:val="1F1F1F"/>
          <w:sz w:val="21"/>
        </w:rPr>
        <w:t>若用户勾选“记住默认登录”，系统将本次进入的企业设为默认企业，并在当前设备建立受保护的长期会话。</w:t>
      </w:r>
    </w:p>
    <w:p>
      <w:pPr>
        <w:pStyle w:val="Heading2"/>
        <w:spacing w:before="200" w:after="120"/>
      </w:pPr>
      <w:r>
        <w:rPr>
          <w:rFonts w:ascii="Arial Unicode MS" w:hAnsi="Arial Unicode MS" w:eastAsia="Arial Unicode MS"/>
          <w:b/>
          <w:color w:val="1F1F1F"/>
          <w:sz w:val="22"/>
        </w:rPr>
        <w:t>3.2 下次默认进入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b w:val="0"/>
          <w:color w:val="1F1F1F"/>
          <w:sz w:val="21"/>
        </w:rPr>
        <w:t>用户再次打开系统时，系统先校验本机长期会话、用户状态、企业成员关系和企业状态。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b w:val="0"/>
          <w:color w:val="1F1F1F"/>
          <w:sz w:val="21"/>
        </w:rPr>
        <w:t>全部有效时，直接进入默认企业工作空间，不再要求输入验证码或再次选择企业。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b w:val="0"/>
          <w:color w:val="1F1F1F"/>
          <w:sz w:val="21"/>
        </w:rPr>
        <w:t>默认企业已停用、用户成员关系失效、设备会话过期或被撤销时，取消默认进入，回到标准登录流程。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b w:val="0"/>
          <w:color w:val="1F1F1F"/>
          <w:sz w:val="21"/>
        </w:rPr>
        <w:t>服务专员进入默认服务商后，单一有效服务药企可自动进入；多家服务药企时，沿用最近选择或提示选择，前提是授权仍有效。</w:t>
      </w:r>
    </w:p>
    <w:p>
      <w:pPr>
        <w:pStyle w:val="Heading2"/>
        <w:spacing w:before="200" w:after="120"/>
      </w:pPr>
      <w:r>
        <w:rPr>
          <w:rFonts w:ascii="Arial Unicode MS" w:hAnsi="Arial Unicode MS" w:eastAsia="Arial Unicode MS"/>
          <w:b/>
          <w:color w:val="1F1F1F"/>
          <w:sz w:val="22"/>
        </w:rPr>
        <w:t>3.3 已登录后切换企业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b w:val="0"/>
          <w:color w:val="1F1F1F"/>
          <w:sz w:val="21"/>
        </w:rPr>
        <w:t>用户点击右上角头像或个人信息，打开个人信息菜单。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b w:val="0"/>
          <w:color w:val="1F1F1F"/>
          <w:sz w:val="21"/>
        </w:rPr>
        <w:t>菜单增加“切换企业”入口，位置与附图中的“切换账号”一致。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b w:val="0"/>
          <w:color w:val="1F1F1F"/>
          <w:sz w:val="21"/>
        </w:rPr>
        <w:t>点击后展示企业列表，仅列出该用户已激活且当前有效的企业。当前企业需明确标记。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b w:val="0"/>
          <w:color w:val="1F1F1F"/>
          <w:sz w:val="21"/>
        </w:rPr>
        <w:t>用户选择目标企业后，系统校验成员关系、企业状态、角色与服务范围，成功后进入目标企业的工作台。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b w:val="0"/>
          <w:color w:val="1F1F1F"/>
          <w:sz w:val="21"/>
        </w:rPr>
        <w:t>目标企业需要增强认证时，先完成重新认证，再完成切换。</w:t>
      </w:r>
    </w:p>
    <w:p>
      <w:pPr>
        <w:pStyle w:val="Heading1"/>
        <w:spacing w:before="280" w:after="120"/>
      </w:pPr>
      <w:r>
        <w:rPr>
          <w:rFonts w:ascii="Arial Unicode MS" w:hAnsi="Arial Unicode MS" w:eastAsia="Arial Unicode MS"/>
          <w:b/>
          <w:color w:val="1F1F1F"/>
          <w:sz w:val="26"/>
        </w:rPr>
        <w:t>4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008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232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功能需求</w:t>
            </w:r>
          </w:p>
        </w:tc>
        <w:tc>
          <w:tcPr>
            <w:tcW w:type="dxa" w:w="7272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详细规则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FR-01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记住默认登录复选框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验证码登录页显示“记住默认登录”复选框，默认不勾选。仅在验证码验证成功后，才创建默认登录状态。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FR-02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默认企业保存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用户勾选后，系统保存默认企业标识和最近工作上下文。企业标识仅由服务端维护，客户端不得以企业名称或企业码作为授权依据。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FR-03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直接进入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下次访问时，系统验证长期会话及授权状态。有效则直接进入默认企业；任何校验失败均进入标准登录或企业选择流程。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FR-04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切换企业入口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在用户头像个人信息菜单中增加“切换企业”。只有用户拥有两家及以上已激活且有效企业时展示；仅一家时隐藏该入口。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FR-05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企业列表过滤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列表只展示当前用户的有效企业成员关系。待激活、已停用、已离职、合作终止或企业暂停的企业不得展示为可切换项。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FR-06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切换后的会话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切换成功后，系统换发目标企业上下文会话，清理原企业页面缓存并重新加载菜单、角色与数据范围。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FR-07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默认企业更新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用户通过“切换企业”成功进入目标企业后，目标企业更新为新的默认企业。若用户不希望更新，可在后续设置中关闭“记住默认登录”。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FR-08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退出与撤销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主动退出登录后，默认登录立即失效。成员停用、企业暂停、合作终止、找回密码或管理员撤销会话后，也必须使默认登录失效。</w:t>
            </w:r>
          </w:p>
        </w:tc>
      </w:tr>
    </w:tbl>
    <w:p>
      <w:pPr>
        <w:spacing w:after="20"/>
      </w:pPr>
    </w:p>
    <w:p>
      <w:pPr>
        <w:pStyle w:val="Heading1"/>
        <w:spacing w:before="280" w:after="120"/>
      </w:pPr>
      <w:r>
        <w:rPr>
          <w:rFonts w:ascii="Arial Unicode MS" w:hAnsi="Arial Unicode MS" w:eastAsia="Arial Unicode MS"/>
          <w:b/>
          <w:color w:val="1F1F1F"/>
          <w:sz w:val="26"/>
        </w:rPr>
        <w:t>5 页面与交互说明</w:t>
      </w:r>
    </w:p>
    <w:p>
      <w:pPr>
        <w:pStyle w:val="Heading2"/>
        <w:spacing w:before="200" w:after="120"/>
      </w:pPr>
      <w:r>
        <w:rPr>
          <w:rFonts w:ascii="Arial Unicode MS" w:hAnsi="Arial Unicode MS" w:eastAsia="Arial Unicode MS"/>
          <w:b/>
          <w:color w:val="1F1F1F"/>
          <w:sz w:val="22"/>
        </w:rPr>
        <w:t>5.1 验证码登录页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元素</w:t>
            </w:r>
          </w:p>
        </w:tc>
        <w:tc>
          <w:tcPr>
            <w:tcW w:type="dxa" w:w="8208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交互与文案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验证码输入框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保持现有验证码输入和校验逻辑。验证码不得被保存到浏览器或设备。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记住默认登录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复选框文案：“记住默认登录”。辅助说明：“仅限当前设备使用，可在退出登录后失效。”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登录成功处理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若勾选，完成企业工作空间解析后保存默认企业；若未勾选，本次仅建立普通会话，不保存默认登录。</w:t>
            </w:r>
          </w:p>
        </w:tc>
      </w:tr>
    </w:tbl>
    <w:p>
      <w:pPr>
        <w:spacing w:after="20"/>
      </w:pPr>
    </w:p>
    <w:p>
      <w:pPr>
        <w:pStyle w:val="Heading2"/>
        <w:spacing w:before="200" w:after="120"/>
      </w:pPr>
      <w:r>
        <w:rPr>
          <w:rFonts w:ascii="Arial Unicode MS" w:hAnsi="Arial Unicode MS" w:eastAsia="Arial Unicode MS"/>
          <w:b/>
          <w:color w:val="1F1F1F"/>
          <w:sz w:val="22"/>
        </w:rPr>
        <w:t>5.2 个人信息菜单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元素</w:t>
            </w:r>
          </w:p>
        </w:tc>
        <w:tc>
          <w:tcPr>
            <w:tcW w:type="dxa" w:w="8208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交互与文案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菜单入口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在头像菜单中增加“切换企业”，采用与附图“切换账号”相同的普通菜单项样式和右侧箭头。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企业选择页或弹窗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标题：“切换企业”。每项展示企业名称、当前工作身份；当前企业显示“当前企业”标记。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空状态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没有其他可切换企业时，不展示入口；不向用户暴露停用或未激活企业的名称。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切换完成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提示“已切换至 [企业名称]”，并跳转目标企业工作台。</w:t>
            </w:r>
          </w:p>
        </w:tc>
      </w:tr>
    </w:tbl>
    <w:p>
      <w:pPr>
        <w:spacing w:after="20"/>
      </w:pPr>
    </w:p>
    <w:p>
      <w:pPr>
        <w:pStyle w:val="Heading1"/>
        <w:spacing w:before="280" w:after="120"/>
      </w:pPr>
      <w:r>
        <w:rPr>
          <w:rFonts w:ascii="Arial Unicode MS" w:hAnsi="Arial Unicode MS" w:eastAsia="Arial Unicode MS"/>
          <w:b/>
          <w:color w:val="1F1F1F"/>
          <w:sz w:val="26"/>
        </w:rPr>
        <w:t>6 权限与安全要求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8208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长期会话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保存的是受保护的设备会话，不是验证码、密码或企业码。建议有效期 30 天并支持后台配置，达到策略期限后必须重新认证。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设备限制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默认登录仅对用户主动勾选的当前设备生效。新设备、无痕模式或清理浏览器数据后不得自动恢复。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敏感企业或操作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切换至企业管理员、合规、财务等敏感权限，或进行凭证、成员关系、支付和关键审批配置变更时，按策略要求重新认证或二次验证。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数据隔离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所有接口以服务端会话中的 enterprise_id、成员关系、角色授权和服务药企范围进行鉴权。客户端传入的企业参数不得作为最终授权依据。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审计记录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记录默认登录启用、自动进入、企业切换、重新认证、退出登录与会话撤销事件，至少包含用户、时间、设备标识、原企业、目标企业和结果。</w:t>
            </w:r>
          </w:p>
        </w:tc>
      </w:tr>
    </w:tbl>
    <w:p>
      <w:pPr>
        <w:spacing w:after="20"/>
      </w:pPr>
    </w:p>
    <w:p>
      <w:pPr>
        <w:pStyle w:val="Heading1"/>
        <w:spacing w:before="280" w:after="120"/>
      </w:pPr>
      <w:r>
        <w:rPr>
          <w:rFonts w:ascii="Arial Unicode MS" w:hAnsi="Arial Unicode MS" w:eastAsia="Arial Unicode MS"/>
          <w:b/>
          <w:color w:val="1F1F1F"/>
          <w:sz w:val="26"/>
        </w:rPr>
        <w:t>7 异常处理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734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系统处理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默认企业已停用或成员关系失效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不直接进入，清除该默认企业记录，回到标准登录流程并提示联系管理员。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用户拥有多家企业但默认企业不可用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认证后展示剩余有效企业列表；无有效企业时提示暂无可用企业。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切换期间目标企业权限发生变化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切换前再次校验。校验失败则停留在当前企业并给出原因提示。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服务药企范围已失效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可进入个人或消息区域，但禁止进入目标药企业务数据，并提示联系责任管理员。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检测到新设备或异常风险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取消自动进入，要求重新完成验证码或更高等级认证。</w:t>
            </w:r>
          </w:p>
        </w:tc>
      </w:tr>
    </w:tbl>
    <w:p>
      <w:pPr>
        <w:spacing w:after="20"/>
      </w:pPr>
    </w:p>
    <w:p>
      <w:pPr>
        <w:pStyle w:val="Heading1"/>
        <w:spacing w:before="280" w:after="120"/>
      </w:pPr>
      <w:r>
        <w:rPr>
          <w:rFonts w:ascii="Arial Unicode MS" w:hAnsi="Arial Unicode MS" w:eastAsia="Arial Unicode MS"/>
          <w:b/>
          <w:color w:val="1F1F1F"/>
          <w:sz w:val="26"/>
        </w:rPr>
        <w:t>8 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936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4248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验收场景</w:t>
            </w:r>
          </w:p>
        </w:tc>
        <w:tc>
          <w:tcPr>
            <w:tcW w:type="dxa" w:w="5328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预期结果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AC-01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单企业用户勾选默认登录后再次打开系统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在长期会话有效且授权未变化时，直接进入该企业。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AC-02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用户未勾选默认登录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下次访问仍走标准登录流程。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AC-03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多企业用户勾选默认登录后再次打开系统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直接进入上次设定的默认企业，不展示企业选择页。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AC-04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多企业用户点击个人信息菜单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可看到“切换企业”入口及仅包含已激活有效企业的列表。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AC-05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切换至另一家已激活企业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菜单、角色、数据范围和服务药企范围立即按目标企业重新加载。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AC-06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企业、成员或合作关系停用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已保存的默认登录失效，旧会话在策略时限内撤销，不可继续访问相关数据。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AC-07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主动退出登录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当前设备的默认登录失效，下次访问要求重新登录。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AC-08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切换至敏感权限企业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系统按安全策略要求重新认证，未通过认证不得完成切换。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AC-09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用户尝试通过浏览器参数修改企业标识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服务端拒绝未授权访问，不能读取其他企业数据。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AC-10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审计查询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3F8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1F1F"/>
                <w:sz w:val="19"/>
              </w:rPr>
              <w:t>可查询默认登录启用、自动进入、企业切换、退出和会话撤销记录。</w:t>
            </w:r>
          </w:p>
        </w:tc>
      </w:tr>
    </w:tbl>
    <w:p>
      <w:pPr>
        <w:spacing w:after="20"/>
      </w:pPr>
    </w:p>
    <w:p>
      <w:pPr>
        <w:pStyle w:val="Heading1"/>
        <w:spacing w:before="280" w:after="120"/>
      </w:pPr>
      <w:r>
        <w:rPr>
          <w:rFonts w:ascii="Arial Unicode MS" w:hAnsi="Arial Unicode MS" w:eastAsia="Arial Unicode MS"/>
          <w:b/>
          <w:color w:val="1F1F1F"/>
          <w:sz w:val="26"/>
        </w:rPr>
        <w:t>9 待业务确认事项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b w:val="0"/>
          <w:color w:val="1F1F1F"/>
          <w:sz w:val="21"/>
        </w:rPr>
        <w:t>默认登录长期会话的正式有效期，以及是否按企业类型或角色区分。本文建议初始设为 30 天且可配置。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b w:val="0"/>
          <w:color w:val="1F1F1F"/>
          <w:sz w:val="21"/>
        </w:rPr>
        <w:t>用户切换企业后是否默认更新“默认企业”。本文按“成功切换即更新”设计。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b w:val="0"/>
          <w:color w:val="1F1F1F"/>
          <w:sz w:val="21"/>
        </w:rPr>
        <w:t>是否增加“设备管理”和“取消记住默认登录”设置入口。本文将主动退出登录作为第一期最低撤销方式。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b w:val="0"/>
          <w:color w:val="1F1F1F"/>
          <w:sz w:val="21"/>
        </w:rPr>
        <w:t>哪些角色和企业类型必须在切换时增强认证。</w:t>
      </w:r>
    </w:p>
    <w:p>
      <w:pPr>
        <w:pStyle w:val="Heading1"/>
        <w:spacing w:before="280" w:after="120"/>
      </w:pPr>
      <w:r>
        <w:rPr>
          <w:rFonts w:ascii="Arial Unicode MS" w:hAnsi="Arial Unicode MS" w:eastAsia="Arial Unicode MS"/>
          <w:b/>
          <w:color w:val="1F1F1F"/>
          <w:sz w:val="26"/>
        </w:rPr>
        <w:t>10 非本期范围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b w:val="0"/>
          <w:color w:val="1F1F1F"/>
          <w:sz w:val="21"/>
        </w:rPr>
        <w:t>企业微信、OIDC/SAML 单点登录、通行密钥和 SCIM 目录同步。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b w:val="0"/>
          <w:color w:val="1F1F1F"/>
          <w:sz w:val="21"/>
        </w:rPr>
        <w:t>企业注册认证、资质有效期管理和企业专属域名登录。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b w:val="0"/>
          <w:color w:val="1F1F1F"/>
          <w:sz w:val="21"/>
        </w:rPr>
        <w:t>跨企业账号自动合并，或仅凭企业码自助加入企业。</w:t>
      </w:r>
    </w:p>
    <w:p>
      <w:pPr>
        <w:pStyle w:val="Heading1"/>
        <w:spacing w:before="280" w:after="120"/>
      </w:pPr>
      <w:r>
        <w:rPr>
          <w:rFonts w:ascii="Arial Unicode MS" w:hAnsi="Arial Unicode MS" w:eastAsia="Arial Unicode MS"/>
          <w:b/>
          <w:color w:val="1F1F1F"/>
          <w:sz w:val="26"/>
        </w:rPr>
        <w:t>11 需求依据</w:t>
      </w:r>
    </w:p>
    <w:p>
      <w:r>
        <w:rPr>
          <w:rFonts w:ascii="Arial Unicode MS" w:hAnsi="Arial Unicode MS" w:eastAsia="Arial Unicode MS"/>
          <w:b w:val="0"/>
          <w:color w:val="1F1F1F"/>
          <w:sz w:val="21"/>
        </w:rPr>
        <w:t>本需求沿用《企业注册认证与多租户登录方案》V2.0 的原则：先认证用户，再解析有效企业成员关系；企业码仅作为兼容二级入口；企业切换基于有效成员关系并换发企业上下文会话；服务药企为独立业务数据范围。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