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C7DAC">
      <w:pPr>
        <w:pStyle w:val="6"/>
        <w:rPr>
          <w:lang w:eastAsia="zh-CN"/>
        </w:rPr>
      </w:pPr>
      <w:bookmarkStart w:id="35" w:name="_GoBack"/>
      <w:bookmarkStart w:id="0" w:name="_Toc8053"/>
    </w:p>
    <w:p w14:paraId="209DFCD0">
      <w:pPr>
        <w:pStyle w:val="6"/>
        <w:rPr>
          <w:rFonts w:eastAsiaTheme="minorEastAsia"/>
          <w:lang w:eastAsia="zh-CN"/>
        </w:rPr>
      </w:pPr>
    </w:p>
    <w:p w14:paraId="67F87C6B">
      <w:pPr>
        <w:rPr>
          <w:rFonts w:eastAsiaTheme="minorEastAsia"/>
          <w:lang w:eastAsia="zh-CN"/>
        </w:rPr>
      </w:pPr>
    </w:p>
    <w:p w14:paraId="42CA124D">
      <w:pPr>
        <w:rPr>
          <w:rFonts w:eastAsiaTheme="minorEastAsia"/>
          <w:lang w:eastAsia="zh-CN"/>
        </w:rPr>
      </w:pPr>
    </w:p>
    <w:p w14:paraId="5D2CF05C">
      <w:pPr>
        <w:rPr>
          <w:rFonts w:eastAsiaTheme="minorEastAsia"/>
          <w:lang w:eastAsia="zh-CN"/>
        </w:rPr>
      </w:pPr>
    </w:p>
    <w:p w14:paraId="200DD1D7">
      <w:pPr>
        <w:rPr>
          <w:rFonts w:eastAsiaTheme="minorEastAsia"/>
          <w:lang w:eastAsia="zh-CN"/>
        </w:rPr>
      </w:pPr>
    </w:p>
    <w:p w14:paraId="4D37E578">
      <w:pPr>
        <w:rPr>
          <w:rFonts w:eastAsiaTheme="minorEastAsia"/>
          <w:lang w:eastAsia="zh-CN"/>
        </w:rPr>
      </w:pPr>
    </w:p>
    <w:p w14:paraId="746B078E">
      <w:pPr>
        <w:rPr>
          <w:rFonts w:eastAsiaTheme="minorEastAsia"/>
          <w:lang w:eastAsia="zh-CN"/>
        </w:rPr>
      </w:pPr>
    </w:p>
    <w:p w14:paraId="490DC00E">
      <w:pPr>
        <w:rPr>
          <w:rFonts w:eastAsiaTheme="minorEastAsia"/>
          <w:lang w:eastAsia="zh-CN"/>
        </w:rPr>
      </w:pPr>
    </w:p>
    <w:p w14:paraId="2F8DC176">
      <w:pPr>
        <w:rPr>
          <w:rFonts w:eastAsiaTheme="minorEastAsia"/>
          <w:lang w:eastAsia="zh-CN"/>
        </w:rPr>
      </w:pPr>
    </w:p>
    <w:p w14:paraId="6C43A6AE">
      <w:pPr>
        <w:pStyle w:val="6"/>
        <w:rPr>
          <w:lang w:eastAsia="zh-CN"/>
        </w:rPr>
      </w:pPr>
    </w:p>
    <w:p w14:paraId="7A5E40BE">
      <w:pPr>
        <w:jc w:val="center"/>
        <w:rPr>
          <w:rFonts w:hint="eastAsia" w:ascii="微软雅黑 Light" w:hAnsi="微软雅黑 Light" w:eastAsia="微软雅黑 Light" w:cs="微软雅黑 Light"/>
          <w:sz w:val="56"/>
          <w:szCs w:val="56"/>
          <w:lang w:eastAsia="zh-CN"/>
        </w:rPr>
      </w:pPr>
      <w:r>
        <w:rPr>
          <w:rFonts w:hint="eastAsia" w:ascii="微软雅黑 Light" w:hAnsi="微软雅黑 Light" w:eastAsia="微软雅黑 Light" w:cs="微软雅黑 Light"/>
          <w:sz w:val="56"/>
          <w:szCs w:val="56"/>
          <w:lang w:eastAsia="zh-CN"/>
        </w:rPr>
        <w:t>贝医-药合作系统</w:t>
      </w:r>
    </w:p>
    <w:p w14:paraId="08CEA408">
      <w:pPr>
        <w:jc w:val="center"/>
        <w:rPr>
          <w:lang w:eastAsia="zh-CN"/>
        </w:rPr>
      </w:pPr>
      <w:r>
        <w:rPr>
          <w:rFonts w:hint="eastAsia" w:ascii="微软雅黑 Light" w:hAnsi="微软雅黑 Light" w:eastAsia="微软雅黑 Light" w:cs="微软雅黑 Light"/>
          <w:sz w:val="56"/>
          <w:szCs w:val="56"/>
          <w:lang w:eastAsia="zh-CN"/>
        </w:rPr>
        <w:t>用户操作手册</w:t>
      </w:r>
      <w:bookmarkEnd w:id="0"/>
    </w:p>
    <w:p w14:paraId="7A776972">
      <w:pPr>
        <w:pStyle w:val="6"/>
        <w:rPr>
          <w:lang w:eastAsia="zh-CN"/>
        </w:rPr>
      </w:pPr>
    </w:p>
    <w:p w14:paraId="52153080">
      <w:pPr>
        <w:pStyle w:val="6"/>
        <w:rPr>
          <w:lang w:eastAsia="zh-CN"/>
        </w:rPr>
      </w:pPr>
    </w:p>
    <w:p w14:paraId="11F28288">
      <w:pPr>
        <w:pStyle w:val="6"/>
        <w:rPr>
          <w:lang w:eastAsia="zh-CN"/>
        </w:rPr>
      </w:pPr>
    </w:p>
    <w:p w14:paraId="1F8661B1">
      <w:pPr>
        <w:pStyle w:val="6"/>
        <w:rPr>
          <w:lang w:eastAsia="zh-CN"/>
        </w:rPr>
      </w:pPr>
    </w:p>
    <w:p w14:paraId="015E8551">
      <w:pPr>
        <w:pStyle w:val="6"/>
        <w:rPr>
          <w:lang w:eastAsia="zh-CN"/>
        </w:rPr>
      </w:pPr>
    </w:p>
    <w:p w14:paraId="222D28E1">
      <w:pPr>
        <w:pStyle w:val="6"/>
        <w:rPr>
          <w:lang w:eastAsia="zh-CN"/>
        </w:rPr>
      </w:pPr>
    </w:p>
    <w:p w14:paraId="3985F8E9">
      <w:pPr>
        <w:pStyle w:val="6"/>
        <w:rPr>
          <w:lang w:eastAsia="zh-CN"/>
        </w:rPr>
      </w:pPr>
    </w:p>
    <w:p w14:paraId="63AAD853">
      <w:pPr>
        <w:pStyle w:val="6"/>
        <w:rPr>
          <w:lang w:eastAsia="zh-CN"/>
        </w:rPr>
      </w:pPr>
    </w:p>
    <w:p w14:paraId="2C39C9DC">
      <w:pPr>
        <w:pStyle w:val="6"/>
        <w:rPr>
          <w:lang w:eastAsia="zh-CN"/>
        </w:rPr>
      </w:pPr>
    </w:p>
    <w:p w14:paraId="4001D15E">
      <w:pPr>
        <w:pStyle w:val="6"/>
        <w:rPr>
          <w:lang w:eastAsia="zh-CN"/>
        </w:rPr>
      </w:pPr>
    </w:p>
    <w:p w14:paraId="20C9D1D3">
      <w:pPr>
        <w:pStyle w:val="6"/>
        <w:rPr>
          <w:lang w:eastAsia="zh-CN"/>
        </w:rPr>
      </w:pPr>
    </w:p>
    <w:p w14:paraId="79835AD9">
      <w:pPr>
        <w:rPr>
          <w:lang w:eastAsia="zh-CN"/>
        </w:rPr>
      </w:pPr>
    </w:p>
    <w:p w14:paraId="3F4136CF">
      <w:pPr>
        <w:rPr>
          <w:lang w:eastAsia="zh-CN"/>
        </w:rPr>
      </w:pPr>
    </w:p>
    <w:p w14:paraId="43E08654">
      <w:pPr>
        <w:rPr>
          <w:lang w:eastAsia="zh-CN"/>
        </w:rPr>
      </w:pPr>
    </w:p>
    <w:p w14:paraId="178E2A45">
      <w:pPr>
        <w:rPr>
          <w:lang w:eastAsia="zh-CN"/>
        </w:rPr>
      </w:pPr>
    </w:p>
    <w:p w14:paraId="43F8662B">
      <w:pPr>
        <w:rPr>
          <w:lang w:eastAsia="zh-CN"/>
        </w:rPr>
      </w:pPr>
    </w:p>
    <w:p w14:paraId="2B7455F1">
      <w:pPr>
        <w:rPr>
          <w:lang w:eastAsia="zh-CN"/>
        </w:rPr>
      </w:pPr>
    </w:p>
    <w:p w14:paraId="2911BB9E">
      <w:pPr>
        <w:rPr>
          <w:lang w:eastAsia="zh-CN"/>
        </w:rPr>
      </w:pPr>
    </w:p>
    <w:p w14:paraId="285777AA">
      <w:pPr>
        <w:rPr>
          <w:lang w:eastAsia="zh-CN"/>
        </w:rPr>
      </w:pPr>
    </w:p>
    <w:p w14:paraId="3E967160">
      <w:pPr>
        <w:rPr>
          <w:lang w:eastAsia="zh-CN"/>
        </w:rPr>
      </w:pPr>
    </w:p>
    <w:p w14:paraId="2C8847B1">
      <w:pPr>
        <w:rPr>
          <w:lang w:eastAsia="zh-CN"/>
        </w:rPr>
      </w:pPr>
    </w:p>
    <w:p w14:paraId="033326A6">
      <w:pPr>
        <w:rPr>
          <w:lang w:eastAsia="zh-CN"/>
        </w:rPr>
      </w:pPr>
    </w:p>
    <w:p w14:paraId="5C5E5D82">
      <w:pPr>
        <w:rPr>
          <w:lang w:eastAsia="zh-CN"/>
        </w:rPr>
      </w:pPr>
    </w:p>
    <w:p w14:paraId="2B362EB4">
      <w:pPr>
        <w:rPr>
          <w:lang w:eastAsia="zh-CN"/>
        </w:rPr>
      </w:pPr>
    </w:p>
    <w:p w14:paraId="58AA7E24">
      <w:pPr>
        <w:rPr>
          <w:lang w:eastAsia="zh-CN"/>
        </w:rPr>
      </w:pPr>
    </w:p>
    <w:p w14:paraId="1FB6013F">
      <w:pPr>
        <w:rPr>
          <w:lang w:eastAsia="zh-CN"/>
        </w:rPr>
      </w:pPr>
    </w:p>
    <w:p w14:paraId="245AA362">
      <w:pPr>
        <w:rPr>
          <w:lang w:eastAsia="zh-CN"/>
        </w:rPr>
      </w:pPr>
    </w:p>
    <w:p w14:paraId="443AA3BE">
      <w:pPr>
        <w:rPr>
          <w:lang w:eastAsia="zh-CN"/>
        </w:rPr>
      </w:pPr>
    </w:p>
    <w:p w14:paraId="18A89242">
      <w:pPr>
        <w:rPr>
          <w:lang w:eastAsia="zh-CN"/>
        </w:rPr>
      </w:pPr>
    </w:p>
    <w:p w14:paraId="15FFA67A">
      <w:pPr>
        <w:rPr>
          <w:rFonts w:eastAsiaTheme="minorEastAsia"/>
          <w:lang w:eastAsia="zh-CN"/>
        </w:rPr>
      </w:pPr>
    </w:p>
    <w:p w14:paraId="0BA24827">
      <w:pPr>
        <w:rPr>
          <w:rFonts w:eastAsiaTheme="minorEastAsia"/>
          <w:lang w:eastAsia="zh-CN"/>
        </w:rPr>
      </w:pPr>
    </w:p>
    <w:p w14:paraId="6BB6ABA0">
      <w:pPr>
        <w:rPr>
          <w:lang w:eastAsia="zh-CN"/>
        </w:rPr>
      </w:pPr>
    </w:p>
    <w:p w14:paraId="59E30073">
      <w:pPr>
        <w:rPr>
          <w:rFonts w:eastAsiaTheme="minorEastAsia"/>
          <w:lang w:eastAsia="zh-CN"/>
        </w:rPr>
      </w:pPr>
    </w:p>
    <w:p w14:paraId="74952832">
      <w:pPr>
        <w:spacing w:before="153" w:line="226" w:lineRule="auto"/>
        <w:jc w:val="center"/>
        <w:rPr>
          <w:rFonts w:hint="eastAsia" w:ascii="微软雅黑 Light" w:hAnsi="微软雅黑 Light" w:eastAsia="微软雅黑 Light" w:cs="微软雅黑 Light"/>
          <w:spacing w:val="7"/>
          <w:sz w:val="24"/>
          <w:szCs w:val="24"/>
          <w:lang w:eastAsia="zh-CN"/>
        </w:rPr>
      </w:pPr>
      <w:bookmarkStart w:id="1" w:name="_Toc11987"/>
      <w:r>
        <w:rPr>
          <w:rFonts w:hint="eastAsia" w:ascii="微软雅黑 Light" w:hAnsi="微软雅黑 Light" w:eastAsia="微软雅黑 Light" w:cs="微软雅黑 Light"/>
          <w:spacing w:val="7"/>
          <w:sz w:val="24"/>
          <w:szCs w:val="24"/>
          <w:lang w:eastAsia="zh-CN"/>
        </w:rPr>
        <w:t>贝医信息科技（上海）有限公司</w:t>
      </w:r>
      <w:bookmarkEnd w:id="1"/>
    </w:p>
    <w:p w14:paraId="19340000">
      <w:pPr>
        <w:pStyle w:val="6"/>
        <w:rPr>
          <w:lang w:eastAsia="zh-CN"/>
        </w:rPr>
      </w:pPr>
    </w:p>
    <w:p w14:paraId="7AF0C0F6">
      <w:pPr>
        <w:pStyle w:val="6"/>
        <w:rPr>
          <w:lang w:eastAsia="zh-CN"/>
        </w:rPr>
      </w:pPr>
    </w:p>
    <w:p w14:paraId="012789B8">
      <w:pPr>
        <w:pStyle w:val="6"/>
        <w:rPr>
          <w:rFonts w:eastAsiaTheme="minorEastAsia"/>
          <w:lang w:eastAsia="zh-CN"/>
        </w:rPr>
      </w:pPr>
    </w:p>
    <w:p w14:paraId="64DAFE21">
      <w:pPr>
        <w:rPr>
          <w:rFonts w:eastAsiaTheme="minorEastAsia"/>
          <w:lang w:eastAsia="zh-CN"/>
        </w:rPr>
      </w:pPr>
    </w:p>
    <w:p w14:paraId="40543139">
      <w:pPr>
        <w:rPr>
          <w:rFonts w:eastAsiaTheme="minorEastAsia"/>
          <w:lang w:eastAsia="zh-CN"/>
        </w:rPr>
      </w:pPr>
    </w:p>
    <w:sdt>
      <w:sdtPr>
        <w:rPr>
          <w:rFonts w:ascii="宋体" w:hAnsi="宋体" w:eastAsia="宋体"/>
          <w:kern w:val="2"/>
        </w:rPr>
        <w:id w:val="14746541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4"/>
          <w:szCs w:val="24"/>
          <w:highlight w:val="yellow"/>
          <w:lang w:eastAsia="zh-CN"/>
        </w:rPr>
      </w:sdtEndPr>
      <w:sdtContent>
        <w:p w14:paraId="78F138F6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2BC180AD">
          <w:pPr>
            <w:pStyle w:val="6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 w:val="24"/>
              <w:szCs w:val="24"/>
              <w:highlight w:val="yellow"/>
              <w:lang w:eastAsia="zh-CN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4"/>
              <w:szCs w:val="24"/>
              <w:highlight w:val="yellow"/>
              <w:lang w:eastAsia="zh-CN"/>
            </w:rPr>
            <w:instrText xml:space="preserve">TOC \o "1-2" \h \u </w:instrText>
          </w:r>
          <w:r>
            <w:rPr>
              <w:rFonts w:ascii="Times New Roman" w:hAnsi="Times New Roman" w:eastAsia="宋体" w:cs="Times New Roman"/>
              <w:kern w:val="2"/>
              <w:sz w:val="24"/>
              <w:szCs w:val="24"/>
              <w:highlight w:val="yellow"/>
              <w:lang w:eastAsia="zh-CN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highlight w:val="yellow"/>
              <w:lang w:eastAsia="zh-CN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highlight w:val="yellow"/>
              <w:lang w:eastAsia="zh-CN"/>
            </w:rPr>
            <w:instrText xml:space="preserve"> HYPERLINK \l _Toc5469 </w:instrText>
          </w:r>
          <w:r>
            <w:rPr>
              <w:rFonts w:ascii="Times New Roman" w:hAnsi="Times New Roman" w:eastAsia="宋体" w:cs="Times New Roman"/>
              <w:kern w:val="2"/>
              <w:szCs w:val="24"/>
              <w:highlight w:val="yellow"/>
              <w:lang w:eastAsia="zh-CN"/>
            </w:rPr>
            <w:fldChar w:fldCharType="separate"/>
          </w:r>
          <w:r>
            <w:rPr>
              <w:rFonts w:hint="eastAsia" w:ascii="黑体" w:hAnsi="黑体" w:cs="黑体"/>
            </w:rPr>
            <w:t xml:space="preserve">一． </w:t>
          </w:r>
          <w:r>
            <w:t>角色定义</w:t>
          </w:r>
          <w:r>
            <w:tab/>
          </w:r>
          <w:r>
            <w:fldChar w:fldCharType="begin"/>
          </w:r>
          <w:r>
            <w:instrText xml:space="preserve"> PAGEREF _Toc5469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highlight w:val="yellow"/>
              <w:lang w:eastAsia="zh-CN"/>
            </w:rPr>
            <w:fldChar w:fldCharType="end"/>
          </w:r>
        </w:p>
        <w:p w14:paraId="371E8997">
          <w:pPr>
            <w:pStyle w:val="6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_Toc1999 </w:instrText>
          </w:r>
          <w:r>
            <w:rPr>
              <w:highlight w:val="yellow"/>
            </w:rPr>
            <w:fldChar w:fldCharType="separate"/>
          </w:r>
          <w:r>
            <w:rPr>
              <w:rFonts w:hint="eastAsia" w:ascii="黑体" w:hAnsi="黑体" w:cs="黑体"/>
            </w:rPr>
            <w:t xml:space="preserve">二． </w:t>
          </w:r>
          <w:r>
            <w:t>Ctrans</w:t>
          </w:r>
          <w:r>
            <w:rPr>
              <w:rFonts w:hint="eastAsia"/>
            </w:rPr>
            <w:t>系统</w:t>
          </w:r>
          <w:r>
            <w:t>创建任务</w:t>
          </w:r>
          <w:r>
            <w:tab/>
          </w:r>
          <w:r>
            <w:fldChar w:fldCharType="begin"/>
          </w:r>
          <w:r>
            <w:instrText xml:space="preserve"> PAGEREF _Toc1999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0E0750DC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_Toc249 </w:instrText>
          </w:r>
          <w:r>
            <w:rPr>
              <w:highlight w:val="yellow"/>
            </w:rPr>
            <w:fldChar w:fldCharType="separate"/>
          </w:r>
          <w:r>
            <w:rPr>
              <w:rFonts w:hint="default" w:ascii="黑体" w:hAnsi="黑体" w:cs="黑体"/>
            </w:rPr>
            <w:t xml:space="preserve">3.1 </w:t>
          </w:r>
          <w:r>
            <w:t>基础功能</w:t>
          </w:r>
          <w:r>
            <w:tab/>
          </w:r>
          <w:r>
            <w:fldChar w:fldCharType="begin"/>
          </w:r>
          <w:r>
            <w:instrText xml:space="preserve"> PAGEREF _Toc249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2618CBD7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_Toc2537 </w:instrText>
          </w:r>
          <w:r>
            <w:rPr>
              <w:highlight w:val="yellow"/>
            </w:rPr>
            <w:fldChar w:fldCharType="separate"/>
          </w:r>
          <w:r>
            <w:rPr>
              <w:rFonts w:hint="default" w:ascii="黑体" w:hAnsi="黑体" w:cs="黑体"/>
            </w:rPr>
            <w:t xml:space="preserve">3.2 </w:t>
          </w:r>
          <w:r>
            <w:t>药企创建任务</w:t>
          </w:r>
          <w:r>
            <w:tab/>
          </w:r>
          <w:r>
            <w:fldChar w:fldCharType="begin"/>
          </w:r>
          <w:r>
            <w:instrText xml:space="preserve"> PAGEREF _Toc2537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46A435B7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_Toc8191 </w:instrText>
          </w:r>
          <w:r>
            <w:rPr>
              <w:highlight w:val="yellow"/>
            </w:rPr>
            <w:fldChar w:fldCharType="separate"/>
          </w:r>
          <w:r>
            <w:rPr>
              <w:rFonts w:hint="default" w:ascii="黑体" w:hAnsi="黑体" w:cs="黑体"/>
            </w:rPr>
            <w:t xml:space="preserve">3.3 </w:t>
          </w:r>
          <w:r>
            <w:t>服务提供商拆解任务</w:t>
          </w:r>
          <w:r>
            <w:tab/>
          </w:r>
          <w:r>
            <w:fldChar w:fldCharType="begin"/>
          </w:r>
          <w:r>
            <w:instrText xml:space="preserve"> PAGEREF _Toc8191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535DEF40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_Toc24699 </w:instrText>
          </w:r>
          <w:r>
            <w:rPr>
              <w:highlight w:val="yellow"/>
            </w:rPr>
            <w:fldChar w:fldCharType="separate"/>
          </w:r>
          <w:r>
            <w:rPr>
              <w:rFonts w:hint="eastAsia"/>
            </w:rPr>
            <w:t>3.3.2 登录药合作app端拆分任务</w:t>
          </w:r>
          <w:r>
            <w:tab/>
          </w:r>
          <w:r>
            <w:fldChar w:fldCharType="begin"/>
          </w:r>
          <w:r>
            <w:instrText xml:space="preserve"> PAGEREF _Toc24699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26D59F26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_Toc5762 </w:instrText>
          </w:r>
          <w:r>
            <w:rPr>
              <w:highlight w:val="yellow"/>
            </w:rPr>
            <w:fldChar w:fldCharType="separate"/>
          </w:r>
          <w:r>
            <w:rPr>
              <w:rFonts w:hint="default" w:ascii="黑体" w:hAnsi="黑体" w:cs="黑体"/>
            </w:rPr>
            <w:t xml:space="preserve">3.4 </w:t>
          </w:r>
          <w:r>
            <w:rPr>
              <w:rFonts w:hint="eastAsia" w:eastAsia="宋体"/>
              <w:lang w:eastAsia="zh-CN"/>
            </w:rPr>
            <w:t>工作组</w:t>
          </w:r>
          <w:r>
            <w:t>拆解任务至服务专员</w:t>
          </w:r>
          <w:r>
            <w:tab/>
          </w:r>
          <w:r>
            <w:fldChar w:fldCharType="begin"/>
          </w:r>
          <w:r>
            <w:instrText xml:space="preserve"> PAGEREF _Toc5762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4EE979F0">
          <w:pPr>
            <w:pStyle w:val="7"/>
            <w:tabs>
              <w:tab w:val="right" w:leader="dot" w:pos="8306"/>
            </w:tabs>
          </w:pP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HYPERLINK \l _Toc20203 </w:instrText>
          </w:r>
          <w:r>
            <w:rPr>
              <w:highlight w:val="yellow"/>
            </w:rPr>
            <w:fldChar w:fldCharType="separate"/>
          </w:r>
          <w:r>
            <w:rPr>
              <w:rFonts w:hint="default" w:ascii="黑体" w:hAnsi="黑体" w:cs="黑体"/>
            </w:rPr>
            <w:t xml:space="preserve">3.5 </w:t>
          </w:r>
          <w:r>
            <w:t>服务专员完成任务</w:t>
          </w:r>
          <w:r>
            <w:tab/>
          </w:r>
          <w:r>
            <w:fldChar w:fldCharType="begin"/>
          </w:r>
          <w:r>
            <w:instrText xml:space="preserve"> PAGEREF _Toc20203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highlight w:val="yellow"/>
            </w:rPr>
            <w:fldChar w:fldCharType="end"/>
          </w:r>
        </w:p>
        <w:p w14:paraId="59C3D0B9">
          <w:pPr>
            <w:pStyle w:val="5"/>
            <w:widowControl/>
            <w:ind w:firstLine="480"/>
            <w:rPr>
              <w:highlight w:val="yellow"/>
            </w:rPr>
          </w:pPr>
          <w:r>
            <w:rPr>
              <w:highlight w:val="yellow"/>
            </w:rPr>
            <w:fldChar w:fldCharType="end"/>
          </w:r>
        </w:p>
      </w:sdtContent>
    </w:sdt>
    <w:p w14:paraId="482B1CD4">
      <w:pPr>
        <w:pStyle w:val="5"/>
        <w:widowControl/>
        <w:ind w:firstLine="480"/>
        <w:rPr>
          <w:highlight w:val="yellow"/>
        </w:rPr>
      </w:pPr>
    </w:p>
    <w:p w14:paraId="38FDBFC4">
      <w:pPr>
        <w:pStyle w:val="5"/>
        <w:widowControl/>
        <w:ind w:firstLine="480"/>
        <w:rPr>
          <w:highlight w:val="yellow"/>
        </w:rPr>
      </w:pPr>
    </w:p>
    <w:p w14:paraId="79B2985E">
      <w:pPr>
        <w:pStyle w:val="5"/>
        <w:widowControl/>
        <w:ind w:firstLine="480"/>
        <w:rPr>
          <w:highlight w:val="yellow"/>
        </w:rPr>
      </w:pPr>
    </w:p>
    <w:p w14:paraId="538C4A01">
      <w:pPr>
        <w:pStyle w:val="5"/>
        <w:widowControl/>
        <w:ind w:firstLine="480"/>
        <w:rPr>
          <w:highlight w:val="yellow"/>
        </w:rPr>
      </w:pPr>
    </w:p>
    <w:p w14:paraId="47FFEBF1">
      <w:pPr>
        <w:pStyle w:val="5"/>
        <w:widowControl/>
        <w:ind w:firstLine="480"/>
        <w:rPr>
          <w:highlight w:val="yellow"/>
        </w:rPr>
      </w:pPr>
    </w:p>
    <w:p w14:paraId="400B65C0">
      <w:pPr>
        <w:pStyle w:val="5"/>
        <w:widowControl/>
        <w:ind w:firstLine="480"/>
        <w:rPr>
          <w:highlight w:val="yellow"/>
        </w:rPr>
      </w:pPr>
    </w:p>
    <w:p w14:paraId="104B517E">
      <w:pPr>
        <w:pStyle w:val="5"/>
        <w:widowControl/>
        <w:ind w:firstLine="480"/>
        <w:rPr>
          <w:highlight w:val="yellow"/>
        </w:rPr>
      </w:pPr>
    </w:p>
    <w:p w14:paraId="348200FA">
      <w:pPr>
        <w:pStyle w:val="5"/>
        <w:widowControl/>
        <w:ind w:firstLine="480"/>
        <w:rPr>
          <w:highlight w:val="yellow"/>
        </w:rPr>
      </w:pPr>
    </w:p>
    <w:p w14:paraId="7A6C451E">
      <w:pPr>
        <w:pStyle w:val="5"/>
        <w:widowControl/>
        <w:ind w:firstLine="480"/>
        <w:rPr>
          <w:highlight w:val="yellow"/>
        </w:rPr>
      </w:pPr>
    </w:p>
    <w:p w14:paraId="26A488FC">
      <w:pPr>
        <w:pStyle w:val="5"/>
        <w:widowControl/>
        <w:ind w:firstLine="480"/>
        <w:rPr>
          <w:highlight w:val="yellow"/>
        </w:rPr>
      </w:pPr>
    </w:p>
    <w:p w14:paraId="2B41A0F7">
      <w:pPr>
        <w:pStyle w:val="5"/>
        <w:widowControl/>
        <w:ind w:firstLine="480"/>
        <w:rPr>
          <w:highlight w:val="yellow"/>
        </w:rPr>
      </w:pPr>
    </w:p>
    <w:p w14:paraId="325F0027">
      <w:pPr>
        <w:pStyle w:val="5"/>
        <w:widowControl/>
        <w:ind w:firstLine="480"/>
        <w:rPr>
          <w:highlight w:val="yellow"/>
        </w:rPr>
      </w:pPr>
    </w:p>
    <w:p w14:paraId="7738BDFF">
      <w:pPr>
        <w:pStyle w:val="5"/>
        <w:widowControl/>
        <w:ind w:firstLine="480"/>
        <w:rPr>
          <w:highlight w:val="yellow"/>
        </w:rPr>
      </w:pPr>
    </w:p>
    <w:p w14:paraId="7E79790F">
      <w:pPr>
        <w:pStyle w:val="5"/>
        <w:widowControl/>
        <w:ind w:firstLine="480"/>
        <w:rPr>
          <w:highlight w:val="yellow"/>
        </w:rPr>
      </w:pPr>
    </w:p>
    <w:p w14:paraId="2408A28C">
      <w:pPr>
        <w:pStyle w:val="5"/>
        <w:widowControl/>
        <w:ind w:firstLine="480"/>
        <w:rPr>
          <w:highlight w:val="yellow"/>
        </w:rPr>
      </w:pPr>
    </w:p>
    <w:p w14:paraId="0FC8EC30">
      <w:pPr>
        <w:pStyle w:val="2"/>
        <w:numPr>
          <w:ilvl w:val="0"/>
          <w:numId w:val="1"/>
        </w:numPr>
        <w:rPr>
          <w:rFonts w:hint="eastAsia" w:ascii="黑体" w:hAnsi="黑体" w:cs="黑体"/>
        </w:rPr>
      </w:pPr>
      <w:bookmarkStart w:id="2" w:name="_Toc11413"/>
      <w:bookmarkStart w:id="3" w:name="_Toc5469"/>
      <w:r>
        <w:t>角色定义</w:t>
      </w:r>
      <w:bookmarkEnd w:id="2"/>
      <w:bookmarkEnd w:id="3"/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6785"/>
      </w:tblGrid>
      <w:tr w14:paraId="0561906A">
        <w:tc>
          <w:tcPr>
            <w:tcW w:w="1018" w:type="pct"/>
          </w:tcPr>
          <w:p w14:paraId="2A19B9B7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4" w:name="_Toc25054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角色</w:t>
            </w:r>
            <w:bookmarkEnd w:id="4"/>
          </w:p>
        </w:tc>
        <w:tc>
          <w:tcPr>
            <w:tcW w:w="3981" w:type="pct"/>
          </w:tcPr>
          <w:p w14:paraId="37F677E0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5" w:name="_Toc20875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功能范围</w:t>
            </w:r>
            <w:bookmarkEnd w:id="5"/>
          </w:p>
        </w:tc>
      </w:tr>
      <w:tr w14:paraId="4F6586AB">
        <w:tc>
          <w:tcPr>
            <w:tcW w:w="1018" w:type="pct"/>
          </w:tcPr>
          <w:p w14:paraId="0AEDE34A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6" w:name="_Toc16985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药企</w:t>
            </w:r>
            <w:bookmarkEnd w:id="6"/>
          </w:p>
        </w:tc>
        <w:tc>
          <w:tcPr>
            <w:tcW w:w="3981" w:type="pct"/>
          </w:tcPr>
          <w:p w14:paraId="63354ADF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</w:pPr>
            <w:bookmarkStart w:id="7" w:name="_Toc9503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1.支持药厂账号创建与登录；</w:t>
            </w:r>
            <w:bookmarkEnd w:id="7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E8647AC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8" w:name="_Toc16172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2.登录后可操作：创建角色、机构部门、药厂子账号（子账号需关联角色授权）；</w:t>
            </w:r>
            <w:bookmarkEnd w:id="8"/>
          </w:p>
          <w:p w14:paraId="50785239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</w:pPr>
            <w:bookmarkStart w:id="9" w:name="_Toc17427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3. 可创建服务提供商账号、药品品种信息并维护资料，同时为服务提供商授予药品管理权限。</w:t>
            </w:r>
            <w:bookmarkEnd w:id="9"/>
          </w:p>
          <w:p w14:paraId="32F72C26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</w:pPr>
            <w:bookmarkStart w:id="10" w:name="_Toc11685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4.创建计划任务</w:t>
            </w:r>
            <w:bookmarkEnd w:id="10"/>
          </w:p>
        </w:tc>
      </w:tr>
      <w:tr w14:paraId="57EF2ED8">
        <w:tc>
          <w:tcPr>
            <w:tcW w:w="1018" w:type="pct"/>
          </w:tcPr>
          <w:p w14:paraId="04EC384C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1" w:name="_Toc29643"/>
            <w:r>
              <w:rPr>
                <w:rFonts w:hint="eastAsia" w:ascii="微软雅黑 Light" w:hAnsi="微软雅黑 Light" w:eastAsia="微软雅黑 Light" w:cs="微软雅黑 Light"/>
                <w:color w:val="1C1F23"/>
                <w:sz w:val="24"/>
                <w:szCs w:val="24"/>
                <w:shd w:val="clear" w:color="auto" w:fill="FFFFFF"/>
                <w:lang w:eastAsia="zh-CN"/>
              </w:rPr>
              <w:t>服务提供商</w:t>
            </w:r>
            <w:bookmarkEnd w:id="11"/>
          </w:p>
        </w:tc>
        <w:tc>
          <w:tcPr>
            <w:tcW w:w="3981" w:type="pct"/>
          </w:tcPr>
          <w:p w14:paraId="75387DD8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2" w:name="_Toc5562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1.接受药企任务</w:t>
            </w:r>
            <w:bookmarkEnd w:id="12"/>
          </w:p>
          <w:p w14:paraId="1340B731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3" w:name="_Toc7162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2.分发任务到</w:t>
            </w:r>
            <w:bookmarkEnd w:id="13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工作组</w:t>
            </w:r>
          </w:p>
          <w:p w14:paraId="34C07FAF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4" w:name="_Toc10624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3.绩效考核</w:t>
            </w:r>
            <w:bookmarkEnd w:id="14"/>
          </w:p>
        </w:tc>
      </w:tr>
      <w:tr w14:paraId="477AC7BD">
        <w:tc>
          <w:tcPr>
            <w:tcW w:w="1018" w:type="pct"/>
          </w:tcPr>
          <w:p w14:paraId="0DE4FF3F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工作组</w:t>
            </w:r>
          </w:p>
        </w:tc>
        <w:tc>
          <w:tcPr>
            <w:tcW w:w="3981" w:type="pct"/>
          </w:tcPr>
          <w:p w14:paraId="2520C125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5" w:name="_Toc2351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1.接受服务提供商任务</w:t>
            </w:r>
            <w:bookmarkEnd w:id="15"/>
          </w:p>
          <w:p w14:paraId="749E7730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6" w:name="_Toc22361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2.拆分任务到个人</w:t>
            </w:r>
            <w:bookmarkEnd w:id="16"/>
          </w:p>
          <w:p w14:paraId="7E4F68F7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7" w:name="_Toc16489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3.团队管理</w:t>
            </w:r>
            <w:bookmarkEnd w:id="17"/>
          </w:p>
        </w:tc>
      </w:tr>
      <w:tr w14:paraId="511F295B">
        <w:tc>
          <w:tcPr>
            <w:tcW w:w="1018" w:type="pct"/>
          </w:tcPr>
          <w:p w14:paraId="4C4D68D0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8" w:name="_Toc29758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服务专员</w:t>
            </w:r>
            <w:bookmarkEnd w:id="18"/>
          </w:p>
        </w:tc>
        <w:tc>
          <w:tcPr>
            <w:tcW w:w="3981" w:type="pct"/>
          </w:tcPr>
          <w:p w14:paraId="50BAD485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bookmarkStart w:id="19" w:name="_Toc3747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1.服务专员可在药友料APP填报客户拜访、会议、不良反应监测、医学问询、请假考勤、工作日报等内容；</w:t>
            </w:r>
            <w:bookmarkEnd w:id="19"/>
          </w:p>
          <w:p w14:paraId="2A77CDCE">
            <w:pPr>
              <w:widowControl w:val="0"/>
              <w:spacing w:before="153" w:line="226" w:lineRule="auto"/>
              <w:jc w:val="both"/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 xml:space="preserve"> </w:t>
            </w:r>
            <w:bookmarkStart w:id="20" w:name="_Toc21753"/>
            <w:r>
              <w:rPr>
                <w:rFonts w:hint="eastAsia" w:ascii="微软雅黑 Light" w:hAnsi="微软雅黑 Light" w:eastAsia="微软雅黑 Light" w:cs="微软雅黑 Light"/>
                <w:spacing w:val="7"/>
                <w:sz w:val="24"/>
                <w:szCs w:val="24"/>
                <w:lang w:eastAsia="zh-CN"/>
              </w:rPr>
              <w:t>2.填报内容可作绩效考核依据。</w:t>
            </w:r>
            <w:bookmarkEnd w:id="20"/>
          </w:p>
        </w:tc>
      </w:tr>
    </w:tbl>
    <w:p w14:paraId="338279E0">
      <w:pPr>
        <w:jc w:val="center"/>
        <w:rPr>
          <w:rFonts w:hint="eastAsia" w:ascii="微软雅黑 Light" w:hAnsi="微软雅黑 Light" w:eastAsia="微软雅黑 Light" w:cs="微软雅黑 Light"/>
          <w:b/>
          <w:bCs/>
          <w:sz w:val="6"/>
          <w:szCs w:val="6"/>
          <w:lang w:eastAsia="zh-CN"/>
        </w:rPr>
      </w:pPr>
    </w:p>
    <w:p w14:paraId="2F8A5CD8">
      <w:pPr>
        <w:spacing w:before="153"/>
      </w:pPr>
      <w:r>
        <w:drawing>
          <wp:inline distT="0" distB="0" distL="114300" distR="114300">
            <wp:extent cx="5255895" cy="396303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9578">
      <w:pPr>
        <w:pStyle w:val="12"/>
        <w:widowControl/>
      </w:pPr>
      <w:r>
        <w:t>贝医Ctrans</w:t>
      </w:r>
      <w:r>
        <w:rPr>
          <w:rFonts w:hint="eastAsia"/>
        </w:rPr>
        <w:t>系统</w:t>
      </w:r>
      <w:r>
        <w:t>业务流程图</w:t>
      </w:r>
    </w:p>
    <w:p w14:paraId="3D1D20FF">
      <w:pPr>
        <w:spacing w:before="153" w:line="226" w:lineRule="auto"/>
        <w:rPr>
          <w:lang w:eastAsia="zh-CN"/>
        </w:rPr>
      </w:pPr>
    </w:p>
    <w:p w14:paraId="22C64D1E">
      <w:pPr>
        <w:rPr>
          <w:lang w:eastAsia="zh-CN"/>
        </w:rPr>
      </w:pPr>
      <w:bookmarkStart w:id="21" w:name="_Toc2946"/>
    </w:p>
    <w:bookmarkEnd w:id="21"/>
    <w:p w14:paraId="711A609D">
      <w:pPr>
        <w:jc w:val="both"/>
        <w:rPr>
          <w:rFonts w:eastAsia="宋体"/>
          <w:b/>
          <w:bCs/>
          <w:lang w:eastAsia="zh-CN"/>
        </w:rPr>
      </w:pPr>
    </w:p>
    <w:p w14:paraId="1BF96AD6">
      <w:pPr>
        <w:pStyle w:val="2"/>
        <w:numPr>
          <w:ilvl w:val="0"/>
          <w:numId w:val="1"/>
        </w:numPr>
        <w:rPr>
          <w:rFonts w:hint="eastAsia" w:ascii="黑体" w:hAnsi="黑体" w:cs="黑体"/>
        </w:rPr>
      </w:pPr>
      <w:bookmarkStart w:id="22" w:name="_Toc1999"/>
      <w:bookmarkStart w:id="23" w:name="_Toc24095"/>
      <w:r>
        <w:t>Ctrans</w:t>
      </w:r>
      <w:r>
        <w:rPr>
          <w:rFonts w:hint="eastAsia"/>
        </w:rPr>
        <w:t>系统</w:t>
      </w:r>
      <w:r>
        <w:t>创建任务</w:t>
      </w:r>
      <w:bookmarkEnd w:id="22"/>
      <w:bookmarkEnd w:id="23"/>
    </w:p>
    <w:p w14:paraId="4A845AB3">
      <w:pPr>
        <w:pStyle w:val="3"/>
        <w:numPr>
          <w:ilvl w:val="0"/>
          <w:numId w:val="2"/>
        </w:numPr>
        <w:rPr>
          <w:rFonts w:hint="eastAsia" w:ascii="黑体" w:hAnsi="黑体" w:cs="黑体"/>
        </w:rPr>
      </w:pPr>
      <w:bookmarkStart w:id="24" w:name="_Toc9429"/>
      <w:bookmarkStart w:id="25" w:name="_Toc249"/>
      <w:r>
        <w:t>基础功能</w:t>
      </w:r>
      <w:bookmarkEnd w:id="24"/>
      <w:bookmarkEnd w:id="25"/>
    </w:p>
    <w:p w14:paraId="52985F64">
      <w:pPr>
        <w:rPr>
          <w:lang w:eastAsia="zh-CN"/>
        </w:rPr>
      </w:pPr>
    </w:p>
    <w:p w14:paraId="3A905B6A">
      <w:pPr>
        <w:pStyle w:val="4"/>
        <w:widowControl/>
        <w:numPr>
          <w:ilvl w:val="0"/>
          <w:numId w:val="3"/>
        </w:numPr>
      </w:pPr>
      <w:r>
        <w:t>账号开通与层级管理流程</w:t>
      </w:r>
    </w:p>
    <w:p w14:paraId="4F0FD46A">
      <w:pPr>
        <w:pStyle w:val="5"/>
        <w:widowControl/>
        <w:ind w:firstLine="480"/>
      </w:pPr>
      <w:r>
        <w:t>药厂使用系统前，需由贝医公司先行开通</w:t>
      </w:r>
      <w:r>
        <w:rPr>
          <w:b/>
        </w:rPr>
        <w:t>集团级管理账号</w:t>
      </w:r>
      <w:r>
        <w:t>；集团账号登录系统后，可创建下属药厂的独立运营账号。药厂账号登录后，支持完成全维度基础配置：创建自定义角色、搭建企业内部机构部门、新增药厂子账号并关联角色授予对应权限；同时可创建服务提供商账号，录入药品品种基础信息并维护更新资料，按需为服务提供商分配药品管理权限。</w:t>
      </w:r>
    </w:p>
    <w:p w14:paraId="2D54B75B">
      <w:pPr>
        <w:pStyle w:val="4"/>
        <w:widowControl/>
        <w:numPr>
          <w:ilvl w:val="0"/>
          <w:numId w:val="3"/>
        </w:numPr>
      </w:pPr>
      <w:r>
        <w:t>服务提供商账号创建与审核规则</w:t>
      </w:r>
    </w:p>
    <w:p w14:paraId="260AF786">
      <w:pPr>
        <w:pStyle w:val="5"/>
        <w:widowControl/>
        <w:ind w:firstLine="480"/>
      </w:pPr>
      <w:r>
        <w:t>完成主体账号（集团账号、药厂账号、服务提供商）创建后，有两种方式生成服务提供商账号：一是通过系统后台直接创建；二是由用户自行在 “药合作” APP 提交注册申请。两种方式中，</w:t>
      </w:r>
      <w:r>
        <w:rPr>
          <w:b/>
        </w:rPr>
        <w:t>用户自主注册无需经过</w:t>
      </w:r>
      <w:r>
        <w:rPr>
          <w:rFonts w:hint="eastAsia"/>
          <w:b/>
        </w:rPr>
        <w:t>系统</w:t>
      </w:r>
      <w:r>
        <w:rPr>
          <w:b/>
        </w:rPr>
        <w:t>审核</w:t>
      </w:r>
      <w:r>
        <w:t>，提交信息后即可完成账号创建；后台创建则由操作人直接录入信息生成账号，无需额外审核步骤。</w:t>
      </w:r>
    </w:p>
    <w:p w14:paraId="0DC6A4E0">
      <w:pPr>
        <w:pStyle w:val="4"/>
        <w:widowControl/>
        <w:numPr>
          <w:ilvl w:val="0"/>
          <w:numId w:val="3"/>
        </w:numPr>
      </w:pPr>
      <w:r>
        <w:t>药品品种基础信息创建规范</w:t>
      </w:r>
    </w:p>
    <w:p w14:paraId="18AFED02">
      <w:pPr>
        <w:pStyle w:val="5"/>
        <w:widowControl/>
        <w:ind w:firstLine="480"/>
      </w:pPr>
      <w:r>
        <w:t>需基于实际业务需求，在系统中创建药品品种基础信息，内容需涵盖药品通用名、商品名、批准文号、剂型、规格、生产厂家、有效期等核心字段，确保信息准确完整，为后续权限分配、业务数据统计提供基础支撑。</w:t>
      </w:r>
    </w:p>
    <w:p w14:paraId="30243214">
      <w:pPr>
        <w:pStyle w:val="4"/>
        <w:widowControl/>
        <w:numPr>
          <w:ilvl w:val="0"/>
          <w:numId w:val="3"/>
        </w:numPr>
      </w:pPr>
      <w:r>
        <w:t>服务提供商权限配置细则</w:t>
      </w:r>
    </w:p>
    <w:p w14:paraId="77A206A0">
      <w:pPr>
        <w:pStyle w:val="5"/>
        <w:widowControl/>
        <w:ind w:firstLine="480"/>
      </w:pPr>
      <w:r>
        <w:t>为服务提供商账号授权时，需精准设置权限范围：明确其可推广的药品品种列表（支持单选或批量勾选），划定具体推广地区（可按省、市、区 / 县层级划分），同时可补充设置权限有效期、推广任务关联等辅助信息，确保服务提供商仅在授权范围内开展推广工作。</w:t>
      </w:r>
    </w:p>
    <w:p w14:paraId="1DE50E68">
      <w:pPr>
        <w:rPr>
          <w:rFonts w:hint="eastAsia" w:ascii="微软雅黑 Light" w:hAnsi="微软雅黑 Light" w:eastAsia="微软雅黑 Light" w:cs="微软雅黑 Light"/>
          <w:sz w:val="24"/>
          <w:szCs w:val="24"/>
          <w:lang w:eastAsia="zh-CN"/>
        </w:rPr>
      </w:pPr>
    </w:p>
    <w:p w14:paraId="77665D02">
      <w:pPr>
        <w:pStyle w:val="3"/>
        <w:numPr>
          <w:ilvl w:val="0"/>
          <w:numId w:val="2"/>
        </w:numPr>
        <w:rPr>
          <w:rFonts w:hint="eastAsia" w:ascii="黑体" w:hAnsi="黑体" w:cs="黑体"/>
        </w:rPr>
      </w:pPr>
      <w:bookmarkStart w:id="26" w:name="_Toc2537"/>
      <w:bookmarkStart w:id="27" w:name="_Toc30398"/>
      <w:r>
        <w:t>药企创建任务</w:t>
      </w:r>
      <w:bookmarkEnd w:id="26"/>
      <w:bookmarkEnd w:id="27"/>
    </w:p>
    <w:p w14:paraId="2D0AFC88">
      <w:pPr>
        <w:pStyle w:val="5"/>
        <w:widowControl/>
        <w:ind w:firstLine="480"/>
      </w:pPr>
      <w:r>
        <w:t>药企登录药合作（Ctrans）后台→进入【任务管理】→点击 “新建任务”→完成四项信息配置（选择服务提供商、勾选品种、填写任务金额、选定数据时区）→确认信息后提交 “确定”→后台自动生成该任务的对应记录。</w:t>
      </w:r>
    </w:p>
    <w:p w14:paraId="1986A8FA">
      <w:pPr>
        <w:rPr>
          <w:lang w:eastAsia="zh-CN"/>
        </w:rPr>
      </w:pPr>
    </w:p>
    <w:p w14:paraId="5E0D41CE">
      <w:pPr>
        <w:rPr>
          <w:lang w:eastAsia="zh-CN"/>
        </w:rPr>
      </w:pPr>
    </w:p>
    <w:p w14:paraId="3DA26483">
      <w:pPr>
        <w:jc w:val="center"/>
      </w:pPr>
      <w:r>
        <w:drawing>
          <wp:inline distT="0" distB="0" distL="114300" distR="114300">
            <wp:extent cx="5273675" cy="2915285"/>
            <wp:effectExtent l="0" t="0" r="14605" b="10795"/>
            <wp:docPr id="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C5EA">
      <w:pPr>
        <w:jc w:val="center"/>
      </w:pPr>
    </w:p>
    <w:p w14:paraId="2B13710F">
      <w:pPr>
        <w:jc w:val="center"/>
      </w:pPr>
      <w:r>
        <w:drawing>
          <wp:inline distT="0" distB="0" distL="114300" distR="114300">
            <wp:extent cx="5273040" cy="2696210"/>
            <wp:effectExtent l="0" t="0" r="0" b="127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1821">
      <w:pPr>
        <w:jc w:val="center"/>
      </w:pPr>
    </w:p>
    <w:p w14:paraId="26DB6F00">
      <w:pPr>
        <w:jc w:val="center"/>
      </w:pPr>
    </w:p>
    <w:p w14:paraId="4B3E11A4">
      <w:pPr>
        <w:jc w:val="center"/>
      </w:pPr>
    </w:p>
    <w:p w14:paraId="273794B9">
      <w:pPr>
        <w:jc w:val="center"/>
      </w:pPr>
    </w:p>
    <w:p w14:paraId="1A515660">
      <w:pPr>
        <w:jc w:val="center"/>
      </w:pPr>
    </w:p>
    <w:p w14:paraId="3D6B5A32">
      <w:pPr>
        <w:jc w:val="center"/>
      </w:pPr>
    </w:p>
    <w:p w14:paraId="5A700847">
      <w:pPr>
        <w:jc w:val="center"/>
      </w:pPr>
    </w:p>
    <w:p w14:paraId="16FA7D03">
      <w:pPr>
        <w:jc w:val="center"/>
      </w:pPr>
    </w:p>
    <w:p w14:paraId="229AA12D">
      <w:pPr>
        <w:pStyle w:val="3"/>
        <w:numPr>
          <w:ilvl w:val="0"/>
          <w:numId w:val="2"/>
        </w:numPr>
        <w:rPr>
          <w:rFonts w:hint="eastAsia" w:ascii="黑体" w:hAnsi="黑体" w:cs="黑体"/>
        </w:rPr>
      </w:pPr>
      <w:bookmarkStart w:id="28" w:name="_Toc8191"/>
      <w:bookmarkStart w:id="29" w:name="_Toc10709"/>
      <w:r>
        <w:t>服务提供商拆解任务</w:t>
      </w:r>
      <w:bookmarkEnd w:id="28"/>
      <w:bookmarkEnd w:id="29"/>
    </w:p>
    <w:p w14:paraId="212600F5">
      <w:pPr>
        <w:rPr>
          <w:rFonts w:eastAsia="宋体"/>
          <w:lang w:eastAsia="zh-CN"/>
        </w:rPr>
      </w:pPr>
    </w:p>
    <w:p w14:paraId="49FF8707">
      <w:pPr>
        <w:pStyle w:val="4"/>
      </w:pPr>
      <w:r>
        <w:rPr>
          <w:rFonts w:hint="eastAsia"/>
        </w:rPr>
        <w:t>3.3.1登录药合作后台查看任务明细</w:t>
      </w:r>
    </w:p>
    <w:p w14:paraId="6AEBF114">
      <w:pPr>
        <w:pStyle w:val="5"/>
        <w:widowControl/>
        <w:ind w:firstLine="480"/>
      </w:pPr>
      <w:r>
        <w:t>服务提供商登录Ctrans</w:t>
      </w:r>
      <w:r>
        <w:rPr>
          <w:rFonts w:hint="eastAsia"/>
        </w:rPr>
        <w:t>系统</w:t>
      </w:r>
      <w:r>
        <w:t>，查看药企下发的任务，根据内容在药合作APP创建下发任务</w:t>
      </w:r>
    </w:p>
    <w:p w14:paraId="788C8ECA">
      <w:pPr>
        <w:rPr>
          <w:rFonts w:hint="eastAsia" w:ascii="微软雅黑 Light" w:hAnsi="微软雅黑 Light" w:eastAsia="微软雅黑 Light" w:cs="微软雅黑 Light"/>
          <w:sz w:val="24"/>
          <w:szCs w:val="24"/>
          <w:lang w:eastAsia="zh-CN" w:bidi="ar"/>
        </w:rPr>
      </w:pPr>
      <w:r>
        <w:drawing>
          <wp:inline distT="0" distB="0" distL="114300" distR="114300">
            <wp:extent cx="5266690" cy="2575560"/>
            <wp:effectExtent l="0" t="0" r="6350" b="0"/>
            <wp:docPr id="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C568">
      <w:pPr>
        <w:rPr>
          <w:rFonts w:hint="eastAsia" w:ascii="微软雅黑 Light" w:hAnsi="微软雅黑 Light" w:eastAsia="微软雅黑 Light" w:cs="微软雅黑 Light"/>
          <w:sz w:val="24"/>
          <w:szCs w:val="24"/>
          <w:lang w:eastAsia="zh-CN" w:bidi="ar"/>
        </w:rPr>
      </w:pPr>
    </w:p>
    <w:p w14:paraId="3FF80185">
      <w:pPr>
        <w:rPr>
          <w:rFonts w:hint="eastAsia" w:ascii="微软雅黑 Light" w:hAnsi="微软雅黑 Light" w:eastAsia="微软雅黑 Light" w:cs="微软雅黑 Light"/>
          <w:sz w:val="24"/>
          <w:szCs w:val="24"/>
          <w:lang w:eastAsia="zh-CN" w:bidi="ar"/>
        </w:rPr>
      </w:pPr>
    </w:p>
    <w:p w14:paraId="285F23E2">
      <w:pPr>
        <w:pStyle w:val="5"/>
        <w:widowControl/>
        <w:ind w:firstLine="480"/>
      </w:pPr>
      <w:r>
        <w:t>在系统中，价目表不仅包含单价，还涉及类别和比例设置，当输入一个总金额后，系统会根据已配置的单价及比例自动拆分和分配到各类工作量明细，因此在下发时显示的金额总和可能会高于最初输入的金额。这种情况是由于系统按价目表规则进行拆解和汇总所致，属于合理逻辑，并非计算错误。</w:t>
      </w:r>
    </w:p>
    <w:p w14:paraId="64F06366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75223923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3CF6E1EF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66466F27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3723297F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5AFBD06A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09776633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44987763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2828E809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445A574B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58D3B0A9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4C2D2A1F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7BB5C239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06E8F22E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319F90B9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517FE405">
      <w:pPr>
        <w:rPr>
          <w:rFonts w:hint="eastAsia" w:ascii="微软雅黑 Light" w:hAnsi="微软雅黑 Light" w:eastAsia="微软雅黑 Light" w:cs="微软雅黑 Light"/>
          <w:sz w:val="18"/>
          <w:szCs w:val="18"/>
          <w:lang w:eastAsia="zh-CN" w:bidi="ar"/>
        </w:rPr>
      </w:pPr>
    </w:p>
    <w:p w14:paraId="325B735A">
      <w:pPr>
        <w:pStyle w:val="3"/>
      </w:pPr>
      <w:bookmarkStart w:id="30" w:name="_Toc24699"/>
      <w:r>
        <w:rPr>
          <w:rFonts w:hint="eastAsia"/>
        </w:rPr>
        <w:t>3.3.2 登录药合作app端拆分任务</w:t>
      </w:r>
      <w:bookmarkEnd w:id="30"/>
    </w:p>
    <w:p w14:paraId="79650DDF">
      <w:pPr>
        <w:pStyle w:val="8"/>
        <w:jc w:val="both"/>
        <w:rPr>
          <w:rFonts w:eastAsia="宋体"/>
        </w:rPr>
      </w:pPr>
      <w:r>
        <w:rPr>
          <w:rFonts w:ascii="宋体" w:hAnsi="宋体" w:eastAsia="宋体" w:cs="宋体"/>
          <w:szCs w:val="24"/>
        </w:rPr>
        <w:drawing>
          <wp:inline distT="0" distB="0" distL="114300" distR="114300">
            <wp:extent cx="2352675" cy="5229225"/>
            <wp:effectExtent l="0" t="0" r="9525" b="13335"/>
            <wp:docPr id="7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2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drawing>
          <wp:inline distT="0" distB="0" distL="114300" distR="114300">
            <wp:extent cx="2352675" cy="5229225"/>
            <wp:effectExtent l="0" t="0" r="9525" b="13335"/>
            <wp:docPr id="73" name="图片 73" descr="ea4c3b396c1c9858e3f754a1b7f6ecc9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a4c3b396c1c9858e3f754a1b7f6ecc9_compres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1D79">
      <w:pPr>
        <w:pStyle w:val="8"/>
        <w:jc w:val="both"/>
        <w:rPr>
          <w:rFonts w:eastAsia="宋体"/>
        </w:rPr>
      </w:pPr>
    </w:p>
    <w:p w14:paraId="7BC16F5D">
      <w:pPr>
        <w:pStyle w:val="5"/>
        <w:widowControl/>
        <w:spacing w:line="240" w:lineRule="auto"/>
        <w:ind w:firstLine="480"/>
        <w:jc w:val="center"/>
      </w:pPr>
      <w:r>
        <w:drawing>
          <wp:inline distT="0" distB="0" distL="114300" distR="114300">
            <wp:extent cx="1874520" cy="4166235"/>
            <wp:effectExtent l="0" t="0" r="0" b="9525"/>
            <wp:docPr id="74" name="图片 74" descr="31b7041cc8def38d42268072128aa0a7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31b7041cc8def38d42268072128aa0a7_compre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1828800" cy="8851265"/>
            <wp:effectExtent l="0" t="0" r="0" b="3175"/>
            <wp:docPr id="75" name="图片 75" descr="24fb54fad587d24e747762ea05c78753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24fb54fad587d24e747762ea05c78753_compres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3CC5">
      <w:pPr>
        <w:pStyle w:val="5"/>
        <w:widowControl/>
        <w:spacing w:line="240" w:lineRule="auto"/>
        <w:ind w:firstLine="480"/>
      </w:pPr>
      <w:r>
        <w:drawing>
          <wp:inline distT="0" distB="0" distL="114300" distR="114300">
            <wp:extent cx="2078990" cy="4620895"/>
            <wp:effectExtent l="0" t="0" r="8890" b="12065"/>
            <wp:docPr id="76" name="图片 76" descr="6370b9657e6d2898d083bd9f59b60907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6370b9657e6d2898d083bd9f59b60907_compres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075815" cy="4615815"/>
            <wp:effectExtent l="0" t="0" r="12065" b="1905"/>
            <wp:docPr id="77" name="图片 77" descr="a408c63f3c56bc5481f8f4020aa18c89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a408c63f3c56bc5481f8f4020aa18c89_compres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2051">
      <w:pPr>
        <w:pStyle w:val="5"/>
        <w:widowControl/>
        <w:ind w:firstLine="482"/>
        <w:jc w:val="center"/>
        <w:rPr>
          <w:rFonts w:hint="eastAsia" w:eastAsia="宋体"/>
          <w:b/>
          <w:lang w:eastAsia="zh-CN"/>
        </w:rPr>
      </w:pPr>
      <w:r>
        <w:rPr>
          <w:b/>
        </w:rPr>
        <w:t>服务提供商确认任务——拆解任务至</w:t>
      </w:r>
      <w:r>
        <w:rPr>
          <w:rFonts w:hint="eastAsia"/>
          <w:b/>
          <w:lang w:eastAsia="zh-CN"/>
        </w:rPr>
        <w:t>工作组</w:t>
      </w:r>
    </w:p>
    <w:p w14:paraId="45969998">
      <w:pPr>
        <w:rPr>
          <w:rFonts w:eastAsia="宋体"/>
          <w:lang w:eastAsia="zh-CN"/>
        </w:rPr>
      </w:pPr>
    </w:p>
    <w:p w14:paraId="3D8F31B6">
      <w:pPr>
        <w:rPr>
          <w:rFonts w:eastAsia="宋体"/>
          <w:lang w:eastAsia="zh-CN"/>
        </w:rPr>
      </w:pPr>
    </w:p>
    <w:p w14:paraId="3972F69F">
      <w:pPr>
        <w:rPr>
          <w:rFonts w:eastAsia="宋体"/>
          <w:lang w:eastAsia="zh-CN"/>
        </w:rPr>
      </w:pPr>
    </w:p>
    <w:p w14:paraId="0A6C13FF">
      <w:pPr>
        <w:rPr>
          <w:rFonts w:eastAsia="宋体"/>
          <w:lang w:eastAsia="zh-CN"/>
        </w:rPr>
      </w:pPr>
    </w:p>
    <w:p w14:paraId="6F47D621">
      <w:pPr>
        <w:rPr>
          <w:rFonts w:eastAsia="宋体"/>
          <w:lang w:eastAsia="zh-CN"/>
        </w:rPr>
      </w:pPr>
    </w:p>
    <w:p w14:paraId="31EEAE8B">
      <w:pPr>
        <w:rPr>
          <w:rFonts w:eastAsia="宋体"/>
          <w:lang w:eastAsia="zh-CN"/>
        </w:rPr>
      </w:pPr>
    </w:p>
    <w:p w14:paraId="2CAADC65">
      <w:pPr>
        <w:rPr>
          <w:rFonts w:eastAsia="宋体"/>
          <w:lang w:eastAsia="zh-CN"/>
        </w:rPr>
      </w:pPr>
    </w:p>
    <w:p w14:paraId="31D5D6A0">
      <w:pPr>
        <w:rPr>
          <w:rFonts w:eastAsia="宋体"/>
          <w:lang w:eastAsia="zh-CN"/>
        </w:rPr>
      </w:pPr>
    </w:p>
    <w:p w14:paraId="739779FC">
      <w:pPr>
        <w:rPr>
          <w:rFonts w:eastAsia="宋体"/>
          <w:lang w:eastAsia="zh-CN"/>
        </w:rPr>
      </w:pPr>
    </w:p>
    <w:p w14:paraId="152FABCA">
      <w:pPr>
        <w:rPr>
          <w:rFonts w:eastAsia="宋体"/>
          <w:lang w:eastAsia="zh-CN"/>
        </w:rPr>
      </w:pPr>
    </w:p>
    <w:p w14:paraId="60DE25F2">
      <w:pPr>
        <w:rPr>
          <w:rFonts w:eastAsia="宋体"/>
          <w:lang w:eastAsia="zh-CN"/>
        </w:rPr>
      </w:pPr>
    </w:p>
    <w:p w14:paraId="45628C48">
      <w:pPr>
        <w:rPr>
          <w:rFonts w:eastAsia="宋体"/>
          <w:lang w:eastAsia="zh-CN"/>
        </w:rPr>
      </w:pPr>
    </w:p>
    <w:p w14:paraId="70AC780D">
      <w:pPr>
        <w:rPr>
          <w:rFonts w:eastAsia="宋体"/>
          <w:lang w:eastAsia="zh-CN"/>
        </w:rPr>
      </w:pPr>
    </w:p>
    <w:p w14:paraId="23867905">
      <w:pPr>
        <w:rPr>
          <w:rFonts w:eastAsia="宋体"/>
          <w:lang w:eastAsia="zh-CN"/>
        </w:rPr>
      </w:pPr>
    </w:p>
    <w:p w14:paraId="78DD76AD">
      <w:pPr>
        <w:rPr>
          <w:rFonts w:eastAsia="宋体"/>
          <w:lang w:eastAsia="zh-CN"/>
        </w:rPr>
      </w:pPr>
    </w:p>
    <w:p w14:paraId="631EBE16">
      <w:pPr>
        <w:rPr>
          <w:rFonts w:eastAsia="宋体"/>
          <w:lang w:eastAsia="zh-CN"/>
        </w:rPr>
      </w:pPr>
    </w:p>
    <w:p w14:paraId="2D6F39EB">
      <w:pPr>
        <w:rPr>
          <w:rFonts w:eastAsia="宋体"/>
          <w:lang w:eastAsia="zh-CN"/>
        </w:rPr>
      </w:pPr>
    </w:p>
    <w:p w14:paraId="1F0DC3BD">
      <w:pPr>
        <w:rPr>
          <w:rFonts w:eastAsia="宋体"/>
          <w:lang w:eastAsia="zh-CN"/>
        </w:rPr>
      </w:pPr>
    </w:p>
    <w:p w14:paraId="6E1AFB8E">
      <w:pPr>
        <w:rPr>
          <w:rFonts w:eastAsia="宋体"/>
          <w:lang w:eastAsia="zh-CN"/>
        </w:rPr>
      </w:pPr>
    </w:p>
    <w:p w14:paraId="1C3164E2">
      <w:pPr>
        <w:rPr>
          <w:rFonts w:eastAsia="宋体"/>
          <w:lang w:eastAsia="zh-CN"/>
        </w:rPr>
      </w:pPr>
    </w:p>
    <w:p w14:paraId="2DF7F3F7">
      <w:pPr>
        <w:rPr>
          <w:rFonts w:eastAsia="宋体"/>
          <w:lang w:eastAsia="zh-CN"/>
        </w:rPr>
      </w:pPr>
    </w:p>
    <w:p w14:paraId="1C57179C">
      <w:pPr>
        <w:rPr>
          <w:rFonts w:eastAsia="宋体"/>
          <w:lang w:eastAsia="zh-CN"/>
        </w:rPr>
      </w:pPr>
    </w:p>
    <w:p w14:paraId="54317D15">
      <w:pPr>
        <w:rPr>
          <w:rFonts w:eastAsia="宋体"/>
          <w:lang w:eastAsia="zh-CN"/>
        </w:rPr>
      </w:pPr>
    </w:p>
    <w:p w14:paraId="09987E6D">
      <w:pPr>
        <w:rPr>
          <w:rFonts w:eastAsia="宋体"/>
          <w:lang w:eastAsia="zh-CN"/>
        </w:rPr>
      </w:pPr>
    </w:p>
    <w:p w14:paraId="3A36CF60">
      <w:pPr>
        <w:rPr>
          <w:rFonts w:eastAsia="宋体"/>
          <w:lang w:eastAsia="zh-CN"/>
        </w:rPr>
      </w:pPr>
    </w:p>
    <w:p w14:paraId="63BE5D0E">
      <w:pPr>
        <w:pStyle w:val="3"/>
        <w:numPr>
          <w:ilvl w:val="0"/>
          <w:numId w:val="2"/>
        </w:numPr>
        <w:rPr>
          <w:rFonts w:hint="eastAsia" w:ascii="黑体" w:hAnsi="黑体" w:cs="黑体"/>
        </w:rPr>
      </w:pPr>
      <w:bookmarkStart w:id="31" w:name="_Toc5762"/>
      <w:bookmarkStart w:id="32" w:name="_Toc1354"/>
      <w:r>
        <w:rPr>
          <w:rFonts w:hint="eastAsia"/>
          <w:lang w:eastAsia="zh-CN"/>
        </w:rPr>
        <w:t>工作组</w:t>
      </w:r>
      <w:r>
        <w:t>拆解任务至服务专员</w:t>
      </w:r>
      <w:bookmarkEnd w:id="31"/>
      <w:bookmarkEnd w:id="32"/>
    </w:p>
    <w:p w14:paraId="1904D15B">
      <w:pPr>
        <w:pStyle w:val="5"/>
        <w:widowControl/>
        <w:ind w:firstLine="480"/>
      </w:pPr>
      <w:r>
        <w:rPr>
          <w:rFonts w:hint="eastAsia"/>
          <w:lang w:eastAsia="zh-CN"/>
        </w:rPr>
        <w:t>工作组</w:t>
      </w:r>
      <w:r>
        <w:t>登录药合作app，将下派给自己的任务，进一步细分至各个服务专员</w:t>
      </w:r>
    </w:p>
    <w:p w14:paraId="68E05FC8">
      <w:pPr>
        <w:pStyle w:val="5"/>
        <w:widowControl/>
        <w:spacing w:line="240" w:lineRule="auto"/>
        <w:ind w:firstLine="48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3428365</wp:posOffset>
                </wp:positionV>
                <wp:extent cx="588010" cy="511810"/>
                <wp:effectExtent l="0" t="0" r="6350" b="6350"/>
                <wp:wrapNone/>
                <wp:docPr id="78" name="直接箭头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038350" y="7611745"/>
                          <a:ext cx="588010" cy="511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70.5pt;margin-top:269.95pt;height:40.3pt;width:46.3pt;z-index:251659264;mso-width-relative:page;mso-height-relative:page;" filled="f" stroked="t" coordsize="21600,21600" o:gfxdata="UEsDBAoAAAAAAIdO4kAAAAAAAAAAAAAAAAAEAAAAZHJzL1BLAwQUAAAACACHTuJAyp2UKdsAAAAL&#10;AQAADwAAAGRycy9kb3ducmV2LnhtbE2Py07DMBRE90j8g3WR2FE7CQ00xKlQEQiWBKTCzo1v4wg/&#10;Quw+4Ou5rGA5mtHMmXp5dJbtcYpD8BKymQCGvgt68L2E15f7i2tgMSmvlQ0eJXxhhGVzelKrSoeD&#10;f8Z9m3pGJT5WSoJJaaw4j51Bp+IsjOjJ24bJqURy6rme1IHKneW5ECV3avC0YNSIK4PdR7tzEq7e&#10;t+1q/fiwVk/fw1t2l32aW1tKeX6WiRtgCY/pLwy/+IQODTFtws7ryCzpy4y+JAnzYrEARom8KEpg&#10;GwllLubAm5r//9D8AFBLAwQUAAAACACHTuJAfBqIuiUCAAAFBAAADgAAAGRycy9lMm9Eb2MueG1s&#10;rVPNjtMwEL4j8Q6W7zRJt91GUdOVaFk4IKjEwt11nMSS/zT2Nu1L8AJInIATcNo7T7Msj8E4CQss&#10;lz2QQzSe8Xwz3zfj5dlBK7IX4KU1Jc0mKSXCcFtJ05T09cX5o5wSH5ipmLJGlPQoPD1bPXyw7Fwh&#10;pra1qhJAEMT4onMlbUNwRZJ43grN/MQ6YTBYW9As4BGapALWIbpWyTRNT5POQuXAcuE9ejdDkI6I&#10;cB9AW9eSi43ll1qYMKCCUCwgJd9K5+mq77auBQ8v69qLQFRJkWno/1gE7V38J6slKxpgrpV8bIHd&#10;p4U7nDSTBoveQm1YYOQS5D9QWnKw3tZhwq1OBiK9IsgiS+9o86plTvRcUGrvbkX3/w+Wv9hvgciq&#10;pAucu2EaJ37z7ur72483X79cf7j68e19tD9/IhhHsTrnC8xZmy2MJ++2EJkfatCkVtI9w62ivfUm&#10;WjGGPMmhpNP0JD+Zo/RHLHeaZYvZfBiAOATC8cI8z1EFSjhemGdZjjZWSQbwCOTAh6fCahKNkvoA&#10;TDZtWFtjcNQWhnJs/9yHIfFXQkw29lwqhX5WKEM6bG66SGM1hmtc4/qgqR1K4U1DCVMNvg8eoGfg&#10;rZJVTI/ZHprdWgHZM9yqWb6YrR+Pff51LdbeMN8O9/rQQFfLgE9ISV3SPI3f4A5MqiemIuHocAoM&#10;wHYjrDKoQpR+EDtaO1sd+xn0ftyOXqdxk+P6/Xnus3+/3tV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p2UKdsAAAALAQAADwAAAAAAAAABACAAAAAiAAAAZHJzL2Rvd25yZXYueG1sUEsBAhQAFAAA&#10;AAgAh07iQHwaiLolAgAABQQAAA4AAAAAAAAAAQAgAAAAKg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2056130" cy="4569460"/>
            <wp:effectExtent l="0" t="0" r="1270" b="2540"/>
            <wp:docPr id="79" name="图片 79" descr="91e1a16bf8d12be5dc921b1fc5d5a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91e1a16bf8d12be5dc921b1fc5d5ada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2058670" cy="4575810"/>
            <wp:effectExtent l="0" t="0" r="13970" b="11430"/>
            <wp:docPr id="80" name="图片 80" descr="0cacf286e478abb13f07fa6ad193e7eb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0cacf286e478abb13f07fa6ad193e7eb_compres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5FB1">
      <w:pPr>
        <w:spacing w:before="153" w:line="226" w:lineRule="auto"/>
        <w:rPr>
          <w:lang w:eastAsia="zh-CN"/>
        </w:rPr>
      </w:pPr>
    </w:p>
    <w:p w14:paraId="35AEA939">
      <w:pPr>
        <w:pStyle w:val="5"/>
        <w:widowControl/>
        <w:spacing w:line="240" w:lineRule="auto"/>
        <w:ind w:firstLine="480"/>
        <w:jc w:val="left"/>
      </w:pPr>
      <w:r>
        <w:rPr>
          <w:rFonts w:ascii="宋体" w:hAnsi="宋体" w:cs="宋体"/>
        </w:rPr>
        <w:drawing>
          <wp:inline distT="0" distB="0" distL="114300" distR="114300">
            <wp:extent cx="1621790" cy="3604895"/>
            <wp:effectExtent l="0" t="0" r="8890" b="6985"/>
            <wp:docPr id="8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360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1633220" cy="3629660"/>
            <wp:effectExtent l="0" t="0" r="12700" b="12700"/>
            <wp:docPr id="82" name="图片 82" descr="228d3e371a843c7e322394872f083c9a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228d3e371a843c7e322394872f083c9a_compres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</w:rPr>
        <w:drawing>
          <wp:inline distT="0" distB="0" distL="114300" distR="114300">
            <wp:extent cx="1638300" cy="3642360"/>
            <wp:effectExtent l="0" t="0" r="7620" b="0"/>
            <wp:docPr id="8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4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9EB1BA">
      <w:pPr>
        <w:spacing w:before="153" w:line="226" w:lineRule="auto"/>
        <w:rPr>
          <w:lang w:eastAsia="zh-CN"/>
        </w:rPr>
      </w:pPr>
    </w:p>
    <w:p w14:paraId="4B14D1A9">
      <w:pPr>
        <w:spacing w:before="153" w:line="226" w:lineRule="auto"/>
        <w:jc w:val="center"/>
        <w:rPr>
          <w:lang w:eastAsia="zh-CN"/>
        </w:rPr>
      </w:pPr>
    </w:p>
    <w:p w14:paraId="78BC16DC">
      <w:pPr>
        <w:pStyle w:val="5"/>
        <w:widowControl/>
        <w:ind w:firstLine="482"/>
        <w:jc w:val="center"/>
        <w:rPr>
          <w:b/>
        </w:rPr>
      </w:pPr>
      <w:r>
        <w:rPr>
          <w:b/>
        </w:rPr>
        <w:t>工作区——查看任务——分配工作量到服务专员</w:t>
      </w:r>
    </w:p>
    <w:p w14:paraId="62C5E749">
      <w:pPr>
        <w:spacing w:before="153" w:line="226" w:lineRule="auto"/>
        <w:rPr>
          <w:rFonts w:eastAsia="宋体"/>
          <w:lang w:eastAsia="zh-CN"/>
        </w:rPr>
      </w:pPr>
    </w:p>
    <w:p w14:paraId="5D46D4FA">
      <w:pPr>
        <w:spacing w:before="153" w:line="226" w:lineRule="auto"/>
        <w:rPr>
          <w:rFonts w:eastAsia="宋体"/>
          <w:lang w:eastAsia="zh-CN"/>
        </w:rPr>
      </w:pPr>
    </w:p>
    <w:p w14:paraId="01656586">
      <w:pPr>
        <w:spacing w:before="153" w:line="226" w:lineRule="auto"/>
        <w:rPr>
          <w:rFonts w:eastAsia="宋体"/>
          <w:lang w:eastAsia="zh-CN"/>
        </w:rPr>
      </w:pPr>
    </w:p>
    <w:p w14:paraId="29F46BF8">
      <w:pPr>
        <w:pStyle w:val="3"/>
        <w:numPr>
          <w:ilvl w:val="0"/>
          <w:numId w:val="2"/>
        </w:numPr>
        <w:rPr>
          <w:rFonts w:hint="eastAsia" w:ascii="黑体" w:hAnsi="黑体" w:cs="黑体"/>
        </w:rPr>
      </w:pPr>
      <w:bookmarkStart w:id="33" w:name="_Toc13858"/>
      <w:bookmarkStart w:id="34" w:name="_Toc20203"/>
      <w:r>
        <w:t>服务专员完成任务</w:t>
      </w:r>
      <w:bookmarkEnd w:id="33"/>
      <w:bookmarkEnd w:id="34"/>
    </w:p>
    <w:p w14:paraId="20DEDBF8">
      <w:pPr>
        <w:pStyle w:val="5"/>
        <w:widowControl/>
        <w:ind w:firstLine="480"/>
      </w:pPr>
      <w:r>
        <w:rPr>
          <w:rFonts w:hint="eastAsia"/>
          <w:lang w:eastAsia="zh-CN"/>
        </w:rPr>
        <w:t>工作组</w:t>
      </w:r>
      <w:r>
        <w:t>给</w:t>
      </w:r>
      <w:r>
        <w:rPr>
          <w:rFonts w:hint="eastAsia"/>
        </w:rPr>
        <w:t>服务专员</w:t>
      </w:r>
      <w:r>
        <w:t>分派工作量后，</w:t>
      </w:r>
      <w:r>
        <w:rPr>
          <w:rFonts w:hint="eastAsia"/>
        </w:rPr>
        <w:t>服务专员</w:t>
      </w:r>
      <w:r>
        <w:t>就可以登陆药友料APP查看工作量，先填报基础数据再填报业务数据；完成任务后并且服务提供商审核并绩效考评后，本次流程结束。</w:t>
      </w:r>
    </w:p>
    <w:p w14:paraId="20A97407">
      <w:pPr>
        <w:pStyle w:val="5"/>
        <w:widowControl/>
        <w:spacing w:line="240" w:lineRule="auto"/>
        <w:ind w:firstLine="480"/>
      </w:pPr>
      <w:r>
        <w:drawing>
          <wp:inline distT="0" distB="0" distL="114300" distR="114300">
            <wp:extent cx="1366520" cy="2825115"/>
            <wp:effectExtent l="0" t="0" r="5080" b="952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9695" cy="2824480"/>
            <wp:effectExtent l="0" t="0" r="1905" b="10160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9715" cy="2825750"/>
            <wp:effectExtent l="0" t="0" r="9525" b="8890"/>
            <wp:docPr id="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F1D8">
      <w:pPr>
        <w:pStyle w:val="5"/>
        <w:widowControl/>
        <w:spacing w:line="240" w:lineRule="auto"/>
        <w:ind w:firstLine="480"/>
      </w:pPr>
      <w:r>
        <w:drawing>
          <wp:inline distT="0" distB="0" distL="114300" distR="114300">
            <wp:extent cx="1487805" cy="2598420"/>
            <wp:effectExtent l="0" t="0" r="5715" b="7620"/>
            <wp:docPr id="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4640" cy="2715260"/>
            <wp:effectExtent l="0" t="0" r="5080" b="12700"/>
            <wp:docPr id="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6530" cy="2740025"/>
            <wp:effectExtent l="0" t="0" r="1270" b="3175"/>
            <wp:docPr id="6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5F0F">
      <w:pPr>
        <w:jc w:val="center"/>
        <w:rPr>
          <w:lang w:eastAsia="zh-CN"/>
        </w:rPr>
      </w:pPr>
      <w:r>
        <w:rPr>
          <w:rFonts w:hint="eastAsia" w:eastAsia="宋体"/>
          <w:b/>
          <w:bCs/>
          <w:lang w:eastAsia="zh-CN"/>
        </w:rPr>
        <w:t>登录药友料——查看工作量——标记客户——完成推广任务</w:t>
      </w:r>
    </w:p>
    <w:p w14:paraId="265168CC"/>
    <w:p w14:paraId="42AB6E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bookmarkEnd w:id="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 Light">
    <w:altName w:val="汉仪中黑KW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C8267"/>
    <w:multiLevelType w:val="singleLevel"/>
    <w:tmpl w:val="EE1C8267"/>
    <w:lvl w:ilvl="0" w:tentative="0">
      <w:start w:val="1"/>
      <w:numFmt w:val="chineseCounting"/>
      <w:suff w:val="nothing"/>
      <w:lvlText w:val="%1．"/>
      <w:lvlJc w:val="left"/>
      <w:pPr>
        <w:ind w:left="0" w:firstLine="0"/>
      </w:pPr>
      <w:rPr>
        <w:rFonts w:hint="eastAsia"/>
      </w:rPr>
    </w:lvl>
  </w:abstractNum>
  <w:abstractNum w:abstractNumId="1">
    <w:nsid w:val="2222E0D7"/>
    <w:multiLevelType w:val="singleLevel"/>
    <w:tmpl w:val="2222E0D7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">
    <w:nsid w:val="4D2F3533"/>
    <w:multiLevelType w:val="singleLevel"/>
    <w:tmpl w:val="4D2F353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42ED3"/>
    <w:rsid w:val="0D142ED3"/>
    <w:rsid w:val="102C75FA"/>
    <w:rsid w:val="48AF0457"/>
    <w:rsid w:val="4B543722"/>
    <w:rsid w:val="4EFF3035"/>
    <w:rsid w:val="BFBE50DC"/>
    <w:rsid w:val="C8BFC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1411</Words>
  <Characters>1491</Characters>
  <Lines>0</Lines>
  <Paragraphs>0</Paragraphs>
  <TotalTime>9</TotalTime>
  <ScaleCrop>false</ScaleCrop>
  <LinksUpToDate>false</LinksUpToDate>
  <CharactersWithSpaces>1534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2025-09-29T09:44:00Z</dcterms:created>
  <dc:creator>孙绮梵Mercy</dc:creator>
  <cp:lastModifiedBy>lee</cp:lastModifiedBy>
  <dcterms:modified xsi:type="dcterms:W3CDTF">2025-12-22T18:13:42Z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AD5056FCCDC8A685D6194969F93F75F1_43</vt:lpwstr>
  </property>
  <property fmtid="{D5CDD505-2E9C-101B-9397-08002B2CF9AE}" pid="4" name="KSOTemplateDocerSaveRecord">
    <vt:lpwstr>eyJoZGlkIjoiZGE4MTQ0NmIwNzIzYjgyMTZkY2E4NWU3YWQ3OWU2OTQiLCJ1c2VySWQiOiIyMDUyNzc0NDYifQ==</vt:lpwstr>
  </property>
</Properties>
</file>