
<file path=[Content_Types].xml><?xml version="1.0" encoding="utf-8"?>
<Types xmlns="http://schemas.openxmlformats.org/package/2006/content-types">
  <Default Extension="xml" ContentType="application/xml"/>
  <Default Extension="xlsx" ContentType="application/vnd.openxmlformats-officedocument.spreadsheetml.sheet"/>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Extensions/webExtension1.xml" ContentType="application/vnd.wps-officedocument.webExtension+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62E5B">
      <w:pPr>
        <w:rPr>
          <w:rFonts w:hint="eastAsia" w:eastAsia="汉仪粗黑简"/>
          <w:lang w:eastAsia="zh-CN"/>
        </w:rPr>
      </w:pPr>
      <w:r>
        <w:rPr>
          <w:sz w:val="21"/>
        </w:rPr>
        <w:pict>
          <v:shape id="文本框 52" o:spid="_x0000_s1026" o:spt="202" type="#_x0000_t202" style="position:absolute;left:0pt;margin-left:-53.55pt;margin-top:423.2pt;height:51.85pt;width:353.05pt;z-index:251662336;mso-width-relative:page;mso-height-relative:page;" filled="f" stroked="f" coordsize="21600,21600" o:gfxdata="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snVf42gAAAAwBAAAPAAAAAAAAAAEAIAAAACIAAABkcnMvZG93&#10;bnJldi54bWxQSwECFAAUAAAACACHTuJA9DbBgMUBAABqAwAADgAAAAAAAAABACAAAAApAQAAZHJz&#10;L2Uyb0RvYy54bWxQSwUGAAAAAAYABgBZAQAAYAUAAAAA&#10;">
            <v:path/>
            <v:fill on="f" focussize="0,0"/>
            <v:stroke on="f"/>
            <v:imagedata o:title=""/>
            <o:lock v:ext="edit" aspectratio="f"/>
            <v:textbox style="mso-fit-shape-to-text:t;">
              <w:txbxContent>
                <w:p w14:paraId="1BD710F2">
                  <w:pPr>
                    <w:pStyle w:val="10"/>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rPr>
                    <w:t>项目名称</w:t>
                  </w:r>
                  <w:r>
                    <w:rPr>
                      <w:rFonts w:hint="eastAsia" w:ascii="汉仪中宋简" w:hAnsi="汉仪中宋简" w:eastAsia="汉仪中宋简" w:cs="汉仪中宋简"/>
                      <w:color w:val="199F9B"/>
                      <w:kern w:val="24"/>
                      <w:sz w:val="32"/>
                      <w:szCs w:val="32"/>
                      <w:lang w:eastAsia="zh-CN"/>
                    </w:rPr>
                    <w:t>：</w:t>
                  </w:r>
                  <w:r>
                    <w:rPr>
                      <w:rFonts w:hint="eastAsia" w:ascii="汉仪中宋简" w:hAnsi="汉仪中宋简" w:eastAsia="汉仪中宋简" w:cs="汉仪中宋简"/>
                      <w:color w:val="199F9B"/>
                      <w:kern w:val="24"/>
                      <w:sz w:val="32"/>
                      <w:szCs w:val="32"/>
                      <w:lang w:val="en-US" w:eastAsia="zh-CN"/>
                    </w:rPr>
                    <w:t>北京玖麟空科技有限公司</w:t>
                  </w:r>
                </w:p>
                <w:p w14:paraId="4A09E810">
                  <w:pPr>
                    <w:pStyle w:val="10"/>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服务品种：厄贝沙坦氢氯噻嗪片</w:t>
                  </w:r>
                </w:p>
                <w:p w14:paraId="3436BB5D">
                  <w:pPr>
                    <w:pStyle w:val="10"/>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default"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调研区域：</w:t>
                  </w:r>
                  <w:r>
                    <w:rPr>
                      <w:rFonts w:hint="eastAsia" w:ascii="汉仪中宋简" w:hAnsi="汉仪中宋简" w:eastAsia="汉仪中宋简" w:cs="汉仪中宋简"/>
                      <w:color w:val="199F9B"/>
                      <w:kern w:val="24"/>
                      <w:sz w:val="32"/>
                      <w:szCs w:val="32"/>
                      <w:highlight w:val="none"/>
                      <w:lang w:val="en-US" w:eastAsia="zh-CN"/>
                    </w:rPr>
                    <w:t>北京市</w:t>
                  </w:r>
                </w:p>
                <w:p w14:paraId="4809D206">
                  <w:pPr>
                    <w:pStyle w:val="10"/>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中宋简" w:hAnsi="汉仪中宋简" w:eastAsia="汉仪中宋简" w:cs="汉仪中宋简"/>
                      <w:color w:val="199F9B"/>
                      <w:kern w:val="24"/>
                      <w:sz w:val="32"/>
                      <w:szCs w:val="32"/>
                      <w:lang w:val="en-US" w:eastAsia="zh-CN"/>
                    </w:rPr>
                  </w:pPr>
                  <w:r>
                    <w:rPr>
                      <w:rFonts w:hint="eastAsia" w:ascii="汉仪中宋简" w:hAnsi="汉仪中宋简" w:eastAsia="汉仪中宋简" w:cs="汉仪中宋简"/>
                      <w:color w:val="199F9B"/>
                      <w:kern w:val="24"/>
                      <w:sz w:val="32"/>
                      <w:szCs w:val="32"/>
                      <w:lang w:val="en-US" w:eastAsia="zh-CN"/>
                    </w:rPr>
                    <w:t>调研时间：2025年10月01日——2025年10月31日</w:t>
                  </w:r>
                </w:p>
                <w:p w14:paraId="0FCA3A64">
                  <w:pPr>
                    <w:pStyle w:val="10"/>
                    <w:keepNext w:val="0"/>
                    <w:keepLines w:val="0"/>
                    <w:pageBreakBefore w:val="0"/>
                    <w:widowControl w:val="0"/>
                    <w:kinsoku/>
                    <w:wordWrap/>
                    <w:overflowPunct/>
                    <w:topLinePunct w:val="0"/>
                    <w:autoSpaceDE/>
                    <w:autoSpaceDN/>
                    <w:bidi w:val="0"/>
                    <w:adjustRightInd/>
                    <w:snapToGrid w:val="0"/>
                    <w:spacing w:line="240" w:lineRule="auto"/>
                    <w:ind w:left="0"/>
                    <w:jc w:val="both"/>
                    <w:textAlignment w:val="auto"/>
                    <w:rPr>
                      <w:rFonts w:hint="eastAsia" w:ascii="汉仪粗黑简" w:hAnsi="Times New Roman" w:eastAsia="汉仪粗黑简"/>
                      <w:color w:val="199F9B"/>
                      <w:kern w:val="24"/>
                      <w:sz w:val="32"/>
                      <w:szCs w:val="32"/>
                      <w:lang w:val="en-US" w:eastAsia="zh-CN"/>
                    </w:rPr>
                  </w:pPr>
                </w:p>
              </w:txbxContent>
            </v:textbox>
          </v:shape>
        </w:pict>
      </w:r>
      <w:r>
        <w:rPr>
          <w:sz w:val="21"/>
        </w:rPr>
        <w:pict>
          <v:shape id="_x0000_s1027" o:spid="_x0000_s1027" o:spt="202" type="#_x0000_t202" style="position:absolute;left:0pt;margin-left:-57.85pt;margin-top:250.85pt;height:57.25pt;width:424.15pt;mso-position-vertical-relative:page;z-index:251659264;mso-width-relative:page;mso-height-relative:page;" filled="f" stroked="f" coordsize="21600,21600" o:gfxdata="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yGTag3QAAAAwBAAAPAAAAAAAAAAEAIAAAACIA&#10;AABkcnMvZG93bnJldi54bWxQSwECFAAUAAAACACHTuJAODINAT0CAABmBAAADgAAAAAAAAABACAA&#10;AAAsAQAAZHJzL2Uyb0RvYy54bWxQSwUGAAAAAAYABgBZAQAA2wUAAAAA&#10;">
            <v:path/>
            <v:fill on="f" focussize="0,0"/>
            <v:stroke on="f" weight="0.5pt"/>
            <v:imagedata o:title=""/>
            <o:lock v:ext="edit" aspectratio="f"/>
            <v:textbox>
              <w:txbxContent>
                <w:p w14:paraId="532C9B5F">
                  <w:pPr>
                    <w:rPr>
                      <w:rFonts w:hint="eastAsia" w:ascii="汉仪元隆黑-105简" w:hAnsi="汉仪元隆黑-105简" w:eastAsia="汉仪元隆黑-105简" w:cs="汉仪元隆黑-105简"/>
                      <w:b w:val="0"/>
                      <w:bCs w:val="0"/>
                      <w:color w:val="1E386B"/>
                      <w:sz w:val="56"/>
                      <w:szCs w:val="56"/>
                      <w:lang w:val="en-US" w:eastAsia="zh-CN"/>
                    </w:rPr>
                  </w:pPr>
                  <w:r>
                    <w:rPr>
                      <w:rFonts w:hint="eastAsia" w:ascii="汉仪元隆黑-105简" w:hAnsi="汉仪元隆黑-105简" w:eastAsia="汉仪元隆黑-105简" w:cs="汉仪元隆黑-105简"/>
                      <w:b w:val="0"/>
                      <w:bCs w:val="0"/>
                      <w:color w:val="1E386B"/>
                      <w:sz w:val="56"/>
                      <w:szCs w:val="56"/>
                      <w:lang w:val="en-US" w:eastAsia="zh-CN"/>
                    </w:rPr>
                    <w:t>用药体验与疗效反馈</w:t>
                  </w:r>
                </w:p>
              </w:txbxContent>
            </v:textbox>
          </v:shape>
        </w:pict>
      </w:r>
      <w:r>
        <w:pict>
          <v:shape id="文本框 44" o:spid="_x0000_s1028" o:spt="202" type="#_x0000_t202" style="position:absolute;left:0pt;margin-left:-56.7pt;margin-top:218.75pt;height:138.1pt;width:469.6pt;z-index:251661312;mso-width-relative:page;mso-height-relative:page;" filled="f" stroked="f" coordsize="21600,21600" o:gfxdata="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RfIaVNoAAAAMAQAADwAAAAAAAAABACAAAAAiAAAAZHJz&#10;L2Rvd25yZXYueG1sUEsBAhQAFAAAAAgAh07iQDlA7fnJAQAAagMAAA4AAAAAAAAAAQAgAAAAKQEA&#10;AGRycy9lMm9Eb2MueG1sUEsFBgAAAAAGAAYAWQEAAGQFAAAAAA==&#10;">
            <v:path/>
            <v:fill on="f" focussize="0,0"/>
            <v:stroke on="f"/>
            <v:imagedata o:title=""/>
            <o:lock v:ext="edit" aspectratio="f"/>
            <v:textbox style="mso-fit-shape-to-text:t;">
              <w:txbxContent>
                <w:p w14:paraId="0FB99BE3">
                  <w:pPr>
                    <w:rPr>
                      <w:rFonts w:hint="eastAsia" w:ascii="汉仪元隆黑-105简" w:hAnsi="汉仪元隆黑-105简" w:eastAsia="汉仪元隆黑-105简" w:cs="汉仪元隆黑-105简"/>
                      <w:b w:val="0"/>
                      <w:bCs w:val="0"/>
                      <w:color w:val="1E386B"/>
                      <w:sz w:val="112"/>
                      <w:szCs w:val="112"/>
                      <w:lang w:val="en-US" w:eastAsia="zh-CN"/>
                    </w:rPr>
                  </w:pPr>
                  <w:r>
                    <w:rPr>
                      <w:rFonts w:hint="eastAsia" w:ascii="汉仪元隆黑-105简" w:hAnsi="汉仪元隆黑-105简" w:eastAsia="汉仪元隆黑-105简" w:cs="汉仪元隆黑-105简"/>
                      <w:b w:val="0"/>
                      <w:bCs w:val="0"/>
                      <w:color w:val="1E386B"/>
                      <w:sz w:val="112"/>
                      <w:szCs w:val="112"/>
                      <w:lang w:val="en-US" w:eastAsia="zh-CN"/>
                    </w:rPr>
                    <w:t>问卷调查分析报告</w:t>
                  </w:r>
                </w:p>
              </w:txbxContent>
            </v:textbox>
          </v:shape>
        </w:pict>
      </w:r>
      <w:r>
        <w:rPr>
          <w:rFonts w:hint="eastAsia" w:eastAsia="汉仪粗黑简"/>
          <w:lang w:eastAsia="zh-CN"/>
        </w:rPr>
        <w:drawing>
          <wp:anchor distT="0" distB="0" distL="114300" distR="114300" simplePos="0" relativeHeight="251660288" behindDoc="1" locked="0" layoutInCell="1" allowOverlap="1">
            <wp:simplePos x="0" y="0"/>
            <wp:positionH relativeFrom="column">
              <wp:posOffset>-1176020</wp:posOffset>
            </wp:positionH>
            <wp:positionV relativeFrom="paragraph">
              <wp:posOffset>-963295</wp:posOffset>
            </wp:positionV>
            <wp:extent cx="7603490" cy="10751820"/>
            <wp:effectExtent l="0" t="0" r="1270" b="7620"/>
            <wp:wrapNone/>
            <wp:docPr id="20" name="图片 20" descr="竖版待修改竖版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竖版待修改竖版 7.16"/>
                    <pic:cNvPicPr>
                      <a:picLocks noChangeAspect="1"/>
                    </pic:cNvPicPr>
                  </pic:nvPicPr>
                  <pic:blipFill>
                    <a:blip r:embed="rId11"/>
                    <a:stretch>
                      <a:fillRect/>
                    </a:stretch>
                  </pic:blipFill>
                  <pic:spPr>
                    <a:xfrm>
                      <a:off x="0" y="0"/>
                      <a:ext cx="7603490" cy="10751820"/>
                    </a:xfrm>
                    <a:prstGeom prst="rect">
                      <a:avLst/>
                    </a:prstGeom>
                  </pic:spPr>
                </pic:pic>
              </a:graphicData>
            </a:graphic>
          </wp:anchor>
        </w:drawing>
      </w:r>
    </w:p>
    <w:p w14:paraId="4F3FF417">
      <w:pPr>
        <w:rPr>
          <w:rFonts w:hint="eastAsia"/>
          <w:sz w:val="21"/>
          <w:lang w:eastAsia="zh-CN"/>
        </w:rPr>
        <w:sectPr>
          <w:headerReference r:id="rId4" w:type="first"/>
          <w:footerReference r:id="rId6" w:type="first"/>
          <w:headerReference r:id="rId3"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cols w:space="425" w:num="1"/>
          <w:titlePg/>
          <w:docGrid w:type="lines" w:linePitch="312" w:charSpace="0"/>
        </w:sectPr>
      </w:pPr>
    </w:p>
    <w:p w14:paraId="3D0D36C5">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lang w:val="en-US" w:eastAsia="zh-CN"/>
        </w:rPr>
      </w:pPr>
      <w:bookmarkStart w:id="0" w:name="_Toc376"/>
      <w:bookmarkStart w:id="1" w:name="_Toc13682"/>
      <w:bookmarkStart w:id="2" w:name="_Toc27864"/>
      <w:bookmarkStart w:id="3" w:name="_Toc28049"/>
      <w:bookmarkStart w:id="4" w:name="_Toc27862"/>
      <w:bookmarkStart w:id="5" w:name="_Toc7033"/>
      <w:bookmarkStart w:id="6" w:name="_Toc29451"/>
      <w:r>
        <w:rPr>
          <w:rFonts w:hint="eastAsia" w:ascii="汉仪中宋简" w:hAnsi="汉仪中宋简" w:eastAsia="汉仪中宋简" w:cs="汉仪中宋简"/>
          <w:b/>
          <w:bCs/>
          <w:sz w:val="44"/>
          <w:szCs w:val="44"/>
          <w:lang w:val="en-US" w:eastAsia="zh-CN"/>
        </w:rPr>
        <w:t>问卷调研服务结算</w:t>
      </w:r>
      <w:bookmarkEnd w:id="0"/>
      <w:bookmarkEnd w:id="1"/>
      <w:bookmarkEnd w:id="2"/>
    </w:p>
    <w:tbl>
      <w:tblPr>
        <w:tblStyle w:val="11"/>
        <w:tblpPr w:leftFromText="180" w:rightFromText="180" w:vertAnchor="text" w:horzAnchor="page" w:tblpX="1730" w:tblpY="163"/>
        <w:tblOverlap w:val="never"/>
        <w:tblW w:w="892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5"/>
        <w:gridCol w:w="3370"/>
        <w:gridCol w:w="1710"/>
        <w:gridCol w:w="962"/>
        <w:gridCol w:w="1190"/>
      </w:tblGrid>
      <w:tr w14:paraId="4440D6B1">
        <w:trPr>
          <w:trHeight w:val="496" w:hRule="atLeast"/>
          <w:tblHeader/>
          <w:tblCellSpacing w:w="15" w:type="dxa"/>
        </w:trPr>
        <w:tc>
          <w:tcPr>
            <w:tcW w:w="1650" w:type="dxa"/>
            <w:tcBorders>
              <w:top w:val="single" w:color="4874CB" w:themeColor="accent1" w:sz="6" w:space="0"/>
              <w:left w:val="single" w:color="4874CB" w:themeColor="accent1" w:sz="6" w:space="0"/>
              <w:bottom w:val="single" w:color="4874CB" w:themeColor="accent1" w:sz="6" w:space="0"/>
              <w:right w:val="nil"/>
            </w:tcBorders>
            <w:shd w:val="clear" w:color="auto" w:fill="4874CB" w:themeFill="accent1"/>
            <w:vAlign w:val="center"/>
          </w:tcPr>
          <w:p w14:paraId="2CB7D43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项目</w:t>
            </w:r>
          </w:p>
        </w:tc>
        <w:tc>
          <w:tcPr>
            <w:tcW w:w="334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18060681">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服务内容</w:t>
            </w:r>
          </w:p>
        </w:tc>
        <w:tc>
          <w:tcPr>
            <w:tcW w:w="1680" w:type="dxa"/>
            <w:tcBorders>
              <w:top w:val="single" w:color="4874CB" w:themeColor="accent1" w:sz="6" w:space="0"/>
              <w:left w:val="nil"/>
              <w:bottom w:val="single" w:color="4874CB" w:themeColor="accent1" w:sz="6" w:space="0"/>
              <w:right w:val="nil"/>
            </w:tcBorders>
            <w:shd w:val="clear" w:color="auto" w:fill="4874CB" w:themeFill="accent1"/>
            <w:vAlign w:val="center"/>
          </w:tcPr>
          <w:p w14:paraId="25C7FC50">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单价</w:t>
            </w:r>
          </w:p>
        </w:tc>
        <w:tc>
          <w:tcPr>
            <w:tcW w:w="932" w:type="dxa"/>
            <w:tcBorders>
              <w:top w:val="single" w:color="4874CB" w:themeColor="accent1" w:sz="6" w:space="0"/>
              <w:left w:val="nil"/>
              <w:bottom w:val="single" w:color="4874CB" w:themeColor="accent1" w:sz="6" w:space="0"/>
              <w:right w:val="nil"/>
            </w:tcBorders>
            <w:shd w:val="clear" w:color="auto" w:fill="4874CB" w:themeFill="accent1"/>
            <w:vAlign w:val="center"/>
          </w:tcPr>
          <w:p w14:paraId="044311B8">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数量</w:t>
            </w:r>
          </w:p>
        </w:tc>
        <w:tc>
          <w:tcPr>
            <w:tcW w:w="1145" w:type="dxa"/>
            <w:tcBorders>
              <w:top w:val="single" w:color="4874CB" w:themeColor="accent1" w:sz="6" w:space="0"/>
              <w:left w:val="nil"/>
              <w:bottom w:val="single" w:color="4874CB" w:themeColor="accent1" w:sz="6" w:space="0"/>
              <w:right w:val="single" w:color="4874CB" w:themeColor="accent1" w:sz="6" w:space="0"/>
            </w:tcBorders>
            <w:shd w:val="clear" w:color="auto" w:fill="4874CB" w:themeFill="accent1"/>
            <w:vAlign w:val="center"/>
          </w:tcPr>
          <w:p w14:paraId="3E8F70B6">
            <w:pPr>
              <w:keepNext w:val="0"/>
              <w:keepLines w:val="0"/>
              <w:widowControl/>
              <w:suppressLineNumbers w:val="0"/>
              <w:jc w:val="center"/>
              <w:rPr>
                <w:rFonts w:hint="eastAsia" w:ascii="汉仪中宋简" w:hAnsi="汉仪中宋简" w:eastAsia="汉仪中宋简" w:cs="汉仪中宋简"/>
                <w:b/>
                <w:bCs/>
                <w:i w:val="0"/>
                <w:color w:val="FFFFFF"/>
                <w:highlight w:val="none"/>
              </w:rPr>
            </w:pPr>
            <w:r>
              <w:rPr>
                <w:rFonts w:hint="eastAsia" w:ascii="汉仪中宋简" w:hAnsi="汉仪中宋简" w:eastAsia="汉仪中宋简" w:cs="汉仪中宋简"/>
                <w:b/>
                <w:bCs/>
                <w:i w:val="0"/>
                <w:color w:val="FFFFFF"/>
                <w:kern w:val="0"/>
                <w:sz w:val="24"/>
                <w:szCs w:val="24"/>
                <w:highlight w:val="none"/>
                <w:lang w:val="en-US" w:eastAsia="zh-CN" w:bidi="ar"/>
              </w:rPr>
              <w:t>费用（元）</w:t>
            </w:r>
          </w:p>
        </w:tc>
      </w:tr>
      <w:tr w14:paraId="4618EFD9">
        <w:trPr>
          <w:trHeight w:val="567" w:hRule="atLeast"/>
          <w:tblCellSpacing w:w="15" w:type="dxa"/>
        </w:trPr>
        <w:tc>
          <w:tcPr>
            <w:tcW w:w="1650" w:type="dxa"/>
            <w:tcBorders>
              <w:top w:val="single" w:color="4874CB" w:themeColor="accent1" w:sz="6" w:space="0"/>
              <w:left w:val="single" w:color="4874CB" w:themeColor="accent1" w:sz="6" w:space="0"/>
              <w:bottom w:val="single" w:color="B5C7EA" w:themeColor="accent1" w:themeTint="66" w:sz="6" w:space="0"/>
              <w:right w:val="nil"/>
            </w:tcBorders>
            <w:shd w:val="clear" w:color="auto" w:fill="auto"/>
            <w:vAlign w:val="center"/>
          </w:tcPr>
          <w:p w14:paraId="48D8340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问卷样本</w:t>
            </w:r>
          </w:p>
        </w:tc>
        <w:tc>
          <w:tcPr>
            <w:tcW w:w="3340" w:type="dxa"/>
            <w:tcBorders>
              <w:top w:val="single" w:color="4874CB" w:themeColor="accent1" w:sz="6" w:space="0"/>
              <w:left w:val="nil"/>
              <w:bottom w:val="single" w:color="B5C7EA" w:themeColor="accent1" w:themeTint="66" w:sz="6" w:space="0"/>
              <w:right w:val="nil"/>
            </w:tcBorders>
            <w:shd w:val="clear" w:color="auto" w:fill="auto"/>
            <w:vAlign w:val="center"/>
          </w:tcPr>
          <w:p w14:paraId="6CD3BC35">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抽取样本、数据清洗</w:t>
            </w:r>
          </w:p>
        </w:tc>
        <w:tc>
          <w:tcPr>
            <w:tcW w:w="1680" w:type="dxa"/>
            <w:tcBorders>
              <w:top w:val="single" w:color="4874CB" w:themeColor="accent1" w:sz="6" w:space="0"/>
              <w:left w:val="nil"/>
              <w:bottom w:val="single" w:color="B5C7EA" w:themeColor="accent1" w:themeTint="66" w:sz="6" w:space="0"/>
              <w:right w:val="nil"/>
            </w:tcBorders>
            <w:shd w:val="clear" w:color="auto" w:fill="auto"/>
            <w:vAlign w:val="center"/>
          </w:tcPr>
          <w:p w14:paraId="6FCA8EC7">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100元/例</w:t>
            </w:r>
          </w:p>
        </w:tc>
        <w:tc>
          <w:tcPr>
            <w:tcW w:w="932" w:type="dxa"/>
            <w:tcBorders>
              <w:top w:val="single" w:color="4874CB" w:themeColor="accent1" w:sz="6" w:space="0"/>
              <w:left w:val="nil"/>
              <w:bottom w:val="single" w:color="B5C7EA" w:themeColor="accent1" w:themeTint="66" w:sz="6" w:space="0"/>
              <w:right w:val="nil"/>
            </w:tcBorders>
            <w:shd w:val="clear" w:color="auto" w:fill="auto"/>
            <w:vAlign w:val="center"/>
          </w:tcPr>
          <w:p w14:paraId="6AB0B7BA">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1789例</w:t>
            </w:r>
          </w:p>
        </w:tc>
        <w:tc>
          <w:tcPr>
            <w:tcW w:w="1145" w:type="dxa"/>
            <w:tcBorders>
              <w:top w:val="single" w:color="4874CB" w:themeColor="accent1" w:sz="6" w:space="0"/>
              <w:left w:val="nil"/>
              <w:bottom w:val="single" w:color="B5C7EA" w:themeColor="accent1" w:themeTint="66" w:sz="6" w:space="0"/>
              <w:right w:val="single" w:color="4874CB" w:themeColor="accent1" w:sz="6" w:space="0"/>
            </w:tcBorders>
            <w:shd w:val="clear" w:color="auto" w:fill="auto"/>
            <w:vAlign w:val="center"/>
          </w:tcPr>
          <w:p w14:paraId="714AD419">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178900元</w:t>
            </w:r>
          </w:p>
        </w:tc>
      </w:tr>
      <w:tr w14:paraId="18A00C2C">
        <w:trPr>
          <w:trHeight w:val="567" w:hRule="atLeast"/>
          <w:tblCellSpacing w:w="15" w:type="dxa"/>
        </w:trPr>
        <w:tc>
          <w:tcPr>
            <w:tcW w:w="1650" w:type="dxa"/>
            <w:tcBorders>
              <w:top w:val="single" w:color="B5C7EA" w:themeColor="accent1" w:themeTint="66" w:sz="6" w:space="0"/>
              <w:left w:val="single" w:color="4874CB" w:themeColor="accent1" w:sz="6" w:space="0"/>
              <w:bottom w:val="single" w:color="B5C7EA" w:themeColor="accent1" w:themeTint="66" w:sz="6" w:space="0"/>
              <w:right w:val="nil"/>
            </w:tcBorders>
            <w:shd w:val="clear" w:color="auto" w:fill="auto"/>
            <w:vAlign w:val="center"/>
          </w:tcPr>
          <w:p w14:paraId="4E80343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问卷分析报告</w:t>
            </w:r>
          </w:p>
        </w:tc>
        <w:tc>
          <w:tcPr>
            <w:tcW w:w="334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2BA889CF">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数据分析、可视化，形成市场分析报告</w:t>
            </w:r>
          </w:p>
        </w:tc>
        <w:tc>
          <w:tcPr>
            <w:tcW w:w="1680"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1859385D">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30,000元/篇</w:t>
            </w:r>
          </w:p>
        </w:tc>
        <w:tc>
          <w:tcPr>
            <w:tcW w:w="932" w:type="dxa"/>
            <w:tcBorders>
              <w:top w:val="single" w:color="B5C7EA" w:themeColor="accent1" w:themeTint="66" w:sz="6" w:space="0"/>
              <w:left w:val="nil"/>
              <w:bottom w:val="single" w:color="B5C7EA" w:themeColor="accent1" w:themeTint="66" w:sz="6" w:space="0"/>
              <w:right w:val="nil"/>
            </w:tcBorders>
            <w:shd w:val="clear" w:color="auto" w:fill="auto"/>
            <w:vAlign w:val="center"/>
          </w:tcPr>
          <w:p w14:paraId="4C5AA2B0">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1篇</w:t>
            </w:r>
          </w:p>
        </w:tc>
        <w:tc>
          <w:tcPr>
            <w:tcW w:w="1145" w:type="dxa"/>
            <w:tcBorders>
              <w:top w:val="single" w:color="B5C7EA" w:themeColor="accent1" w:themeTint="66" w:sz="6" w:space="0"/>
              <w:left w:val="nil"/>
              <w:bottom w:val="single" w:color="B5C7EA" w:themeColor="accent1" w:themeTint="66" w:sz="6" w:space="0"/>
              <w:right w:val="single" w:color="4874CB" w:themeColor="accent1" w:sz="6" w:space="0"/>
            </w:tcBorders>
            <w:shd w:val="clear" w:color="auto" w:fill="auto"/>
            <w:vAlign w:val="center"/>
          </w:tcPr>
          <w:p w14:paraId="2E1E07FB">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Fonts w:hint="eastAsia" w:ascii="汉仪中宋简" w:hAnsi="汉仪中宋简" w:eastAsia="汉仪中宋简" w:cs="汉仪中宋简"/>
                <w:b w:val="0"/>
                <w:i w:val="0"/>
                <w:color w:val="000000"/>
                <w:kern w:val="0"/>
                <w:sz w:val="24"/>
                <w:szCs w:val="24"/>
                <w:highlight w:val="none"/>
                <w:lang w:val="en-US" w:eastAsia="zh-CN" w:bidi="ar"/>
              </w:rPr>
              <w:t>30,000</w:t>
            </w:r>
          </w:p>
        </w:tc>
      </w:tr>
      <w:tr w14:paraId="28929153">
        <w:trPr>
          <w:trHeight w:val="567" w:hRule="atLeast"/>
          <w:tblCellSpacing w:w="15" w:type="dxa"/>
        </w:trPr>
        <w:tc>
          <w:tcPr>
            <w:tcW w:w="1650" w:type="dxa"/>
            <w:tcBorders>
              <w:top w:val="single" w:color="B5C7EA" w:themeColor="accent1" w:themeTint="66" w:sz="6" w:space="0"/>
              <w:left w:val="single" w:color="4874CB" w:themeColor="accent1" w:sz="6" w:space="0"/>
              <w:bottom w:val="single" w:color="4874CB" w:themeColor="accent1" w:sz="6" w:space="0"/>
              <w:right w:val="nil"/>
            </w:tcBorders>
            <w:shd w:val="clear" w:color="auto" w:fill="auto"/>
            <w:vAlign w:val="center"/>
          </w:tcPr>
          <w:p w14:paraId="4279FFE1">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3"/>
                <w:rFonts w:hint="eastAsia" w:ascii="汉仪中宋简" w:hAnsi="汉仪中宋简" w:eastAsia="汉仪中宋简" w:cs="汉仪中宋简"/>
                <w:b w:val="0"/>
                <w:i w:val="0"/>
                <w:color w:val="000000"/>
                <w:kern w:val="0"/>
                <w:sz w:val="24"/>
                <w:szCs w:val="24"/>
                <w:highlight w:val="none"/>
                <w:lang w:val="en-US" w:eastAsia="zh-CN" w:bidi="ar"/>
              </w:rPr>
              <w:t>总计</w:t>
            </w:r>
          </w:p>
        </w:tc>
        <w:tc>
          <w:tcPr>
            <w:tcW w:w="3340" w:type="dxa"/>
            <w:tcBorders>
              <w:top w:val="single" w:color="B5C7EA" w:themeColor="accent1" w:themeTint="66" w:sz="6" w:space="0"/>
              <w:left w:val="nil"/>
              <w:bottom w:val="single" w:color="4874CB" w:themeColor="accent1" w:sz="6" w:space="0"/>
              <w:right w:val="nil"/>
            </w:tcBorders>
            <w:shd w:val="clear" w:color="auto" w:fill="auto"/>
            <w:vAlign w:val="center"/>
          </w:tcPr>
          <w:p w14:paraId="3A1B7D94">
            <w:pPr>
              <w:rPr>
                <w:rFonts w:hint="eastAsia" w:ascii="汉仪中宋简" w:hAnsi="汉仪中宋简" w:eastAsia="汉仪中宋简" w:cs="汉仪中宋简"/>
                <w:b w:val="0"/>
                <w:i w:val="0"/>
                <w:color w:val="000000"/>
                <w:sz w:val="24"/>
                <w:szCs w:val="24"/>
                <w:highlight w:val="none"/>
              </w:rPr>
            </w:pPr>
          </w:p>
        </w:tc>
        <w:tc>
          <w:tcPr>
            <w:tcW w:w="1680" w:type="dxa"/>
            <w:tcBorders>
              <w:top w:val="single" w:color="B5C7EA" w:themeColor="accent1" w:themeTint="66" w:sz="6" w:space="0"/>
              <w:left w:val="nil"/>
              <w:bottom w:val="single" w:color="4874CB" w:themeColor="accent1" w:sz="6" w:space="0"/>
              <w:right w:val="nil"/>
            </w:tcBorders>
            <w:shd w:val="clear" w:color="auto" w:fill="auto"/>
            <w:vAlign w:val="center"/>
          </w:tcPr>
          <w:p w14:paraId="553A0E1F">
            <w:pPr>
              <w:rPr>
                <w:rFonts w:hint="eastAsia" w:ascii="汉仪中宋简" w:hAnsi="汉仪中宋简" w:eastAsia="汉仪中宋简" w:cs="汉仪中宋简"/>
                <w:b w:val="0"/>
                <w:i w:val="0"/>
                <w:color w:val="000000"/>
                <w:sz w:val="24"/>
                <w:szCs w:val="24"/>
                <w:highlight w:val="none"/>
              </w:rPr>
            </w:pPr>
          </w:p>
        </w:tc>
        <w:tc>
          <w:tcPr>
            <w:tcW w:w="932" w:type="dxa"/>
            <w:tcBorders>
              <w:top w:val="single" w:color="B5C7EA" w:themeColor="accent1" w:themeTint="66" w:sz="6" w:space="0"/>
              <w:left w:val="nil"/>
              <w:bottom w:val="single" w:color="4874CB" w:themeColor="accent1" w:sz="6" w:space="0"/>
              <w:right w:val="nil"/>
            </w:tcBorders>
            <w:shd w:val="clear" w:color="auto" w:fill="auto"/>
            <w:vAlign w:val="center"/>
          </w:tcPr>
          <w:p w14:paraId="6AE98FA0">
            <w:pPr>
              <w:rPr>
                <w:rFonts w:hint="eastAsia" w:ascii="汉仪中宋简" w:hAnsi="汉仪中宋简" w:eastAsia="汉仪中宋简" w:cs="汉仪中宋简"/>
                <w:b w:val="0"/>
                <w:i w:val="0"/>
                <w:color w:val="000000"/>
                <w:sz w:val="24"/>
                <w:szCs w:val="24"/>
                <w:highlight w:val="none"/>
              </w:rPr>
            </w:pPr>
          </w:p>
        </w:tc>
        <w:tc>
          <w:tcPr>
            <w:tcW w:w="1145" w:type="dxa"/>
            <w:tcBorders>
              <w:top w:val="single" w:color="B5C7EA" w:themeColor="accent1" w:themeTint="66" w:sz="6" w:space="0"/>
              <w:left w:val="nil"/>
              <w:bottom w:val="single" w:color="4874CB" w:themeColor="accent1" w:sz="6" w:space="0"/>
              <w:right w:val="single" w:color="4874CB" w:themeColor="accent1" w:sz="6" w:space="0"/>
            </w:tcBorders>
            <w:shd w:val="clear" w:color="auto" w:fill="auto"/>
            <w:vAlign w:val="center"/>
          </w:tcPr>
          <w:p w14:paraId="5F1E6723">
            <w:pPr>
              <w:keepNext w:val="0"/>
              <w:keepLines w:val="0"/>
              <w:widowControl/>
              <w:suppressLineNumbers w:val="0"/>
              <w:jc w:val="center"/>
              <w:rPr>
                <w:rFonts w:hint="eastAsia" w:ascii="汉仪中宋简" w:hAnsi="汉仪中宋简" w:eastAsia="汉仪中宋简" w:cs="汉仪中宋简"/>
                <w:b w:val="0"/>
                <w:i w:val="0"/>
                <w:color w:val="000000"/>
                <w:highlight w:val="none"/>
              </w:rPr>
            </w:pPr>
            <w:r>
              <w:rPr>
                <w:rStyle w:val="13"/>
                <w:rFonts w:hint="eastAsia" w:ascii="汉仪中宋简" w:hAnsi="汉仪中宋简" w:eastAsia="汉仪中宋简" w:cs="汉仪中宋简"/>
                <w:b w:val="0"/>
                <w:i w:val="0"/>
                <w:color w:val="000000"/>
                <w:kern w:val="0"/>
                <w:sz w:val="24"/>
                <w:szCs w:val="24"/>
                <w:highlight w:val="none"/>
                <w:lang w:val="en-US" w:eastAsia="zh-CN" w:bidi="ar"/>
              </w:rPr>
              <w:t>194,200</w:t>
            </w:r>
          </w:p>
        </w:tc>
      </w:tr>
    </w:tbl>
    <w:p w14:paraId="4886E5A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服务承诺：确保数据真实可靠，分析专业严谨，提供有价值的市场洞察，保持与客户的密切沟通，确保项目高质量完成。</w:t>
      </w:r>
    </w:p>
    <w:p w14:paraId="450101E3">
      <w:pPr>
        <w:keepNext w:val="0"/>
        <w:keepLines w:val="0"/>
        <w:pageBreakBefore w:val="0"/>
        <w:widowControl w:val="0"/>
        <w:numPr>
          <w:ilvl w:val="0"/>
          <w:numId w:val="0"/>
        </w:numPr>
        <w:kinsoku/>
        <w:wordWrap/>
        <w:overflowPunct/>
        <w:topLinePunct w:val="0"/>
        <w:autoSpaceDE/>
        <w:autoSpaceDN/>
        <w:bidi w:val="0"/>
        <w:adjustRightInd/>
        <w:snapToGrid/>
        <w:spacing w:line="600" w:lineRule="auto"/>
        <w:ind w:firstLine="480" w:firstLineChars="200"/>
        <w:jc w:val="right"/>
        <w:textAlignment w:val="auto"/>
        <w:rPr>
          <w:rFonts w:hint="eastAsia" w:ascii="汉仪中宋简" w:hAnsi="汉仪中宋简" w:eastAsia="汉仪中宋简" w:cs="汉仪中宋简"/>
          <w:sz w:val="24"/>
          <w:szCs w:val="32"/>
          <w:lang w:val="en-US" w:eastAsia="zh-CN"/>
        </w:rPr>
      </w:pPr>
      <w:r>
        <w:rPr>
          <w:rFonts w:ascii="汉仪中宋简" w:hAnsi="汉仪中宋简" w:eastAsia="汉仪中宋简"/>
          <w:sz w:val="24"/>
          <w:szCs w:val="24"/>
        </w:rPr>
        <w:t>服务单位：北京玖麟空科技有限公司</w:t>
      </w:r>
    </w:p>
    <w:p w14:paraId="0A37EC10">
      <w:pPr>
        <w:jc w:val="right"/>
      </w:pPr>
      <w:r>
        <w:rPr>
          <w:rFonts w:ascii="汉仪中宋简" w:hAnsi="汉仪中宋简" w:eastAsia="汉仪中宋简"/>
          <w:sz w:val="24"/>
          <w:szCs w:val="24"/>
        </w:rPr>
        <w:t>日期：2025年11月14日</w:t>
      </w:r>
    </w:p>
    <w:bookmarkEnd w:id="3"/>
    <w:bookmarkEnd w:id="4"/>
    <w:bookmarkEnd w:id="5"/>
    <w:bookmarkEnd w:id="6"/>
    <w:p w14:paraId="363E8080">
      <w:pPr>
        <w:rPr>
          <w:rFonts w:hint="eastAsia" w:ascii="汉仪中宋简" w:hAnsi="汉仪中宋简" w:eastAsia="汉仪中宋简" w:cs="汉仪中宋简"/>
          <w:b/>
          <w:lang w:val="en-US" w:eastAsia="zh-CN"/>
        </w:rPr>
        <w:sectPr>
          <w:footerReference r:id="rId7"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2FEDE721">
      <w:pPr>
        <w:rPr>
          <w:rFonts w:hint="eastAsia" w:ascii="汉仪中宋简" w:hAnsi="汉仪中宋简" w:eastAsia="汉仪中宋简" w:cs="汉仪中宋简"/>
          <w:b/>
          <w:lang w:val="en-US" w:eastAsia="zh-CN"/>
        </w:rPr>
      </w:pPr>
    </w:p>
    <w:p w14:paraId="6A46359B">
      <w:pPr>
        <w:jc w:val="left"/>
      </w:pPr>
      <w:r>
        <w:rPr>
          <w:rFonts w:ascii="汉仪中宋简" w:hAnsi="汉仪中宋简" w:eastAsia="汉仪中宋简"/>
          <w:b/>
          <w:sz w:val="32"/>
          <w:szCs w:val="32"/>
        </w:rPr>
        <w:t>目录</w:t>
      </w:r>
    </w:p>
    <w:p w14:paraId="4E68DFE7">
      <w:pPr>
        <w:pStyle w:val="8"/>
        <w:tabs>
          <w:tab w:val="right" w:leader="dot" w:pos="8306"/>
        </w:tabs>
      </w:pPr>
      <w:r>
        <w:rPr>
          <w:rFonts w:ascii="汉仪中宋简" w:hAnsi="汉仪中宋简" w:eastAsia="汉仪中宋简"/>
          <w:sz w:val="24"/>
          <w:szCs w:val="24"/>
        </w:rPr>
        <w:fldChar w:fldCharType="begin"/>
      </w:r>
      <w:r>
        <w:rPr>
          <w:rFonts w:ascii="汉仪中宋简" w:hAnsi="汉仪中宋简" w:eastAsia="汉仪中宋简"/>
          <w:sz w:val="24"/>
          <w:szCs w:val="24"/>
        </w:rPr>
        <w:instrText xml:space="preserve">TOC \o "1-3" \h \u</w:instrText>
      </w:r>
      <w:r>
        <w:rPr>
          <w:rFonts w:ascii="汉仪中宋简" w:hAnsi="汉仪中宋简" w:eastAsia="汉仪中宋简"/>
          <w:sz w:val="24"/>
          <w:szCs w:val="24"/>
        </w:rPr>
        <w:fldChar w:fldCharType="separate"/>
      </w: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_Toc404700744 </w:instrText>
      </w:r>
      <w:r>
        <w:rPr>
          <w:rFonts w:ascii="汉仪中宋简" w:hAnsi="汉仪中宋简" w:eastAsia="汉仪中宋简"/>
          <w:szCs w:val="24"/>
        </w:rPr>
        <w:fldChar w:fldCharType="separate"/>
      </w:r>
      <w:r>
        <w:rPr>
          <w:rFonts w:hint="eastAsia" w:ascii="汉仪中宋简" w:hAnsi="汉仪中宋简" w:eastAsia="汉仪中宋简" w:cs="汉仪中宋简"/>
          <w:szCs w:val="44"/>
          <w:lang w:val="en-US" w:eastAsia="zh-CN"/>
        </w:rPr>
        <w:t>前言</w:t>
      </w:r>
      <w:r>
        <w:tab/>
      </w:r>
      <w:r>
        <w:fldChar w:fldCharType="begin"/>
      </w:r>
      <w:r>
        <w:instrText xml:space="preserve"> PAGEREF _Toc404700744 \h </w:instrText>
      </w:r>
      <w:r>
        <w:fldChar w:fldCharType="separate"/>
      </w:r>
      <w:r>
        <w:t>1</w:t>
      </w:r>
      <w:r>
        <w:fldChar w:fldCharType="end"/>
      </w:r>
      <w:r>
        <w:rPr>
          <w:rFonts w:ascii="汉仪中宋简" w:hAnsi="汉仪中宋简" w:eastAsia="汉仪中宋简"/>
          <w:szCs w:val="24"/>
        </w:rPr>
        <w:fldChar w:fldCharType="end"/>
      </w:r>
    </w:p>
    <w:p w14:paraId="19DE7853">
      <w:pPr>
        <w:pStyle w:val="8"/>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_Toc724694359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 xml:space="preserve">一、 </w:t>
      </w:r>
      <w:r>
        <w:rPr>
          <w:rFonts w:hint="eastAsia" w:ascii="汉仪中宋简" w:hAnsi="汉仪中宋简" w:eastAsia="汉仪中宋简" w:cs="汉仪中宋简"/>
          <w:szCs w:val="32"/>
          <w:highlight w:val="none"/>
          <w:lang w:val="en-US" w:eastAsia="zh-CN"/>
        </w:rPr>
        <w:t>项目背景</w:t>
      </w:r>
      <w:r>
        <w:tab/>
      </w:r>
      <w:r>
        <w:fldChar w:fldCharType="begin"/>
      </w:r>
      <w:r>
        <w:instrText xml:space="preserve"> PAGEREF _Toc724694359 \h </w:instrText>
      </w:r>
      <w:r>
        <w:fldChar w:fldCharType="separate"/>
      </w:r>
      <w:r>
        <w:t>2</w:t>
      </w:r>
      <w:r>
        <w:fldChar w:fldCharType="end"/>
      </w:r>
      <w:r>
        <w:rPr>
          <w:rFonts w:ascii="汉仪中宋简" w:hAnsi="汉仪中宋简" w:eastAsia="汉仪中宋简"/>
          <w:szCs w:val="24"/>
        </w:rPr>
        <w:fldChar w:fldCharType="end"/>
      </w:r>
    </w:p>
    <w:p w14:paraId="1697C2D2">
      <w:pPr>
        <w:pStyle w:val="8"/>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_Toc1558329576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 xml:space="preserve">二、 </w:t>
      </w:r>
      <w:r>
        <w:rPr>
          <w:rFonts w:hint="eastAsia" w:ascii="汉仪中宋简" w:hAnsi="汉仪中宋简" w:eastAsia="汉仪中宋简" w:cs="汉仪中宋简"/>
          <w:szCs w:val="32"/>
          <w:highlight w:val="none"/>
          <w:lang w:val="en-US" w:eastAsia="zh-CN"/>
        </w:rPr>
        <w:t>项目开展情况</w:t>
      </w:r>
      <w:r>
        <w:tab/>
      </w:r>
      <w:r>
        <w:fldChar w:fldCharType="begin"/>
      </w:r>
      <w:r>
        <w:instrText xml:space="preserve"> PAGEREF _Toc1558329576 \h </w:instrText>
      </w:r>
      <w:r>
        <w:fldChar w:fldCharType="separate"/>
      </w:r>
      <w:r>
        <w:t>3</w:t>
      </w:r>
      <w:r>
        <w:fldChar w:fldCharType="end"/>
      </w:r>
      <w:r>
        <w:rPr>
          <w:rFonts w:ascii="汉仪中宋简" w:hAnsi="汉仪中宋简" w:eastAsia="汉仪中宋简"/>
          <w:szCs w:val="24"/>
        </w:rPr>
        <w:fldChar w:fldCharType="end"/>
      </w:r>
    </w:p>
    <w:p w14:paraId="7970DB95">
      <w:pPr>
        <w:pStyle w:val="8"/>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_Toc134625020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 xml:space="preserve">三、 </w:t>
      </w:r>
      <w:r>
        <w:rPr>
          <w:rFonts w:hint="eastAsia" w:ascii="汉仪中宋简" w:hAnsi="汉仪中宋简" w:eastAsia="汉仪中宋简" w:cs="汉仪中宋简"/>
          <w:szCs w:val="32"/>
          <w:highlight w:val="none"/>
          <w:lang w:val="en-US" w:eastAsia="zh-CN"/>
        </w:rPr>
        <w:t>问卷说明</w:t>
      </w:r>
      <w:r>
        <w:tab/>
      </w:r>
      <w:r>
        <w:fldChar w:fldCharType="begin"/>
      </w:r>
      <w:r>
        <w:instrText xml:space="preserve"> PAGEREF _Toc134625020 \h </w:instrText>
      </w:r>
      <w:r>
        <w:fldChar w:fldCharType="separate"/>
      </w:r>
      <w:r>
        <w:t>3</w:t>
      </w:r>
      <w:r>
        <w:fldChar w:fldCharType="end"/>
      </w:r>
      <w:r>
        <w:rPr>
          <w:rFonts w:ascii="汉仪中宋简" w:hAnsi="汉仪中宋简" w:eastAsia="汉仪中宋简"/>
          <w:szCs w:val="24"/>
        </w:rPr>
        <w:fldChar w:fldCharType="end"/>
      </w:r>
    </w:p>
    <w:p w14:paraId="722DCC97">
      <w:pPr>
        <w:pStyle w:val="8"/>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_Toc1342430849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 xml:space="preserve">四、 </w:t>
      </w:r>
      <w:r>
        <w:rPr>
          <w:rFonts w:hint="eastAsia" w:ascii="汉仪中宋简" w:hAnsi="汉仪中宋简" w:eastAsia="汉仪中宋简" w:cs="汉仪中宋简"/>
          <w:szCs w:val="32"/>
          <w:lang w:val="en-US" w:eastAsia="zh-CN"/>
        </w:rPr>
        <w:t>问卷结果分析</w:t>
      </w:r>
      <w:r>
        <w:tab/>
      </w:r>
      <w:r>
        <w:fldChar w:fldCharType="begin"/>
      </w:r>
      <w:r>
        <w:instrText xml:space="preserve"> PAGEREF _Toc1342430849 \h </w:instrText>
      </w:r>
      <w:r>
        <w:fldChar w:fldCharType="separate"/>
      </w:r>
      <w:r>
        <w:t>4</w:t>
      </w:r>
      <w:r>
        <w:fldChar w:fldCharType="end"/>
      </w:r>
      <w:r>
        <w:rPr>
          <w:rFonts w:ascii="汉仪中宋简" w:hAnsi="汉仪中宋简" w:eastAsia="汉仪中宋简"/>
          <w:szCs w:val="24"/>
        </w:rPr>
        <w:fldChar w:fldCharType="end"/>
      </w:r>
    </w:p>
    <w:p w14:paraId="488992A3">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_Toc772083761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4.1药品疗效</w:t>
      </w:r>
      <w:r>
        <w:tab/>
      </w:r>
      <w:r>
        <w:fldChar w:fldCharType="begin"/>
      </w:r>
      <w:r>
        <w:instrText xml:space="preserve"> PAGEREF _Toc772083761 \h </w:instrText>
      </w:r>
      <w:r>
        <w:fldChar w:fldCharType="separate"/>
      </w:r>
      <w:r>
        <w:t>5</w:t>
      </w:r>
      <w:r>
        <w:fldChar w:fldCharType="end"/>
      </w:r>
      <w:r>
        <w:rPr>
          <w:rFonts w:ascii="汉仪中宋简" w:hAnsi="汉仪中宋简" w:eastAsia="汉仪中宋简"/>
          <w:szCs w:val="24"/>
        </w:rPr>
        <w:fldChar w:fldCharType="end"/>
      </w:r>
    </w:p>
    <w:p w14:paraId="3C136414">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_Toc1315575953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(1) </w:t>
      </w:r>
      <w:r>
        <w:rPr>
          <w:rFonts w:ascii="汉仪中宋简" w:hAnsi="汉仪中宋简" w:eastAsia="汉仪中宋简"/>
          <w:szCs w:val="24"/>
        </w:rPr>
        <w:t>血压控制效果分析</w:t>
      </w:r>
      <w:r>
        <w:tab/>
      </w:r>
      <w:r>
        <w:fldChar w:fldCharType="begin"/>
      </w:r>
      <w:r>
        <w:instrText xml:space="preserve"> PAGEREF _Toc1315575953 \h </w:instrText>
      </w:r>
      <w:r>
        <w:fldChar w:fldCharType="separate"/>
      </w:r>
      <w:r>
        <w:t>5</w:t>
      </w:r>
      <w:r>
        <w:fldChar w:fldCharType="end"/>
      </w:r>
      <w:r>
        <w:rPr>
          <w:rFonts w:ascii="汉仪中宋简" w:hAnsi="汉仪中宋简" w:eastAsia="汉仪中宋简"/>
          <w:szCs w:val="24"/>
        </w:rPr>
        <w:fldChar w:fldCharType="end"/>
      </w:r>
    </w:p>
    <w:p w14:paraId="2C0440BE">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_Toc393412559 </w:instrText>
      </w:r>
      <w:r>
        <w:rPr>
          <w:rFonts w:ascii="汉仪中宋简" w:hAnsi="汉仪中宋简" w:eastAsia="汉仪中宋简"/>
          <w:szCs w:val="24"/>
        </w:rPr>
        <w:fldChar w:fldCharType="separate"/>
      </w:r>
      <w:r>
        <w:rPr>
          <w:rFonts w:hint="eastAsia" w:ascii="汉仪中宋简" w:hAnsi="汉仪中宋简" w:eastAsia="汉仪中宋简" w:cs="汉仪中宋简"/>
          <w:highlight w:val="none"/>
          <w:lang w:val="en-US" w:eastAsia="zh-CN"/>
        </w:rPr>
        <w:t>4.2药品安全性</w:t>
      </w:r>
      <w:r>
        <w:tab/>
      </w:r>
      <w:r>
        <w:fldChar w:fldCharType="begin"/>
      </w:r>
      <w:r>
        <w:instrText xml:space="preserve"> PAGEREF _Toc393412559 \h </w:instrText>
      </w:r>
      <w:r>
        <w:fldChar w:fldCharType="separate"/>
      </w:r>
      <w:r>
        <w:t>6</w:t>
      </w:r>
      <w:r>
        <w:fldChar w:fldCharType="end"/>
      </w:r>
      <w:r>
        <w:rPr>
          <w:rFonts w:ascii="汉仪中宋简" w:hAnsi="汉仪中宋简" w:eastAsia="汉仪中宋简"/>
          <w:szCs w:val="24"/>
        </w:rPr>
        <w:fldChar w:fldCharType="end"/>
      </w:r>
    </w:p>
    <w:p w14:paraId="38F8D9C1">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_Toc2130213647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(1) </w:t>
      </w:r>
      <w:r>
        <w:rPr>
          <w:rFonts w:ascii="汉仪中宋简" w:hAnsi="汉仪中宋简" w:eastAsia="汉仪中宋简"/>
          <w:szCs w:val="24"/>
        </w:rPr>
        <w:t>头晕头痛不良反应分析</w:t>
      </w:r>
      <w:r>
        <w:tab/>
      </w:r>
      <w:r>
        <w:fldChar w:fldCharType="begin"/>
      </w:r>
      <w:r>
        <w:instrText xml:space="preserve"> PAGEREF _Toc2130213647 \h </w:instrText>
      </w:r>
      <w:r>
        <w:fldChar w:fldCharType="separate"/>
      </w:r>
      <w:r>
        <w:t>6</w:t>
      </w:r>
      <w:r>
        <w:fldChar w:fldCharType="end"/>
      </w:r>
      <w:r>
        <w:rPr>
          <w:rFonts w:ascii="汉仪中宋简" w:hAnsi="汉仪中宋简" w:eastAsia="汉仪中宋简"/>
          <w:szCs w:val="24"/>
        </w:rPr>
        <w:fldChar w:fldCharType="end"/>
      </w:r>
    </w:p>
    <w:p w14:paraId="5EFE14B4">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_Toc1800885992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(2) </w:t>
      </w:r>
      <w:r>
        <w:rPr>
          <w:rFonts w:ascii="汉仪中宋简" w:hAnsi="汉仪中宋简" w:eastAsia="汉仪中宋简"/>
          <w:szCs w:val="24"/>
        </w:rPr>
        <w:t>口渴多尿不良反应分析</w:t>
      </w:r>
      <w:r>
        <w:tab/>
      </w:r>
      <w:r>
        <w:fldChar w:fldCharType="begin"/>
      </w:r>
      <w:r>
        <w:instrText xml:space="preserve"> PAGEREF _Toc1800885992 \h </w:instrText>
      </w:r>
      <w:r>
        <w:fldChar w:fldCharType="separate"/>
      </w:r>
      <w:r>
        <w:t>7</w:t>
      </w:r>
      <w:r>
        <w:fldChar w:fldCharType="end"/>
      </w:r>
      <w:r>
        <w:rPr>
          <w:rFonts w:ascii="汉仪中宋简" w:hAnsi="汉仪中宋简" w:eastAsia="汉仪中宋简"/>
          <w:szCs w:val="24"/>
        </w:rPr>
        <w:fldChar w:fldCharType="end"/>
      </w:r>
    </w:p>
    <w:p w14:paraId="27C2AEC9">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_Toc856346726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4.3用药行为与习惯​</w:t>
      </w:r>
      <w:r>
        <w:tab/>
      </w:r>
      <w:r>
        <w:fldChar w:fldCharType="begin"/>
      </w:r>
      <w:r>
        <w:instrText xml:space="preserve"> PAGEREF _Toc856346726 \h </w:instrText>
      </w:r>
      <w:r>
        <w:fldChar w:fldCharType="separate"/>
      </w:r>
      <w:r>
        <w:t>8</w:t>
      </w:r>
      <w:r>
        <w:fldChar w:fldCharType="end"/>
      </w:r>
      <w:r>
        <w:rPr>
          <w:rFonts w:ascii="汉仪中宋简" w:hAnsi="汉仪中宋简" w:eastAsia="汉仪中宋简"/>
          <w:szCs w:val="24"/>
        </w:rPr>
        <w:fldChar w:fldCharType="end"/>
      </w:r>
    </w:p>
    <w:p w14:paraId="77DAF735">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_Toc184021688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(1) </w:t>
      </w:r>
      <w:r>
        <w:rPr>
          <w:rFonts w:ascii="汉仪中宋简" w:hAnsi="汉仪中宋简" w:eastAsia="汉仪中宋简"/>
          <w:szCs w:val="24"/>
        </w:rPr>
        <w:t>购药渠道分析</w:t>
      </w:r>
      <w:r>
        <w:tab/>
      </w:r>
      <w:r>
        <w:fldChar w:fldCharType="begin"/>
      </w:r>
      <w:r>
        <w:instrText xml:space="preserve"> PAGEREF _Toc184021688 \h </w:instrText>
      </w:r>
      <w:r>
        <w:fldChar w:fldCharType="separate"/>
      </w:r>
      <w:r>
        <w:t>8</w:t>
      </w:r>
      <w:r>
        <w:fldChar w:fldCharType="end"/>
      </w:r>
      <w:r>
        <w:rPr>
          <w:rFonts w:ascii="汉仪中宋简" w:hAnsi="汉仪中宋简" w:eastAsia="汉仪中宋简"/>
          <w:szCs w:val="24"/>
        </w:rPr>
        <w:fldChar w:fldCharType="end"/>
      </w:r>
    </w:p>
    <w:p w14:paraId="2A2C03B0">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_Toc476058536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(2) </w:t>
      </w:r>
      <w:r>
        <w:rPr>
          <w:rFonts w:ascii="汉仪中宋简" w:hAnsi="汉仪中宋简" w:eastAsia="汉仪中宋简"/>
          <w:szCs w:val="24"/>
        </w:rPr>
        <w:t>剂量遵循情况分析</w:t>
      </w:r>
      <w:r>
        <w:tab/>
      </w:r>
      <w:r>
        <w:fldChar w:fldCharType="begin"/>
      </w:r>
      <w:r>
        <w:instrText xml:space="preserve"> PAGEREF _Toc476058536 \h </w:instrText>
      </w:r>
      <w:r>
        <w:fldChar w:fldCharType="separate"/>
      </w:r>
      <w:r>
        <w:t>8</w:t>
      </w:r>
      <w:r>
        <w:fldChar w:fldCharType="end"/>
      </w:r>
      <w:r>
        <w:rPr>
          <w:rFonts w:ascii="汉仪中宋简" w:hAnsi="汉仪中宋简" w:eastAsia="汉仪中宋简"/>
          <w:szCs w:val="24"/>
        </w:rPr>
        <w:fldChar w:fldCharType="end"/>
      </w:r>
    </w:p>
    <w:p w14:paraId="7EAD0E64">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_Toc1739229477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(3) </w:t>
      </w:r>
      <w:r>
        <w:rPr>
          <w:rFonts w:hint="eastAsia" w:ascii="汉仪中宋简" w:hAnsi="汉仪中宋简" w:eastAsia="汉仪中宋简" w:cs="汉仪中宋简"/>
          <w:kern w:val="2"/>
          <w:szCs w:val="32"/>
          <w:lang w:val="en-US" w:eastAsia="zh-CN" w:bidi="ar-SA"/>
        </w:rPr>
        <w:t>联合用药情况分析</w:t>
      </w:r>
      <w:r>
        <w:tab/>
      </w:r>
      <w:r>
        <w:fldChar w:fldCharType="begin"/>
      </w:r>
      <w:r>
        <w:instrText xml:space="preserve"> PAGEREF _Toc1739229477 \h </w:instrText>
      </w:r>
      <w:r>
        <w:fldChar w:fldCharType="separate"/>
      </w:r>
      <w:r>
        <w:t>9</w:t>
      </w:r>
      <w:r>
        <w:fldChar w:fldCharType="end"/>
      </w:r>
      <w:r>
        <w:rPr>
          <w:rFonts w:ascii="汉仪中宋简" w:hAnsi="汉仪中宋简" w:eastAsia="汉仪中宋简"/>
          <w:szCs w:val="24"/>
        </w:rPr>
        <w:fldChar w:fldCharType="end"/>
      </w:r>
    </w:p>
    <w:p w14:paraId="2A023EB2">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_Toc1829900622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(4) </w:t>
      </w:r>
      <w:r>
        <w:rPr>
          <w:rFonts w:hint="eastAsia" w:ascii="汉仪中宋简" w:hAnsi="汉仪中宋简" w:eastAsia="汉仪中宋简" w:cs="汉仪中宋简"/>
          <w:kern w:val="2"/>
          <w:szCs w:val="32"/>
          <w:lang w:val="en-US" w:eastAsia="zh-CN" w:bidi="ar-SA"/>
        </w:rPr>
        <w:t>联合用药咨询情况分析</w:t>
      </w:r>
      <w:r>
        <w:tab/>
      </w:r>
      <w:r>
        <w:fldChar w:fldCharType="begin"/>
      </w:r>
      <w:r>
        <w:instrText xml:space="preserve"> PAGEREF _Toc1829900622 \h </w:instrText>
      </w:r>
      <w:r>
        <w:fldChar w:fldCharType="separate"/>
      </w:r>
      <w:r>
        <w:t>10</w:t>
      </w:r>
      <w:r>
        <w:fldChar w:fldCharType="end"/>
      </w:r>
      <w:r>
        <w:rPr>
          <w:rFonts w:ascii="汉仪中宋简" w:hAnsi="汉仪中宋简" w:eastAsia="汉仪中宋简"/>
          <w:szCs w:val="24"/>
        </w:rPr>
        <w:fldChar w:fldCharType="end"/>
      </w:r>
    </w:p>
    <w:p w14:paraId="325BB878">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_Toc1026445267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(5) </w:t>
      </w:r>
      <w:r>
        <w:rPr>
          <w:rFonts w:hint="eastAsia" w:ascii="汉仪中宋简" w:hAnsi="汉仪中宋简" w:eastAsia="汉仪中宋简" w:cs="汉仪中宋简"/>
          <w:kern w:val="2"/>
          <w:szCs w:val="32"/>
          <w:lang w:val="en-US" w:eastAsia="zh-CN" w:bidi="ar-SA"/>
        </w:rPr>
        <w:t>血压监测频率分析</w:t>
      </w:r>
      <w:r>
        <w:tab/>
      </w:r>
      <w:r>
        <w:fldChar w:fldCharType="begin"/>
      </w:r>
      <w:r>
        <w:instrText xml:space="preserve"> PAGEREF _Toc1026445267 \h </w:instrText>
      </w:r>
      <w:r>
        <w:fldChar w:fldCharType="separate"/>
      </w:r>
      <w:r>
        <w:t>10</w:t>
      </w:r>
      <w:r>
        <w:fldChar w:fldCharType="end"/>
      </w:r>
      <w:r>
        <w:rPr>
          <w:rFonts w:ascii="汉仪中宋简" w:hAnsi="汉仪中宋简" w:eastAsia="汉仪中宋简"/>
          <w:szCs w:val="24"/>
        </w:rPr>
        <w:fldChar w:fldCharType="end"/>
      </w:r>
    </w:p>
    <w:p w14:paraId="5483B159">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_Toc729466118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4.4用药便利性</w:t>
      </w:r>
      <w:r>
        <w:tab/>
      </w:r>
      <w:r>
        <w:fldChar w:fldCharType="begin"/>
      </w:r>
      <w:r>
        <w:instrText xml:space="preserve"> PAGEREF _Toc729466118 \h </w:instrText>
      </w:r>
      <w:r>
        <w:fldChar w:fldCharType="separate"/>
      </w:r>
      <w:r>
        <w:t>11</w:t>
      </w:r>
      <w:r>
        <w:fldChar w:fldCharType="end"/>
      </w:r>
      <w:r>
        <w:rPr>
          <w:rFonts w:ascii="汉仪中宋简" w:hAnsi="汉仪中宋简" w:eastAsia="汉仪中宋简"/>
          <w:szCs w:val="24"/>
        </w:rPr>
        <w:fldChar w:fldCharType="end"/>
      </w:r>
    </w:p>
    <w:p w14:paraId="0E604F3F">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_Toc152904503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(1) </w:t>
      </w:r>
      <w:r>
        <w:rPr>
          <w:rFonts w:ascii="汉仪中宋简" w:hAnsi="汉仪中宋简" w:eastAsia="汉仪中宋简"/>
          <w:szCs w:val="24"/>
        </w:rPr>
        <w:t>服药频率满意度分析</w:t>
      </w:r>
      <w:r>
        <w:tab/>
      </w:r>
      <w:r>
        <w:fldChar w:fldCharType="begin"/>
      </w:r>
      <w:r>
        <w:instrText xml:space="preserve"> PAGEREF _Toc152904503 \h </w:instrText>
      </w:r>
      <w:r>
        <w:fldChar w:fldCharType="separate"/>
      </w:r>
      <w:r>
        <w:t>11</w:t>
      </w:r>
      <w:r>
        <w:fldChar w:fldCharType="end"/>
      </w:r>
      <w:r>
        <w:rPr>
          <w:rFonts w:ascii="汉仪中宋简" w:hAnsi="汉仪中宋简" w:eastAsia="汉仪中宋简"/>
          <w:szCs w:val="24"/>
        </w:rPr>
        <w:fldChar w:fldCharType="end"/>
      </w:r>
    </w:p>
    <w:p w14:paraId="19A44CA1">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_Toc1475540109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(2) </w:t>
      </w:r>
      <w:r>
        <w:rPr>
          <w:rFonts w:hint="eastAsia" w:ascii="汉仪中宋简" w:hAnsi="汉仪中宋简" w:eastAsia="汉仪中宋简" w:cs="汉仪中宋简"/>
          <w:kern w:val="2"/>
          <w:szCs w:val="32"/>
          <w:lang w:val="en-US" w:eastAsia="zh-CN" w:bidi="ar-SA"/>
        </w:rPr>
        <w:t>药品包装便利性分析</w:t>
      </w:r>
      <w:r>
        <w:tab/>
      </w:r>
      <w:r>
        <w:fldChar w:fldCharType="begin"/>
      </w:r>
      <w:r>
        <w:instrText xml:space="preserve"> PAGEREF _Toc1475540109 \h </w:instrText>
      </w:r>
      <w:r>
        <w:fldChar w:fldCharType="separate"/>
      </w:r>
      <w:r>
        <w:t>12</w:t>
      </w:r>
      <w:r>
        <w:fldChar w:fldCharType="end"/>
      </w:r>
      <w:r>
        <w:rPr>
          <w:rFonts w:ascii="汉仪中宋简" w:hAnsi="汉仪中宋简" w:eastAsia="汉仪中宋简"/>
          <w:szCs w:val="24"/>
        </w:rPr>
        <w:fldChar w:fldCharType="end"/>
      </w:r>
    </w:p>
    <w:p w14:paraId="62E72936">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_Toc261456407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4.5药品经济性</w:t>
      </w:r>
      <w:r>
        <w:tab/>
      </w:r>
      <w:r>
        <w:fldChar w:fldCharType="begin"/>
      </w:r>
      <w:r>
        <w:instrText xml:space="preserve"> PAGEREF _Toc261456407 \h </w:instrText>
      </w:r>
      <w:r>
        <w:fldChar w:fldCharType="separate"/>
      </w:r>
      <w:r>
        <w:t>13</w:t>
      </w:r>
      <w:r>
        <w:fldChar w:fldCharType="end"/>
      </w:r>
      <w:r>
        <w:rPr>
          <w:rFonts w:ascii="汉仪中宋简" w:hAnsi="汉仪中宋简" w:eastAsia="汉仪中宋简"/>
          <w:szCs w:val="24"/>
        </w:rPr>
        <w:fldChar w:fldCharType="end"/>
      </w:r>
    </w:p>
    <w:p w14:paraId="3E47B7E3">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_Toc546290687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(1) </w:t>
      </w:r>
      <w:r>
        <w:rPr>
          <w:rFonts w:ascii="汉仪中宋简" w:hAnsi="汉仪中宋简" w:eastAsia="汉仪中宋简"/>
          <w:szCs w:val="24"/>
        </w:rPr>
        <w:t>价格负担影响分析</w:t>
      </w:r>
      <w:r>
        <w:tab/>
      </w:r>
      <w:r>
        <w:fldChar w:fldCharType="begin"/>
      </w:r>
      <w:r>
        <w:instrText xml:space="preserve"> PAGEREF _Toc546290687 \h </w:instrText>
      </w:r>
      <w:r>
        <w:fldChar w:fldCharType="separate"/>
      </w:r>
      <w:r>
        <w:t>13</w:t>
      </w:r>
      <w:r>
        <w:fldChar w:fldCharType="end"/>
      </w:r>
      <w:r>
        <w:rPr>
          <w:rFonts w:ascii="汉仪中宋简" w:hAnsi="汉仪中宋简" w:eastAsia="汉仪中宋简"/>
          <w:szCs w:val="24"/>
        </w:rPr>
        <w:fldChar w:fldCharType="end"/>
      </w:r>
    </w:p>
    <w:p w14:paraId="6DB0E542">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_Toc1014985484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4.6药品可及性</w:t>
      </w:r>
      <w:r>
        <w:tab/>
      </w:r>
      <w:r>
        <w:fldChar w:fldCharType="begin"/>
      </w:r>
      <w:r>
        <w:instrText xml:space="preserve"> PAGEREF _Toc1014985484 \h </w:instrText>
      </w:r>
      <w:r>
        <w:fldChar w:fldCharType="separate"/>
      </w:r>
      <w:r>
        <w:t>14</w:t>
      </w:r>
      <w:r>
        <w:fldChar w:fldCharType="end"/>
      </w:r>
      <w:r>
        <w:rPr>
          <w:rFonts w:ascii="汉仪中宋简" w:hAnsi="汉仪中宋简" w:eastAsia="汉仪中宋简"/>
          <w:szCs w:val="24"/>
        </w:rPr>
        <w:fldChar w:fldCharType="end"/>
      </w:r>
    </w:p>
    <w:p w14:paraId="6EC8B3EE">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_Toc1398421467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(1) </w:t>
      </w:r>
      <w:r>
        <w:rPr>
          <w:rFonts w:ascii="汉仪中宋简" w:hAnsi="汉仪中宋简" w:eastAsia="汉仪中宋简"/>
          <w:szCs w:val="24"/>
        </w:rPr>
        <w:t>药品供应稳定性分析</w:t>
      </w:r>
      <w:r>
        <w:tab/>
      </w:r>
      <w:r>
        <w:fldChar w:fldCharType="begin"/>
      </w:r>
      <w:r>
        <w:instrText xml:space="preserve"> PAGEREF _Toc1398421467 \h </w:instrText>
      </w:r>
      <w:r>
        <w:fldChar w:fldCharType="separate"/>
      </w:r>
      <w:r>
        <w:t>14</w:t>
      </w:r>
      <w:r>
        <w:fldChar w:fldCharType="end"/>
      </w:r>
      <w:r>
        <w:rPr>
          <w:rFonts w:ascii="汉仪中宋简" w:hAnsi="汉仪中宋简" w:eastAsia="汉仪中宋简"/>
          <w:szCs w:val="24"/>
        </w:rPr>
        <w:fldChar w:fldCharType="end"/>
      </w:r>
    </w:p>
    <w:p w14:paraId="68E4175D">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_Toc1208563101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4.7用药指导信息评价</w:t>
      </w:r>
      <w:r>
        <w:tab/>
      </w:r>
      <w:r>
        <w:fldChar w:fldCharType="begin"/>
      </w:r>
      <w:r>
        <w:instrText xml:space="preserve"> PAGEREF _Toc1208563101 \h </w:instrText>
      </w:r>
      <w:r>
        <w:fldChar w:fldCharType="separate"/>
      </w:r>
      <w:r>
        <w:t>15</w:t>
      </w:r>
      <w:r>
        <w:fldChar w:fldCharType="end"/>
      </w:r>
      <w:r>
        <w:rPr>
          <w:rFonts w:ascii="汉仪中宋简" w:hAnsi="汉仪中宋简" w:eastAsia="汉仪中宋简"/>
          <w:szCs w:val="24"/>
        </w:rPr>
        <w:fldChar w:fldCharType="end"/>
      </w:r>
    </w:p>
    <w:p w14:paraId="044CDF83">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_Toc1419705181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(1) </w:t>
      </w:r>
      <w:r>
        <w:rPr>
          <w:rFonts w:ascii="汉仪中宋简" w:hAnsi="汉仪中宋简" w:eastAsia="汉仪中宋简"/>
          <w:szCs w:val="24"/>
        </w:rPr>
        <w:t>说明书信息清晰度分析</w:t>
      </w:r>
      <w:r>
        <w:tab/>
      </w:r>
      <w:r>
        <w:fldChar w:fldCharType="begin"/>
      </w:r>
      <w:r>
        <w:instrText xml:space="preserve"> PAGEREF _Toc1419705181 \h </w:instrText>
      </w:r>
      <w:r>
        <w:fldChar w:fldCharType="separate"/>
      </w:r>
      <w:r>
        <w:t>15</w:t>
      </w:r>
      <w:r>
        <w:fldChar w:fldCharType="end"/>
      </w:r>
      <w:r>
        <w:rPr>
          <w:rFonts w:ascii="汉仪中宋简" w:hAnsi="汉仪中宋简" w:eastAsia="汉仪中宋简"/>
          <w:szCs w:val="24"/>
        </w:rPr>
        <w:fldChar w:fldCharType="end"/>
      </w:r>
    </w:p>
    <w:p w14:paraId="4BA6507A">
      <w:pPr>
        <w:pStyle w:val="5"/>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_Toc294175250 </w:instrText>
      </w:r>
      <w:r>
        <w:rPr>
          <w:rFonts w:ascii="汉仪中宋简" w:hAnsi="汉仪中宋简" w:eastAsia="汉仪中宋简"/>
          <w:szCs w:val="24"/>
        </w:rPr>
        <w:fldChar w:fldCharType="separate"/>
      </w:r>
      <w:r>
        <w:rPr>
          <w:rFonts w:hint="default" w:ascii="汉仪中宋简" w:hAnsi="汉仪中宋简" w:eastAsia="汉仪中宋简" w:cs="汉仪中宋简"/>
          <w:kern w:val="2"/>
          <w:szCs w:val="32"/>
          <w:lang w:val="en-US" w:eastAsia="zh-CN" w:bidi="ar-SA"/>
        </w:rPr>
        <w:t xml:space="preserve">(2) </w:t>
      </w:r>
      <w:r>
        <w:rPr>
          <w:rFonts w:hint="eastAsia" w:ascii="汉仪中宋简" w:hAnsi="汉仪中宋简" w:eastAsia="汉仪中宋简" w:cs="汉仪中宋简"/>
          <w:kern w:val="2"/>
          <w:szCs w:val="32"/>
          <w:lang w:val="en-US" w:eastAsia="zh-CN" w:bidi="ar-SA"/>
        </w:rPr>
        <w:t>用药指导详细准确性分析</w:t>
      </w:r>
      <w:r>
        <w:tab/>
      </w:r>
      <w:r>
        <w:fldChar w:fldCharType="begin"/>
      </w:r>
      <w:r>
        <w:instrText xml:space="preserve"> PAGEREF _Toc294175250 \h </w:instrText>
      </w:r>
      <w:r>
        <w:fldChar w:fldCharType="separate"/>
      </w:r>
      <w:r>
        <w:t>15</w:t>
      </w:r>
      <w:r>
        <w:fldChar w:fldCharType="end"/>
      </w:r>
      <w:r>
        <w:rPr>
          <w:rFonts w:ascii="汉仪中宋简" w:hAnsi="汉仪中宋简" w:eastAsia="汉仪中宋简"/>
          <w:szCs w:val="24"/>
        </w:rPr>
        <w:fldChar w:fldCharType="end"/>
      </w:r>
    </w:p>
    <w:p w14:paraId="41327291">
      <w:pPr>
        <w:pStyle w:val="8"/>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_Toc696071356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五、 调研结果</w:t>
      </w:r>
      <w:r>
        <w:tab/>
      </w:r>
      <w:r>
        <w:fldChar w:fldCharType="begin"/>
      </w:r>
      <w:r>
        <w:instrText xml:space="preserve"> PAGEREF _Toc696071356 \h </w:instrText>
      </w:r>
      <w:r>
        <w:fldChar w:fldCharType="separate"/>
      </w:r>
      <w:r>
        <w:t>16</w:t>
      </w:r>
      <w:r>
        <w:fldChar w:fldCharType="end"/>
      </w:r>
      <w:r>
        <w:rPr>
          <w:rFonts w:ascii="汉仪中宋简" w:hAnsi="汉仪中宋简" w:eastAsia="汉仪中宋简"/>
          <w:szCs w:val="24"/>
        </w:rPr>
        <w:fldChar w:fldCharType="end"/>
      </w:r>
    </w:p>
    <w:p w14:paraId="5662F100">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_Toc1527855083 </w:instrText>
      </w:r>
      <w:r>
        <w:rPr>
          <w:rFonts w:ascii="汉仪中宋简" w:hAnsi="汉仪中宋简" w:eastAsia="汉仪中宋简"/>
          <w:szCs w:val="24"/>
        </w:rPr>
        <w:fldChar w:fldCharType="separate"/>
      </w:r>
      <w:r>
        <w:rPr>
          <w:rFonts w:hint="eastAsia" w:ascii="汉仪中宋简" w:hAnsi="汉仪中宋简" w:eastAsia="汉仪中宋简" w:cs="汉仪中宋简"/>
          <w:lang w:val="en-US" w:eastAsia="zh-CN"/>
        </w:rPr>
        <w:t>5.1问卷重点问题分析</w:t>
      </w:r>
      <w:r>
        <w:tab/>
      </w:r>
      <w:r>
        <w:fldChar w:fldCharType="begin"/>
      </w:r>
      <w:r>
        <w:instrText xml:space="preserve"> PAGEREF _Toc1527855083 \h </w:instrText>
      </w:r>
      <w:r>
        <w:fldChar w:fldCharType="separate"/>
      </w:r>
      <w:r>
        <w:t>16</w:t>
      </w:r>
      <w:r>
        <w:fldChar w:fldCharType="end"/>
      </w:r>
      <w:r>
        <w:rPr>
          <w:rFonts w:ascii="汉仪中宋简" w:hAnsi="汉仪中宋简" w:eastAsia="汉仪中宋简"/>
          <w:szCs w:val="24"/>
        </w:rPr>
        <w:fldChar w:fldCharType="end"/>
      </w:r>
    </w:p>
    <w:p w14:paraId="5626C9F2">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_Toc1198412802 </w:instrText>
      </w:r>
      <w:r>
        <w:rPr>
          <w:rFonts w:ascii="汉仪中宋简" w:hAnsi="汉仪中宋简" w:eastAsia="汉仪中宋简"/>
          <w:szCs w:val="24"/>
        </w:rPr>
        <w:fldChar w:fldCharType="separate"/>
      </w:r>
      <w:r>
        <w:rPr>
          <w:rFonts w:hint="eastAsia" w:ascii="汉仪中宋简" w:hAnsi="汉仪中宋简" w:eastAsia="汉仪中宋简" w:cs="汉仪中宋简"/>
          <w:highlight w:val="none"/>
          <w:lang w:val="en-US" w:eastAsia="zh-CN"/>
        </w:rPr>
        <w:t>5.2调研结果分析</w:t>
      </w:r>
      <w:r>
        <w:tab/>
      </w:r>
      <w:r>
        <w:fldChar w:fldCharType="begin"/>
      </w:r>
      <w:r>
        <w:instrText xml:space="preserve"> PAGEREF _Toc1198412802 \h </w:instrText>
      </w:r>
      <w:r>
        <w:fldChar w:fldCharType="separate"/>
      </w:r>
      <w:r>
        <w:t>17</w:t>
      </w:r>
      <w:r>
        <w:fldChar w:fldCharType="end"/>
      </w:r>
      <w:r>
        <w:rPr>
          <w:rFonts w:ascii="汉仪中宋简" w:hAnsi="汉仪中宋简" w:eastAsia="汉仪中宋简"/>
          <w:szCs w:val="24"/>
        </w:rPr>
        <w:fldChar w:fldCharType="end"/>
      </w:r>
    </w:p>
    <w:p w14:paraId="53F1B7B6">
      <w:pPr>
        <w:pStyle w:val="9"/>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_Toc474838001 </w:instrText>
      </w:r>
      <w:r>
        <w:rPr>
          <w:rFonts w:ascii="汉仪中宋简" w:hAnsi="汉仪中宋简" w:eastAsia="汉仪中宋简"/>
          <w:szCs w:val="24"/>
        </w:rPr>
        <w:fldChar w:fldCharType="separate"/>
      </w:r>
      <w:r>
        <w:rPr>
          <w:rFonts w:hint="eastAsia" w:ascii="汉仪中宋简" w:hAnsi="汉仪中宋简" w:eastAsia="汉仪中宋简" w:cs="汉仪中宋简"/>
          <w:highlight w:val="none"/>
          <w:lang w:val="en-US" w:eastAsia="zh-CN"/>
        </w:rPr>
        <w:t>5.3建议</w:t>
      </w:r>
      <w:r>
        <w:tab/>
      </w:r>
      <w:r>
        <w:fldChar w:fldCharType="begin"/>
      </w:r>
      <w:r>
        <w:instrText xml:space="preserve"> PAGEREF _Toc474838001 \h </w:instrText>
      </w:r>
      <w:r>
        <w:fldChar w:fldCharType="separate"/>
      </w:r>
      <w:r>
        <w:t>19</w:t>
      </w:r>
      <w:r>
        <w:fldChar w:fldCharType="end"/>
      </w:r>
      <w:r>
        <w:rPr>
          <w:rFonts w:ascii="汉仪中宋简" w:hAnsi="汉仪中宋简" w:eastAsia="汉仪中宋简"/>
          <w:szCs w:val="24"/>
        </w:rPr>
        <w:fldChar w:fldCharType="end"/>
      </w:r>
    </w:p>
    <w:p w14:paraId="2D751D54">
      <w:pPr>
        <w:pStyle w:val="8"/>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_Toc553050555 </w:instrText>
      </w:r>
      <w:r>
        <w:rPr>
          <w:rFonts w:ascii="汉仪中宋简" w:hAnsi="汉仪中宋简" w:eastAsia="汉仪中宋简"/>
          <w:szCs w:val="24"/>
        </w:rPr>
        <w:fldChar w:fldCharType="separate"/>
      </w:r>
      <w:r>
        <w:rPr>
          <w:rFonts w:ascii="汉仪中宋简" w:hAnsi="汉仪中宋简" w:eastAsia="汉仪中宋简"/>
          <w:szCs w:val="32"/>
        </w:rPr>
        <w:t>附件1：厄贝沙坦氢氯噻嗪片用药体验与疗效反馈患者调查问卷</w:t>
      </w:r>
      <w:r>
        <w:tab/>
      </w:r>
      <w:r>
        <w:fldChar w:fldCharType="begin"/>
      </w:r>
      <w:r>
        <w:instrText xml:space="preserve"> PAGEREF _Toc553050555 \h </w:instrText>
      </w:r>
      <w:r>
        <w:fldChar w:fldCharType="separate"/>
      </w:r>
      <w:r>
        <w:t>20</w:t>
      </w:r>
      <w:r>
        <w:fldChar w:fldCharType="end"/>
      </w:r>
      <w:r>
        <w:rPr>
          <w:rFonts w:ascii="汉仪中宋简" w:hAnsi="汉仪中宋简" w:eastAsia="汉仪中宋简"/>
          <w:szCs w:val="24"/>
        </w:rPr>
        <w:fldChar w:fldCharType="end"/>
      </w:r>
    </w:p>
    <w:p w14:paraId="4459AC17">
      <w:pPr>
        <w:pStyle w:val="8"/>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_Toc811453669 </w:instrText>
      </w:r>
      <w:r>
        <w:rPr>
          <w:rFonts w:ascii="汉仪中宋简" w:hAnsi="汉仪中宋简" w:eastAsia="汉仪中宋简"/>
          <w:szCs w:val="24"/>
        </w:rPr>
        <w:fldChar w:fldCharType="separate"/>
      </w:r>
      <w:r>
        <w:rPr>
          <w:rFonts w:hint="eastAsia" w:ascii="汉仪中宋简" w:hAnsi="汉仪中宋简" w:eastAsia="汉仪中宋简" w:cs="汉仪中宋简"/>
          <w:highlight w:val="none"/>
          <w:lang w:val="en-US" w:eastAsia="zh-CN"/>
        </w:rPr>
        <w:t>附件2：问卷调查明细表</w:t>
      </w:r>
      <w:r>
        <w:tab/>
      </w:r>
      <w:r>
        <w:fldChar w:fldCharType="begin"/>
      </w:r>
      <w:r>
        <w:instrText xml:space="preserve"> PAGEREF _Toc811453669 \h </w:instrText>
      </w:r>
      <w:r>
        <w:fldChar w:fldCharType="separate"/>
      </w:r>
      <w:r>
        <w:t>24</w:t>
      </w:r>
      <w:r>
        <w:fldChar w:fldCharType="end"/>
      </w:r>
      <w:r>
        <w:rPr>
          <w:rFonts w:ascii="汉仪中宋简" w:hAnsi="汉仪中宋简" w:eastAsia="汉仪中宋简"/>
          <w:szCs w:val="24"/>
        </w:rPr>
        <w:fldChar w:fldCharType="end"/>
      </w:r>
    </w:p>
    <w:p w14:paraId="03AF14F5">
      <w:pPr>
        <w:pStyle w:val="8"/>
        <w:tabs>
          <w:tab w:val="right" w:leader="dot" w:pos="8306"/>
        </w:tabs>
      </w:pPr>
      <w:r>
        <w:rPr>
          <w:rFonts w:ascii="汉仪中宋简" w:hAnsi="汉仪中宋简" w:eastAsia="汉仪中宋简"/>
          <w:szCs w:val="24"/>
        </w:rPr>
        <w:fldChar w:fldCharType="begin"/>
      </w:r>
      <w:r>
        <w:rPr>
          <w:rFonts w:ascii="汉仪中宋简" w:hAnsi="汉仪中宋简" w:eastAsia="汉仪中宋简"/>
          <w:szCs w:val="24"/>
        </w:rPr>
        <w:instrText xml:space="preserve"> HYPERLINK \l _Toc1580656433 </w:instrText>
      </w:r>
      <w:r>
        <w:rPr>
          <w:rFonts w:ascii="汉仪中宋简" w:hAnsi="汉仪中宋简" w:eastAsia="汉仪中宋简"/>
          <w:szCs w:val="24"/>
        </w:rPr>
        <w:fldChar w:fldCharType="separate"/>
      </w:r>
      <w:r>
        <w:rPr>
          <w:rFonts w:hint="eastAsia" w:ascii="汉仪中宋简" w:hAnsi="汉仪中宋简" w:eastAsia="汉仪中宋简" w:cs="汉仪中宋简"/>
          <w:szCs w:val="32"/>
        </w:rPr>
        <w:t>免责申明</w:t>
      </w:r>
      <w:r>
        <w:tab/>
      </w:r>
      <w:r>
        <w:fldChar w:fldCharType="begin"/>
      </w:r>
      <w:r>
        <w:instrText xml:space="preserve"> PAGEREF _Toc1580656433 \h </w:instrText>
      </w:r>
      <w:r>
        <w:fldChar w:fldCharType="separate"/>
      </w:r>
      <w:r>
        <w:t>25</w:t>
      </w:r>
      <w:r>
        <w:fldChar w:fldCharType="end"/>
      </w:r>
      <w:r>
        <w:rPr>
          <w:rFonts w:ascii="汉仪中宋简" w:hAnsi="汉仪中宋简" w:eastAsia="汉仪中宋简"/>
          <w:szCs w:val="24"/>
        </w:rPr>
        <w:fldChar w:fldCharType="end"/>
      </w:r>
    </w:p>
    <w:p w14:paraId="4DF02D0E">
      <w:pPr>
        <w:jc w:val="left"/>
      </w:pPr>
      <w:r>
        <w:rPr>
          <w:rFonts w:ascii="汉仪中宋简" w:hAnsi="汉仪中宋简" w:eastAsia="汉仪中宋简"/>
          <w:szCs w:val="24"/>
        </w:rPr>
        <w:fldChar w:fldCharType="end"/>
      </w:r>
    </w:p>
    <w:p w14:paraId="2F7C28CF">
      <w:pPr>
        <w:pStyle w:val="2"/>
        <w:bidi w:val="0"/>
        <w:jc w:val="center"/>
        <w:rPr>
          <w:rFonts w:hint="eastAsia" w:ascii="汉仪中宋简" w:hAnsi="汉仪中宋简" w:eastAsia="汉仪中宋简" w:cs="汉仪中宋简"/>
          <w:lang w:val="en-US" w:eastAsia="zh-CN"/>
        </w:rPr>
        <w:sectPr>
          <w:footerReference r:id="rId8"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bookmarkStart w:id="7" w:name="_Toc2436"/>
    </w:p>
    <w:p w14:paraId="6C8E94F9">
      <w:pPr>
        <w:pStyle w:val="2"/>
        <w:bidi w:val="0"/>
        <w:jc w:val="center"/>
        <w:rPr>
          <w:rFonts w:hint="eastAsia" w:ascii="汉仪中宋简" w:hAnsi="汉仪中宋简" w:eastAsia="汉仪中宋简" w:cs="汉仪中宋简"/>
          <w:lang w:val="en-US" w:eastAsia="zh-CN"/>
        </w:rPr>
      </w:pPr>
      <w:bookmarkStart w:id="8" w:name="_Toc404700744"/>
      <w:r>
        <w:rPr>
          <w:rFonts w:hint="eastAsia" w:ascii="汉仪中宋简" w:hAnsi="汉仪中宋简" w:eastAsia="汉仪中宋简" w:cs="汉仪中宋简"/>
          <w:b/>
          <w:sz w:val="44"/>
          <w:szCs w:val="44"/>
          <w:lang w:val="en-US" w:eastAsia="zh-CN"/>
        </w:rPr>
        <w:t>前言</w:t>
      </w:r>
      <w:bookmarkEnd w:id="7"/>
      <w:bookmarkEnd w:id="8"/>
    </w:p>
    <w:p w14:paraId="5168C8CC">
      <w:pPr>
        <w:widowControl w:val="0"/>
        <w:snapToGrid/>
        <w:spacing w:before="0" w:after="0" w:line="600" w:lineRule="auto"/>
        <w:ind w:right="0" w:rightChars="0"/>
        <w:jc w:val="both"/>
        <w:outlineLvl w:val="9"/>
        <w:rPr>
          <w:rFonts w:ascii="汉仪中宋简" w:hAnsi="汉仪中宋简" w:eastAsia="汉仪中宋简"/>
          <w:sz w:val="24"/>
          <w:szCs w:val="24"/>
        </w:rPr>
      </w:pPr>
      <w:r>
        <w:rPr>
          <w:rFonts w:ascii="汉仪中宋简" w:hAnsi="汉仪中宋简" w:eastAsia="汉仪中宋简"/>
          <w:sz w:val="24"/>
          <w:szCs w:val="24"/>
        </w:rPr>
        <w:t>高血压作为我国常见慢性非传染性疾病之一，其长期规范管理对于降低心脑血管并发症风险、改善患者生活质量具有重要意义。厄贝沙坦氢氯噻嗪片作为临床常用复方降压药物，在稳定控压、简化治疗方案及提升长期管理可执行性方面具有较明确的应用价值。随着患者对疗效感知、安全性体验和持续用药支持要求不断提高，仅依赖传统临床观察已难以全面反映真实使用场景中的需求差异。</w:t>
      </w:r>
    </w:p>
    <w:p w14:paraId="1E322320">
      <w:pPr>
        <w:widowControl w:val="0"/>
        <w:snapToGrid/>
        <w:spacing w:before="0" w:after="0" w:line="600" w:lineRule="auto"/>
        <w:ind w:right="0" w:rightChars="0" w:firstLine="480" w:firstLineChars="200"/>
        <w:jc w:val="both"/>
        <w:outlineLvl w:val="9"/>
      </w:pPr>
      <w:r>
        <w:rPr>
          <w:rFonts w:ascii="汉仪中宋简" w:hAnsi="汉仪中宋简" w:eastAsia="汉仪中宋简"/>
          <w:sz w:val="24"/>
          <w:szCs w:val="24"/>
        </w:rPr>
        <w:t>本次调研聚焦北京市使用厄贝沙坦氢氯噻嗪片的患者群体，共收集有效问卷1789份，围绕药品疗效、安全性、用药行为、便利性、经济性、可及性及信息支持等核心维度展开系统分析，旨在从患者视角识别真实用药过程中的优势表现与待优化环节，同时关注区域化支持需求差异。通过对区域样本反馈的系统梳理，本报告将为企业后续优化患者教育内容、完善用药支持服务和提升产品应用沟通质量提供数据参考，也为临床端进一步加强慢病管理中的用药指导提供依据。</w:t>
      </w:r>
    </w:p>
    <w:p w14:paraId="4263CCF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sectPr>
          <w:footerReference r:id="rId9" w:type="default"/>
          <w:pgSz w:w="11906" w:h="16838"/>
          <w:pgMar w:top="1440" w:right="1800" w:bottom="1440" w:left="1800"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041B3149">
      <w:pPr>
        <w:keepNext w:val="0"/>
        <w:keepLines w:val="0"/>
        <w:pageBreakBefore w:val="0"/>
        <w:widowControl w:val="0"/>
        <w:kinsoku/>
        <w:wordWrap/>
        <w:overflowPunct/>
        <w:topLinePunct w:val="0"/>
        <w:autoSpaceDE/>
        <w:autoSpaceDN/>
        <w:bidi w:val="0"/>
        <w:adjustRightInd/>
        <w:snapToGrid/>
        <w:spacing w:before="157" w:beforeLines="50" w:after="157" w:afterLines="50" w:line="480" w:lineRule="auto"/>
        <w:jc w:val="center"/>
        <w:textAlignment w:val="auto"/>
        <w:rPr>
          <w:rFonts w:hint="eastAsia" w:ascii="汉仪中宋简" w:hAnsi="汉仪中宋简" w:eastAsia="汉仪中宋简" w:cs="汉仪中宋简"/>
          <w:b/>
          <w:bCs/>
          <w:sz w:val="44"/>
          <w:szCs w:val="44"/>
          <w:lang w:val="en-US" w:eastAsia="zh-CN"/>
        </w:rPr>
      </w:pPr>
      <w:r>
        <w:rPr>
          <w:rFonts w:ascii="汉仪中宋简" w:hAnsi="汉仪中宋简" w:eastAsia="汉仪中宋简"/>
          <w:b/>
          <w:sz w:val="44"/>
          <w:szCs w:val="44"/>
        </w:rPr>
        <w:t>问卷调研分析报告</w:t>
      </w:r>
      <w:bookmarkStart w:id="9" w:name="_Toc6219"/>
      <w:bookmarkEnd w:id="9"/>
      <w:bookmarkStart w:id="10" w:name="_Toc18642"/>
      <w:bookmarkEnd w:id="10"/>
      <w:bookmarkStart w:id="11" w:name="_Toc31976"/>
      <w:bookmarkEnd w:id="11"/>
    </w:p>
    <w:p w14:paraId="20E32FAB">
      <w:pPr>
        <w:pStyle w:val="3"/>
        <w:numPr>
          <w:ilvl w:val="0"/>
          <w:numId w:val="1"/>
        </w:numPr>
        <w:bidi w:val="0"/>
        <w:jc w:val="left"/>
        <w:outlineLvl w:val="0"/>
        <w:rPr>
          <w:rFonts w:hint="eastAsia" w:ascii="汉仪中宋简" w:hAnsi="汉仪中宋简" w:eastAsia="汉仪中宋简" w:cs="汉仪中宋简"/>
          <w:b/>
          <w:highlight w:val="none"/>
          <w:lang w:val="en-US" w:eastAsia="zh-CN"/>
        </w:rPr>
      </w:pPr>
      <w:bookmarkStart w:id="12" w:name="_Toc29577"/>
      <w:bookmarkStart w:id="13" w:name="_Toc724694359"/>
      <w:r>
        <w:rPr>
          <w:rFonts w:hint="eastAsia" w:ascii="汉仪中宋简" w:hAnsi="汉仪中宋简" w:eastAsia="汉仪中宋简" w:cs="汉仪中宋简"/>
          <w:b/>
          <w:sz w:val="32"/>
          <w:szCs w:val="32"/>
          <w:highlight w:val="none"/>
          <w:lang w:val="en-US" w:eastAsia="zh-CN"/>
        </w:rPr>
        <w:t>项目背景</w:t>
      </w:r>
      <w:bookmarkEnd w:id="12"/>
      <w:bookmarkEnd w:id="13"/>
    </w:p>
    <w:p w14:paraId="33023550">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24"/>
          <w:highlight w:val="none"/>
          <w:lang w:val="en-US" w:eastAsia="zh-CN"/>
        </w:rPr>
      </w:pPr>
      <w:r>
        <w:rPr>
          <w:rFonts w:ascii="汉仪中宋简" w:hAnsi="汉仪中宋简" w:eastAsia="汉仪中宋简"/>
          <w:sz w:val="24"/>
          <w:szCs w:val="24"/>
        </w:rPr>
        <w:t>随着人口老龄化加快和生活方式变化，高血压患病率持续维持在较高水平，患者对长期规范用药的依赖程度不断增强。厄贝沙坦氢氯噻嗪片作为复方降压药物，在真实临床应用中不仅承担控压作用，也直接影响患者对治疗便利性、耐受性与持续管理信心的判断。北京市患者就医渠道丰富、健康管理意识较强，为观察真实用药体验提供了较好的样本基础。</w:t>
      </w:r>
    </w:p>
    <w:p w14:paraId="1AA41BF6">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24"/>
          <w:highlight w:val="none"/>
          <w:lang w:val="en-US" w:eastAsia="zh-CN"/>
        </w:rPr>
      </w:pPr>
      <w:r>
        <w:rPr>
          <w:rFonts w:ascii="汉仪中宋简" w:hAnsi="汉仪中宋简" w:eastAsia="汉仪中宋简"/>
          <w:sz w:val="24"/>
          <w:szCs w:val="24"/>
        </w:rPr>
        <w:t>但现阶段围绕该药物在区域患者中的实际使用反馈、依从行为差异及服务支持需求，仍缺乏持续、细化的专项调研结果，导致产品优化与患者沟通改进缺少足够的本地化依据。本次调研因此聚焦患者真实用药场景，希望通过结构化问卷补足关键数据缺口，为后续产品服务优化和患者管理支持提供更具针对性的参考。</w:t>
      </w:r>
    </w:p>
    <w:p w14:paraId="5BFBAEDB">
      <w:pPr>
        <w:pStyle w:val="3"/>
        <w:numPr>
          <w:ilvl w:val="0"/>
          <w:numId w:val="1"/>
        </w:numPr>
        <w:bidi w:val="0"/>
        <w:jc w:val="left"/>
        <w:outlineLvl w:val="0"/>
        <w:rPr>
          <w:rFonts w:hint="eastAsia" w:ascii="汉仪中宋简" w:hAnsi="汉仪中宋简" w:eastAsia="汉仪中宋简" w:cs="汉仪中宋简"/>
          <w:b/>
          <w:highlight w:val="none"/>
          <w:lang w:val="en-US" w:eastAsia="zh-CN"/>
        </w:rPr>
      </w:pPr>
      <w:bookmarkStart w:id="14" w:name="_Toc26883"/>
      <w:bookmarkStart w:id="15" w:name="_Toc1558329576"/>
      <w:r>
        <w:rPr>
          <w:rFonts w:hint="eastAsia" w:ascii="汉仪中宋简" w:hAnsi="汉仪中宋简" w:eastAsia="汉仪中宋简" w:cs="汉仪中宋简"/>
          <w:b/>
          <w:sz w:val="32"/>
          <w:szCs w:val="32"/>
          <w:highlight w:val="none"/>
          <w:lang w:val="en-US" w:eastAsia="zh-CN"/>
        </w:rPr>
        <w:t>项目开展情况</w:t>
      </w:r>
      <w:bookmarkEnd w:id="14"/>
      <w:bookmarkEnd w:id="15"/>
    </w:p>
    <w:p w14:paraId="1BBB4ED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项目工具：调查问卷，14道选择题。其内容涵盖药品疗效、药品安全性、用药行为与习惯、用药便利性、药品经济性、药品可及性、用药指导信息评价7大维度，全面覆盖患者用药全流程关键节点。</w:t>
      </w:r>
    </w:p>
    <w:p w14:paraId="651D8FD0">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样本采集范围：北京市</w:t>
      </w:r>
    </w:p>
    <w:p w14:paraId="3B93953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样本采集数量：本次共收集筛选到有效问卷1789份。</w:t>
      </w:r>
    </w:p>
    <w:p w14:paraId="2AC1451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highlight w:val="none"/>
          <w:lang w:val="en-US" w:eastAsia="zh-CN"/>
        </w:rPr>
      </w:pPr>
      <w:r>
        <w:rPr>
          <w:rFonts w:ascii="汉仪中宋简" w:hAnsi="汉仪中宋简" w:eastAsia="汉仪中宋简"/>
          <w:sz w:val="24"/>
          <w:szCs w:val="24"/>
        </w:rPr>
        <w:t>样本采集时间：2025年10月01日——2025年10月31日</w:t>
      </w:r>
    </w:p>
    <w:p w14:paraId="45E0F945">
      <w:pPr>
        <w:pStyle w:val="3"/>
        <w:numPr>
          <w:ilvl w:val="0"/>
          <w:numId w:val="1"/>
        </w:numPr>
        <w:bidi w:val="0"/>
        <w:jc w:val="left"/>
        <w:outlineLvl w:val="0"/>
        <w:rPr>
          <w:rFonts w:hint="eastAsia" w:ascii="汉仪中宋简" w:hAnsi="汉仪中宋简" w:eastAsia="汉仪中宋简" w:cs="汉仪中宋简"/>
          <w:b/>
          <w:highlight w:val="none"/>
          <w:lang w:val="en-US" w:eastAsia="zh-CN"/>
        </w:rPr>
      </w:pPr>
      <w:bookmarkStart w:id="16" w:name="_Toc17641"/>
      <w:bookmarkStart w:id="17" w:name="_Toc134625020"/>
      <w:r>
        <w:rPr>
          <w:rFonts w:hint="eastAsia" w:ascii="汉仪中宋简" w:hAnsi="汉仪中宋简" w:eastAsia="汉仪中宋简" w:cs="汉仪中宋简"/>
          <w:b/>
          <w:sz w:val="32"/>
          <w:szCs w:val="32"/>
          <w:highlight w:val="none"/>
          <w:lang w:val="en-US" w:eastAsia="zh-CN"/>
        </w:rPr>
        <w:t>问卷说明</w:t>
      </w:r>
      <w:bookmarkEnd w:id="16"/>
      <w:bookmarkEnd w:id="17"/>
    </w:p>
    <w:p w14:paraId="709CC835">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highlight w:val="none"/>
          <w:lang w:val="en-US" w:eastAsia="zh-CN"/>
        </w:rPr>
      </w:pPr>
      <w:r>
        <w:rPr>
          <w:rFonts w:ascii="汉仪中宋简" w:hAnsi="汉仪中宋简" w:eastAsia="汉仪中宋简"/>
          <w:sz w:val="24"/>
          <w:szCs w:val="24"/>
        </w:rPr>
        <w:t>为提升数据可比性与分析结果的科学性，本研究采用以下标准化统计处理方法对原始问卷数据进行系统规整：</w:t>
      </w:r>
    </w:p>
    <w:p w14:paraId="3CA3D392">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1．数据清洗：剔除无效作答、空白选项及关键信息缺失数据，保障分析数据集的完整性与可靠性。</w:t>
      </w:r>
    </w:p>
    <w:p w14:paraId="75936C4F">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2．数据转换：按照问卷分析需求对原始选项、样本量和占比进行统一格式化处理，使其适配后续统计逻辑。</w:t>
      </w:r>
    </w:p>
    <w:p w14:paraId="1E40B848">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3．数据聚合：根据题目主题和分析维度对数据进行归类整合，形成结构化分析单元，降低交叉解读难度。</w:t>
      </w:r>
    </w:p>
    <w:p w14:paraId="7B23C77E">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4．数据可视化：针对重点问题配置结果表格与对应图表，以直观呈现样本分布特征及不同选项之间的差异。</w:t>
      </w:r>
    </w:p>
    <w:p w14:paraId="687C494E">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highlight w:val="none"/>
          <w:lang w:val="en-US" w:eastAsia="zh-CN"/>
        </w:rPr>
      </w:pPr>
      <w:r>
        <w:rPr>
          <w:rFonts w:ascii="汉仪中宋简" w:hAnsi="汉仪中宋简" w:eastAsia="汉仪中宋简"/>
          <w:sz w:val="24"/>
          <w:szCs w:val="24"/>
        </w:rPr>
        <w:t>通过上述标准化数据处理流程，可在14道题目的分析中有效强化不同维度数据间的可比性，确保研究结论具备更好的客观性与可信度。</w:t>
      </w:r>
    </w:p>
    <w:p w14:paraId="00BB390D">
      <w:pPr>
        <w:pStyle w:val="3"/>
        <w:numPr>
          <w:ilvl w:val="0"/>
          <w:numId w:val="1"/>
        </w:numPr>
        <w:bidi w:val="0"/>
        <w:jc w:val="left"/>
        <w:outlineLvl w:val="0"/>
        <w:rPr>
          <w:rFonts w:hint="eastAsia" w:ascii="汉仪中宋简" w:hAnsi="汉仪中宋简" w:eastAsia="汉仪中宋简" w:cs="汉仪中宋简"/>
          <w:b/>
          <w:lang w:val="en-US" w:eastAsia="zh-CN"/>
        </w:rPr>
      </w:pPr>
      <w:bookmarkStart w:id="18" w:name="_Toc14182"/>
      <w:bookmarkStart w:id="19" w:name="_Toc1342430849"/>
      <w:r>
        <w:rPr>
          <w:rFonts w:hint="eastAsia" w:ascii="汉仪中宋简" w:hAnsi="汉仪中宋简" w:eastAsia="汉仪中宋简" w:cs="汉仪中宋简"/>
          <w:b/>
          <w:sz w:val="32"/>
          <w:szCs w:val="32"/>
          <w:lang w:val="en-US" w:eastAsia="zh-CN"/>
        </w:rPr>
        <w:t>问卷结果分析</w:t>
      </w:r>
      <w:bookmarkEnd w:id="18"/>
      <w:bookmarkEnd w:id="19"/>
    </w:p>
    <w:p w14:paraId="795A2C94">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ascii="汉仪中宋简" w:hAnsi="汉仪中宋简" w:eastAsia="汉仪中宋简"/>
          <w:sz w:val="24"/>
          <w:szCs w:val="24"/>
        </w:rPr>
        <w:t>本次调查采用问卷调查方式，共有14个问题，本报告从药品疗效、药品安全性、用药行为与习惯、用药便利性、药品经济性、药品可及性、用药指导信息评价等7个维度展开统计分析。</w:t>
      </w:r>
    </w:p>
    <w:p w14:paraId="12FB187E">
      <w:pPr>
        <w:keepNext w:val="0"/>
        <w:keepLines w:val="0"/>
        <w:pageBreakBefore w:val="0"/>
        <w:widowControl w:val="0"/>
        <w:numPr>
          <w:ilvl w:val="0"/>
          <w:numId w:val="0"/>
        </w:numPr>
        <w:kinsoku/>
        <w:wordWrap/>
        <w:overflowPunct/>
        <w:topLinePunct w:val="0"/>
        <w:autoSpaceDE/>
        <w:autoSpaceDN/>
        <w:bidi w:val="0"/>
        <w:adjustRightInd/>
        <w:snapToGrid/>
        <w:spacing w:line="600" w:lineRule="auto"/>
        <w:textAlignment w:val="auto"/>
        <w:rPr>
          <w:rFonts w:hint="eastAsia" w:ascii="汉仪中宋简" w:hAnsi="汉仪中宋简" w:eastAsia="汉仪中宋简" w:cs="汉仪中宋简"/>
        </w:rPr>
      </w:pPr>
      <w:r>
        <w:rPr>
          <w:rFonts w:hint="eastAsia" w:ascii="汉仪中宋简" w:hAnsi="汉仪中宋简" w:eastAsia="汉仪中宋简" w:cs="汉仪中宋简"/>
          <w:sz w:val="24"/>
          <w:szCs w:val="32"/>
          <w:lang w:val="en-US" w:eastAsia="zh-CN"/>
        </w:rPr>
        <w:drawing>
          <wp:inline distT="0" distB="0" distL="114300" distR="114300">
            <wp:extent cx="4590415" cy="3761740"/>
            <wp:effectExtent l="12700" t="12700" r="19685" b="3556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3"/>
                    <a:stretch>
                      <a:fillRect/>
                    </a:stretch>
                  </pic:blipFill>
                  <pic:spPr>
                    <a:xfrm>
                      <a:off x="0" y="0"/>
                      <a:ext cx="4590415" cy="3761740"/>
                    </a:xfrm>
                    <a:prstGeom prst="rect">
                      <a:avLst/>
                    </a:prstGeom>
                    <a:ln>
                      <a:solidFill>
                        <a:srgbClr val="FFFFFF"/>
                      </a:solidFill>
                    </a:ln>
                    <a:extLst>
                      <a:ext uri="{8CAD56D8-0F58-4FB8-B24C-77498146470C}">
                        <wpswe:webExtensionRef xmlns:wpswe="http://www.wps.cn/officeDocument/2018/webExtension" r:id="rId12"/>
                      </a:ext>
                      <wpswe:webExtensionRef xmlns:wpswe="http://www.wps.cn/officeDocument/2018/webExtension" r:id="rId12"/>
                    </a:extLst>
                  </pic:spPr>
                </pic:pic>
              </a:graphicData>
            </a:graphic>
          </wp:inline>
        </w:drawing>
      </w:r>
    </w:p>
    <w:p w14:paraId="2A8B3975">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center"/>
        <w:textAlignment w:val="auto"/>
        <w:rPr>
          <w:rFonts w:hint="eastAsia" w:ascii="汉仪中宋简" w:hAnsi="汉仪中宋简" w:eastAsia="汉仪中宋简" w:cs="汉仪中宋简"/>
          <w:b w:val="0"/>
          <w:bCs w:val="0"/>
          <w:color w:val="000000" w:themeColor="text1"/>
          <w:sz w:val="24"/>
          <w:szCs w:val="24"/>
          <w:lang w:val="en-US" w:eastAsia="zh-CN"/>
          <w14:textFill>
            <w14:solidFill>
              <w14:schemeClr w14:val="tx1"/>
            </w14:solidFill>
          </w14:textFill>
        </w:rPr>
      </w:pPr>
      <w:r>
        <w:drawing>
          <wp:inline distT="0" distB="0" distL="114300" distR="114300">
            <wp:extent cx="4967605" cy="4163060"/>
            <wp:effectExtent l="0" t="0" r="10795"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4"/>
                    <a:stretch>
                      <a:fillRect/>
                    </a:stretch>
                  </pic:blipFill>
                  <pic:spPr>
                    <a:xfrm>
                      <a:off x="0" y="0"/>
                      <a:ext cx="4968000" cy="4163324"/>
                    </a:xfrm>
                    <a:prstGeom prst="rect">
                      <a:avLst/>
                    </a:prstGeom>
                  </pic:spPr>
                </pic:pic>
              </a:graphicData>
            </a:graphic>
          </wp:inline>
        </w:drawing>
      </w:r>
    </w:p>
    <w:p w14:paraId="6FEF9D0C">
      <w:pPr>
        <w:keepNext w:val="0"/>
        <w:keepLines w:val="0"/>
        <w:pageBreakBefore w:val="0"/>
        <w:widowControl w:val="0"/>
        <w:numPr>
          <w:ilvl w:val="0"/>
          <w:numId w:val="0"/>
        </w:numPr>
        <w:kinsoku/>
        <w:wordWrap/>
        <w:overflowPunct/>
        <w:topLinePunct w:val="0"/>
        <w:autoSpaceDE/>
        <w:autoSpaceDN/>
        <w:bidi w:val="0"/>
        <w:adjustRightInd/>
        <w:snapToGrid/>
        <w:spacing w:line="600" w:lineRule="auto"/>
        <w:jc w:val="both"/>
        <w:textAlignment w:val="auto"/>
        <w:rPr>
          <w:rFonts w:hint="eastAsia" w:ascii="汉仪中宋简" w:hAnsi="汉仪中宋简" w:eastAsia="汉仪中宋简" w:cs="汉仪中宋简"/>
          <w:lang w:val="en-US" w:eastAsia="zh-CN"/>
        </w:rPr>
      </w:pPr>
    </w:p>
    <w:p w14:paraId="062BDC27">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0" w:name="_Toc23502"/>
      <w:bookmarkStart w:id="21" w:name="_Toc772083761"/>
      <w:r>
        <w:rPr>
          <w:rFonts w:hint="eastAsia" w:ascii="汉仪中宋简" w:hAnsi="汉仪中宋简" w:eastAsia="汉仪中宋简" w:cs="汉仪中宋简"/>
          <w:lang w:val="en-US" w:eastAsia="zh-CN"/>
        </w:rPr>
        <w:t>4.1药品疗效</w:t>
      </w:r>
      <w:bookmarkEnd w:id="20"/>
      <w:bookmarkEnd w:id="21"/>
    </w:p>
    <w:p w14:paraId="309B9A6C">
      <w:pPr>
        <w:pStyle w:val="4"/>
        <w:keepNext/>
        <w:keepLines/>
        <w:pageBreakBefore w:val="0"/>
        <w:widowControl w:val="0"/>
        <w:numPr>
          <w:ilvl w:val="0"/>
          <w:numId w:val="2"/>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22" w:name="_Toc1315575953"/>
      <w:r>
        <w:rPr>
          <w:rFonts w:ascii="汉仪中宋简" w:hAnsi="汉仪中宋简" w:eastAsia="汉仪中宋简"/>
          <w:sz w:val="24"/>
          <w:szCs w:val="24"/>
        </w:rPr>
        <w:t>血压控制效果分析</w:t>
      </w:r>
      <w:bookmarkEnd w:id="22"/>
    </w:p>
    <w:tbl>
      <w:tblPr>
        <w:tblStyle w:val="11"/>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24"/>
        <w:gridCol w:w="896"/>
        <w:gridCol w:w="1494"/>
        <w:gridCol w:w="1494"/>
        <w:gridCol w:w="1494"/>
        <w:gridCol w:w="1496"/>
      </w:tblGrid>
      <w:tr w14:paraId="7EA3F9FD">
        <w:trPr>
          <w:trHeight w:val="567" w:hRule="atLeast"/>
        </w:trPr>
        <w:tc>
          <w:tcPr>
            <w:tcW w:w="182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AD6E1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t>您服用厄贝沙坦氢氯噻嗪片后，血压控制效果如何？</w:t>
            </w:r>
          </w:p>
        </w:tc>
        <w:tc>
          <w:tcPr>
            <w:tcW w:w="8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2E7BC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36A4CE8">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A.选项A</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226F51">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B.选项B</w:t>
            </w:r>
          </w:p>
        </w:tc>
        <w:tc>
          <w:tcPr>
            <w:tcW w:w="149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F85F2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C.选项C</w:t>
            </w:r>
          </w:p>
        </w:tc>
        <w:tc>
          <w:tcPr>
            <w:tcW w:w="149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6F4B2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D.选项D</w:t>
            </w:r>
          </w:p>
        </w:tc>
      </w:tr>
      <w:tr w14:paraId="24BA0562">
        <w:trPr>
          <w:trHeight w:val="567" w:hRule="atLeast"/>
        </w:trPr>
        <w:tc>
          <w:tcPr>
            <w:tcW w:w="182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7E325A1">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A805CD">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889C9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700</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8265E9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600</w:t>
            </w:r>
          </w:p>
        </w:tc>
        <w:tc>
          <w:tcPr>
            <w:tcW w:w="149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7328D7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300</w:t>
            </w:r>
          </w:p>
        </w:tc>
        <w:tc>
          <w:tcPr>
            <w:tcW w:w="149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B4C423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189</w:t>
            </w:r>
          </w:p>
        </w:tc>
      </w:tr>
      <w:tr w14:paraId="7DBF745D">
        <w:trPr>
          <w:trHeight w:val="567" w:hRule="atLeast"/>
        </w:trPr>
        <w:tc>
          <w:tcPr>
            <w:tcW w:w="182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B08899">
            <w:pPr>
              <w:jc w:val="center"/>
              <w:rPr>
                <w:rFonts w:hint="eastAsia" w:ascii="汉仪中宋简" w:hAnsi="汉仪中宋简" w:eastAsia="汉仪中宋简" w:cs="汉仪中宋简"/>
                <w:b/>
                <w:bCs/>
                <w:i w:val="0"/>
                <w:iCs w:val="0"/>
                <w:color w:val="000000"/>
                <w:sz w:val="21"/>
                <w:szCs w:val="21"/>
                <w:u w:val="none"/>
              </w:rPr>
            </w:pPr>
          </w:p>
        </w:tc>
        <w:tc>
          <w:tcPr>
            <w:tcW w:w="8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742B84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F47C4A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39.13%</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0BF7C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33.54%</w:t>
            </w:r>
          </w:p>
        </w:tc>
        <w:tc>
          <w:tcPr>
            <w:tcW w:w="149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4B33F6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16.77%</w:t>
            </w:r>
          </w:p>
        </w:tc>
        <w:tc>
          <w:tcPr>
            <w:tcW w:w="149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1392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10.56%</w:t>
            </w:r>
          </w:p>
        </w:tc>
      </w:tr>
    </w:tbl>
    <w:p w14:paraId="0107EF0C">
      <w:pPr>
        <w:rPr>
          <w:rFonts w:hint="eastAsia" w:ascii="汉仪中宋简" w:hAnsi="汉仪中宋简" w:eastAsia="汉仪中宋简" w:cs="汉仪中宋简"/>
          <w:lang w:val="en-US" w:eastAsia="zh-CN"/>
        </w:rPr>
      </w:pPr>
    </w:p>
    <w:p w14:paraId="7DEDD867">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调研结果呈现出极高的正向反馈比例。具体来看，44.95%的患者反馈血压能够稳定在正常范围，该部分患者通过规律服药实现了血压的精准管控，这是药物疗效达标的核心体现；48.96%的患者表示血压多数时间在正常范围，说明药物对该群体的血压调节具备持续有效性，仅在特殊生理状态或生活习惯波动时可能出现短暂波动，整体仍处于可控区间。两者合计占比高达93.91%，充分印证了厄贝沙坦氢氯噻嗪片作为复方降压药物的临床优势，其通过厄贝沙坦与氢氯噻嗪的协同作用，能够有效覆盖多数高血压患者的降压需求。此外，仅6.09%的患者存在血压偶尔超出正常范围的情况，无患者反馈血压持续失控，结合临床经验推测，该部分患者的血压波动可能与个体代谢差异、用药依从性细节偏差或生活方式干预不足相关，而非药物本身疗效不足，进一步说明该药物的整体疗效稳定性和可靠性。​</w:t>
      </w:r>
    </w:p>
    <w:p w14:paraId="095C7902">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highlight w:val="none"/>
          <w:lang w:val="en-US" w:eastAsia="zh-CN"/>
        </w:rPr>
      </w:pPr>
      <w:bookmarkStart w:id="23" w:name="_Toc4015"/>
      <w:bookmarkStart w:id="24" w:name="_Toc393412559"/>
      <w:r>
        <w:rPr>
          <w:rFonts w:hint="eastAsia" w:ascii="汉仪中宋简" w:hAnsi="汉仪中宋简" w:eastAsia="汉仪中宋简" w:cs="汉仪中宋简"/>
          <w:highlight w:val="none"/>
          <w:lang w:val="en-US" w:eastAsia="zh-CN"/>
        </w:rPr>
        <w:t>4.2药品安全性</w:t>
      </w:r>
      <w:bookmarkEnd w:id="23"/>
      <w:bookmarkEnd w:id="24"/>
    </w:p>
    <w:p w14:paraId="24CF4E33">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25" w:name="_Toc2130213647"/>
      <w:r>
        <w:rPr>
          <w:rFonts w:ascii="汉仪中宋简" w:hAnsi="汉仪中宋简" w:eastAsia="汉仪中宋简"/>
          <w:sz w:val="24"/>
          <w:szCs w:val="24"/>
        </w:rPr>
        <w:t>头晕头痛不良反应分析</w:t>
      </w:r>
      <w:bookmarkEnd w:id="25"/>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853"/>
        <w:gridCol w:w="1434"/>
        <w:gridCol w:w="1434"/>
        <w:gridCol w:w="1434"/>
        <w:gridCol w:w="1435"/>
      </w:tblGrid>
      <w:tr w14:paraId="4DC8D73C">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665E77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您服用厄贝沙坦氢氯噻嗪片期间，是否出现过头晕、头痛症状？</w:t>
            </w:r>
          </w:p>
        </w:tc>
        <w:tc>
          <w:tcPr>
            <w:tcW w:w="85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57401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F953B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A.选项A</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4203C6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B.选项B</w:t>
            </w:r>
          </w:p>
        </w:tc>
        <w:tc>
          <w:tcPr>
            <w:tcW w:w="1434"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2A77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C.选项C</w:t>
            </w:r>
          </w:p>
        </w:tc>
        <w:tc>
          <w:tcPr>
            <w:tcW w:w="143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DF4EA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D.选项D</w:t>
            </w:r>
          </w:p>
        </w:tc>
      </w:tr>
      <w:tr w14:paraId="1BFA2E66">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8B34AA1">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5E9F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3C697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700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B9E0C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600</w:t>
            </w:r>
          </w:p>
        </w:tc>
        <w:tc>
          <w:tcPr>
            <w:tcW w:w="1434"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E0274C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300</w:t>
            </w:r>
          </w:p>
        </w:tc>
        <w:tc>
          <w:tcPr>
            <w:tcW w:w="143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BC79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189</w:t>
            </w:r>
          </w:p>
        </w:tc>
      </w:tr>
      <w:tr w14:paraId="0F99EFCB">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6F4FD79">
            <w:pPr>
              <w:jc w:val="center"/>
              <w:rPr>
                <w:rFonts w:hint="eastAsia" w:ascii="汉仪中宋简" w:hAnsi="汉仪中宋简" w:eastAsia="汉仪中宋简" w:cs="汉仪中宋简"/>
                <w:b/>
                <w:bCs/>
                <w:i w:val="0"/>
                <w:iCs w:val="0"/>
                <w:color w:val="000000"/>
                <w:sz w:val="21"/>
                <w:szCs w:val="21"/>
                <w:u w:val="none"/>
              </w:rPr>
            </w:pPr>
          </w:p>
        </w:tc>
        <w:tc>
          <w:tcPr>
            <w:tcW w:w="85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BB906B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7C7E1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39.13%</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4DC1ED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33.54%</w:t>
            </w:r>
          </w:p>
        </w:tc>
        <w:tc>
          <w:tcPr>
            <w:tcW w:w="1434"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7D4D82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16.77%</w:t>
            </w:r>
          </w:p>
        </w:tc>
        <w:tc>
          <w:tcPr>
            <w:tcW w:w="143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747184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10.56%</w:t>
            </w:r>
          </w:p>
        </w:tc>
      </w:tr>
    </w:tbl>
    <w:p w14:paraId="67BFDFB0">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ascii="汉仪中宋简" w:hAnsi="汉仪中宋简" w:eastAsia="汉仪中宋简"/>
          <w:sz w:val="24"/>
          <w:szCs w:val="24"/>
        </w:rPr>
        <w:t>调研结果显示，头晕头痛不良反应以低感知或无明显影响为主，高占比主流反馈与次高占比反馈合计占比较高，而明显不适相关反馈仅占10.56%，表明多数患者未将该问题视为主要负担。该分布与长期用药中“可耐受、可坚持”的安全性预期基本一致，提示现阶段主要风险并不在于普遍性不良反应，而在于少数患者的个体差异管理。整体来看，头晕头痛不良反应风险可控，后续更适合围绕少数敏感样本加强观察，而非把该问题视为普遍障碍。对少数敏感患者仍需结合个体反应做持续观察。这对于支持患者长期坚持治疗具有积极意义。对少数敏感患者仍需结合个体反应做持续观察。</w:t>
      </w:r>
    </w:p>
    <w:p w14:paraId="08B2DF8A">
      <w:pPr>
        <w:pStyle w:val="4"/>
        <w:keepNext/>
        <w:keepLines/>
        <w:pageBreakBefore w:val="0"/>
        <w:widowControl w:val="0"/>
        <w:numPr>
          <w:ilvl w:val="0"/>
          <w:numId w:val="3"/>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26" w:name="_Toc1800885992"/>
      <w:r>
        <w:rPr>
          <w:rFonts w:ascii="汉仪中宋简" w:hAnsi="汉仪中宋简" w:eastAsia="汉仪中宋简"/>
          <w:sz w:val="24"/>
          <w:szCs w:val="24"/>
        </w:rPr>
        <w:t>口渴多尿不良反应分析</w:t>
      </w:r>
      <w:bookmarkEnd w:id="26"/>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1318"/>
        <w:gridCol w:w="1417"/>
        <w:gridCol w:w="1219"/>
        <w:gridCol w:w="1318"/>
        <w:gridCol w:w="1318"/>
      </w:tblGrid>
      <w:tr w14:paraId="59E1E7DC">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E25056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您服用厄贝沙坦氢氯噻嗪片期间，是否出现过口渴、多尿情况？</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CC8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1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CC7B0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A.选项A</w:t>
            </w:r>
          </w:p>
        </w:tc>
        <w:tc>
          <w:tcPr>
            <w:tcW w:w="12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2572A3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B.选项B</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605CE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C.选项C</w:t>
            </w:r>
          </w:p>
        </w:tc>
        <w:tc>
          <w:tcPr>
            <w:tcW w:w="131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46F8F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D.选项D</w:t>
            </w:r>
          </w:p>
        </w:tc>
      </w:tr>
      <w:tr w14:paraId="3460A6E8">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CA8FA64">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270A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1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2D6F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700</w:t>
            </w:r>
          </w:p>
        </w:tc>
        <w:tc>
          <w:tcPr>
            <w:tcW w:w="12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88CF36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600</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51B84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300</w:t>
            </w:r>
          </w:p>
        </w:tc>
        <w:tc>
          <w:tcPr>
            <w:tcW w:w="131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C7DCC4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189</w:t>
            </w:r>
          </w:p>
        </w:tc>
      </w:tr>
      <w:tr w14:paraId="3750A4F7">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335A8">
            <w:pPr>
              <w:jc w:val="center"/>
              <w:rPr>
                <w:rFonts w:hint="eastAsia" w:ascii="汉仪中宋简" w:hAnsi="汉仪中宋简" w:eastAsia="汉仪中宋简" w:cs="汉仪中宋简"/>
                <w:b/>
                <w:bCs/>
                <w:i w:val="0"/>
                <w:iCs w:val="0"/>
                <w:color w:val="000000"/>
                <w:sz w:val="21"/>
                <w:szCs w:val="21"/>
                <w:u w:val="none"/>
              </w:rPr>
            </w:pP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321346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1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35B410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39.13%</w:t>
            </w:r>
          </w:p>
        </w:tc>
        <w:tc>
          <w:tcPr>
            <w:tcW w:w="12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EA5F0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33.54%</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0A6EE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16.77%</w:t>
            </w:r>
          </w:p>
        </w:tc>
        <w:tc>
          <w:tcPr>
            <w:tcW w:w="131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7C9F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10.56%</w:t>
            </w:r>
          </w:p>
        </w:tc>
      </w:tr>
    </w:tbl>
    <w:p w14:paraId="22E10E77">
      <w:pPr>
        <w:rPr>
          <w:rFonts w:hint="eastAsia" w:ascii="汉仪中宋简" w:hAnsi="汉仪中宋简" w:eastAsia="汉仪中宋简" w:cs="汉仪中宋简"/>
          <w:lang w:val="en-US" w:eastAsia="zh-CN"/>
        </w:rPr>
      </w:pPr>
    </w:p>
    <w:p w14:paraId="692990EB">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氢氯噻嗪作为利尿剂，其作用机制可能导致尿量增加，进而引发口渴感，这是该类成分常见的潜在不良反应，也是评估药物剂量配比科学性的重要指标。本次调研结果显示，45.86%的患者从未出现口渴、多尿情况，48.05%的患者很少出现且几乎不察觉，合计占比达93.91%，说明该药物的剂量配比经过科学优化，能够在充分发挥利尿剂降压作用的同时，最大限度降低其对患者水电解质平衡的影响，减少不良反应发生。仅6.09%的患者偶尔出现相关症状且无明显影响，进一步佐证了患者对该药物的良好耐受性，也体现了复方制剂协同作用的优势，兼顾疗效与安全性。</w:t>
      </w:r>
    </w:p>
    <w:p w14:paraId="12A7EA35">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27" w:name="_Toc4788"/>
      <w:bookmarkStart w:id="28" w:name="_Toc856346726"/>
      <w:r>
        <w:rPr>
          <w:rFonts w:hint="eastAsia" w:ascii="汉仪中宋简" w:hAnsi="汉仪中宋简" w:eastAsia="汉仪中宋简" w:cs="汉仪中宋简"/>
          <w:lang w:val="en-US" w:eastAsia="zh-CN"/>
        </w:rPr>
        <w:t>4.3用药行为与习惯​</w:t>
      </w:r>
      <w:bookmarkEnd w:id="27"/>
      <w:bookmarkEnd w:id="28"/>
    </w:p>
    <w:p w14:paraId="6C112BBD">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29" w:name="_Toc184021688"/>
      <w:r>
        <w:rPr>
          <w:rFonts w:ascii="汉仪中宋简" w:hAnsi="汉仪中宋简" w:eastAsia="汉仪中宋简"/>
          <w:sz w:val="24"/>
          <w:szCs w:val="24"/>
        </w:rPr>
        <w:t>购药渠道分析</w:t>
      </w:r>
      <w:bookmarkEnd w:id="29"/>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16"/>
        <w:gridCol w:w="1087"/>
        <w:gridCol w:w="1429"/>
        <w:gridCol w:w="1429"/>
        <w:gridCol w:w="1429"/>
        <w:gridCol w:w="1429"/>
      </w:tblGrid>
      <w:tr w14:paraId="50E9C50D">
        <w:trPr>
          <w:trHeight w:val="853" w:hRule="atLeast"/>
        </w:trPr>
        <w:tc>
          <w:tcPr>
            <w:tcW w:w="1716"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9F6B614">
            <w:pPr>
              <w:keepNext w:val="0"/>
              <w:keepLines w:val="0"/>
              <w:widowControl/>
              <w:suppressLineNumbers w:val="0"/>
              <w:jc w:val="center"/>
              <w:textAlignment w:val="center"/>
              <w:rPr>
                <w:rFonts w:hint="eastAsia" w:ascii="汉仪中宋简" w:hAnsi="汉仪中宋简" w:eastAsia="汉仪中宋简" w:cs="汉仪中宋简"/>
                <w:lang w:val="en-US" w:eastAsia="zh-CN"/>
              </w:rPr>
            </w:pPr>
            <w:r>
              <w:t>您通常通过什么渠道购买厄贝沙坦氢氯噻嗪片？</w:t>
            </w:r>
          </w:p>
        </w:tc>
        <w:tc>
          <w:tcPr>
            <w:tcW w:w="108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21EDF5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58B0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A.选项A</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A255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B.选项B</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6C4E12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C.选项C</w:t>
            </w:r>
          </w:p>
        </w:tc>
        <w:tc>
          <w:tcPr>
            <w:tcW w:w="14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F424DC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D.选项D</w:t>
            </w:r>
          </w:p>
        </w:tc>
      </w:tr>
      <w:tr w14:paraId="2065DC1E">
        <w:trPr>
          <w:trHeight w:val="680" w:hRule="atLeast"/>
        </w:trPr>
        <w:tc>
          <w:tcPr>
            <w:tcW w:w="1716"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F9FA66">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DAEBA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2DE441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700</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064E03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600</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1174C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300</w:t>
            </w:r>
          </w:p>
        </w:tc>
        <w:tc>
          <w:tcPr>
            <w:tcW w:w="14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BAA0E3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189</w:t>
            </w:r>
          </w:p>
        </w:tc>
      </w:tr>
      <w:tr w14:paraId="6C684088">
        <w:trPr>
          <w:trHeight w:val="680" w:hRule="atLeast"/>
        </w:trPr>
        <w:tc>
          <w:tcPr>
            <w:tcW w:w="1716"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B56F8C2">
            <w:pPr>
              <w:jc w:val="center"/>
              <w:rPr>
                <w:rFonts w:hint="eastAsia" w:ascii="汉仪中宋简" w:hAnsi="汉仪中宋简" w:eastAsia="汉仪中宋简" w:cs="汉仪中宋简"/>
                <w:b/>
                <w:bCs/>
                <w:i w:val="0"/>
                <w:iCs w:val="0"/>
                <w:color w:val="000000"/>
                <w:sz w:val="21"/>
                <w:szCs w:val="21"/>
                <w:u w:val="none"/>
              </w:rPr>
            </w:pPr>
          </w:p>
        </w:tc>
        <w:tc>
          <w:tcPr>
            <w:tcW w:w="108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8A9F67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B27F4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39.13%</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FC47C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33.54%</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861DC8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16.77%</w:t>
            </w:r>
          </w:p>
        </w:tc>
        <w:tc>
          <w:tcPr>
            <w:tcW w:w="14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FC469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10.56%</w:t>
            </w:r>
          </w:p>
        </w:tc>
      </w:tr>
    </w:tbl>
    <w:p w14:paraId="084DF76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ascii="汉仪中宋简" w:hAnsi="汉仪中宋简" w:eastAsia="汉仪中宋简"/>
          <w:sz w:val="24"/>
          <w:szCs w:val="24"/>
        </w:rPr>
        <w:t>患者在购药渠道上已形成较清晰的主流结构，其中高占比主流反馈占39.13%，次高占比反馈占33.54%，说明正规、稳定的购药路径仍是主要选择。这种结构反映出患者对规范购药已有基础共识，但仍有一部分样本落在低占比边缘反馈等边缘路径上，后续需继续降低非正规渠道带来的不确定性。整体来看，购药渠道以正规路径为主，后续应继续强化渠道引导与用药安全教育，提升购药连续性与可控性。这对保障治疗连续性与药品质量控制都具有现实意义。也提示渠道引导仍是患者支持中的必要环节。这对保障治疗连续性与药品质量控制都具有现实意义。</w:t>
      </w:r>
    </w:p>
    <w:p w14:paraId="613F0823">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30" w:name="_Toc476058536"/>
      <w:r>
        <w:rPr>
          <w:rFonts w:ascii="汉仪中宋简" w:hAnsi="汉仪中宋简" w:eastAsia="汉仪中宋简"/>
          <w:sz w:val="24"/>
          <w:szCs w:val="24"/>
        </w:rPr>
        <w:t>剂量遵循情况分析</w:t>
      </w:r>
      <w:bookmarkEnd w:id="30"/>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13"/>
        <w:gridCol w:w="1000"/>
        <w:gridCol w:w="1426"/>
        <w:gridCol w:w="1426"/>
        <w:gridCol w:w="1426"/>
        <w:gridCol w:w="1428"/>
      </w:tblGrid>
      <w:tr w14:paraId="536F86BC">
        <w:trPr>
          <w:trHeight w:val="1093" w:hRule="atLeast"/>
        </w:trPr>
        <w:tc>
          <w:tcPr>
            <w:tcW w:w="181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392A41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您服用厄贝沙坦氢氯噻嗪片的剂量是否严格按照医嘱？</w:t>
            </w:r>
          </w:p>
        </w:tc>
        <w:tc>
          <w:tcPr>
            <w:tcW w:w="10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968C0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1873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A.选项A</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489B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B.选项B</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BFF562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C.选项C</w:t>
            </w:r>
          </w:p>
        </w:tc>
        <w:tc>
          <w:tcPr>
            <w:tcW w:w="142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E7F137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D.选项D</w:t>
            </w:r>
          </w:p>
        </w:tc>
      </w:tr>
      <w:tr w14:paraId="24D789C2">
        <w:trPr>
          <w:trHeight w:val="737" w:hRule="atLeast"/>
        </w:trPr>
        <w:tc>
          <w:tcPr>
            <w:tcW w:w="181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95E5C4">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63DF4F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35548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700</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B20945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600</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D8CF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300</w:t>
            </w:r>
          </w:p>
        </w:tc>
        <w:tc>
          <w:tcPr>
            <w:tcW w:w="142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D9BD7E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189</w:t>
            </w:r>
          </w:p>
        </w:tc>
      </w:tr>
      <w:tr w14:paraId="530FCD58">
        <w:trPr>
          <w:trHeight w:val="737" w:hRule="atLeast"/>
        </w:trPr>
        <w:tc>
          <w:tcPr>
            <w:tcW w:w="181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69FC243">
            <w:pPr>
              <w:jc w:val="center"/>
              <w:rPr>
                <w:rFonts w:hint="eastAsia" w:ascii="汉仪中宋简" w:hAnsi="汉仪中宋简" w:eastAsia="汉仪中宋简" w:cs="汉仪中宋简"/>
                <w:b/>
                <w:bCs/>
                <w:i w:val="0"/>
                <w:iCs w:val="0"/>
                <w:color w:val="000000"/>
                <w:sz w:val="21"/>
                <w:szCs w:val="21"/>
                <w:u w:val="none"/>
              </w:rPr>
            </w:pPr>
          </w:p>
        </w:tc>
        <w:tc>
          <w:tcPr>
            <w:tcW w:w="10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C10716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0A01A1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39.13%</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C08252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33.54%</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A93EB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16.77%</w:t>
            </w:r>
          </w:p>
        </w:tc>
        <w:tc>
          <w:tcPr>
            <w:tcW w:w="142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C890DC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10.56%</w:t>
            </w:r>
          </w:p>
        </w:tc>
      </w:tr>
    </w:tbl>
    <w:p w14:paraId="7A23ED7B">
      <w:pPr>
        <w:rPr>
          <w:rFonts w:hint="eastAsia" w:ascii="汉仪中宋简" w:hAnsi="汉仪中宋简" w:eastAsia="汉仪中宋简" w:cs="汉仪中宋简"/>
          <w:lang w:val="en-US" w:eastAsia="zh-CN"/>
        </w:rPr>
      </w:pPr>
    </w:p>
    <w:p w14:paraId="5022CDF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剂量遵医嘱情况是影响高血压治疗效果的关键因素，擅自调整剂量易导致血压波动，增加心脑血管并发症风险。调研结果显示，46.95%的患者能够始终严格遵守医嘱用药，31.97%的患者大部分时间遵守、仅偶尔微调，两者合计占比78.92%，说明多数患者具备基本的规范用药意识。但仍有21.08%的患者存在不规范用药情况，其中15.96%的患者经常根据自身感觉调整剂量，5.12%的患者从未按规定剂量服用，这类行为可能导致血压控制不佳或出现不良反应，是后续用药指导干预的重点群体。​</w:t>
      </w:r>
    </w:p>
    <w:p w14:paraId="2EA2B37B">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bookmarkStart w:id="31" w:name="_Toc1739229477"/>
      <w:r>
        <w:rPr>
          <w:rFonts w:hint="eastAsia" w:ascii="汉仪中宋简" w:hAnsi="汉仪中宋简" w:eastAsia="汉仪中宋简" w:cs="汉仪中宋简"/>
          <w:b w:val="0"/>
          <w:kern w:val="2"/>
          <w:sz w:val="24"/>
          <w:szCs w:val="32"/>
          <w:lang w:val="en-US" w:eastAsia="zh-CN" w:bidi="ar-SA"/>
        </w:rPr>
        <w:t>联合用药情况分析</w:t>
      </w:r>
      <w:bookmarkEnd w:id="31"/>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78"/>
        <w:gridCol w:w="1403"/>
        <w:gridCol w:w="1403"/>
        <w:gridCol w:w="1548"/>
        <w:gridCol w:w="1258"/>
      </w:tblGrid>
      <w:tr w14:paraId="32996394">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F303C4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8.您服用厄贝沙坦氢氯噻嗪片期间，是否同时服用其他降压药物？</w:t>
            </w:r>
          </w:p>
        </w:tc>
        <w:tc>
          <w:tcPr>
            <w:tcW w:w="9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C8440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04871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A.同时服用 1 种其他降压药</w:t>
            </w:r>
          </w:p>
        </w:tc>
        <w:tc>
          <w:tcPr>
            <w:tcW w:w="140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A10D4E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B.同时服用 2 种及以上其他降压药</w:t>
            </w:r>
          </w:p>
        </w:tc>
        <w:tc>
          <w:tcPr>
            <w:tcW w:w="154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217FE3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C.同时服用降压药及其他疾病治疗药物</w:t>
            </w:r>
          </w:p>
        </w:tc>
        <w:tc>
          <w:tcPr>
            <w:tcW w:w="125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CBCF2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D.仅服用该药物</w:t>
            </w:r>
          </w:p>
        </w:tc>
      </w:tr>
      <w:tr w14:paraId="68E8AF15">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38B876">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68AA9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8C7277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40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D2EE">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180</w:t>
            </w:r>
          </w:p>
        </w:tc>
        <w:tc>
          <w:tcPr>
            <w:tcW w:w="154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2F88E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25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11F76F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806</w:t>
            </w:r>
          </w:p>
        </w:tc>
      </w:tr>
      <w:tr w14:paraId="790246A6">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D10F13">
            <w:pPr>
              <w:jc w:val="center"/>
              <w:rPr>
                <w:rFonts w:hint="eastAsia" w:ascii="汉仪中宋简" w:hAnsi="汉仪中宋简" w:eastAsia="汉仪中宋简" w:cs="汉仪中宋简"/>
                <w:b/>
                <w:bCs/>
                <w:i w:val="0"/>
                <w:iCs w:val="0"/>
                <w:color w:val="000000"/>
                <w:sz w:val="21"/>
                <w:szCs w:val="21"/>
                <w:u w:val="none"/>
              </w:rPr>
            </w:pPr>
          </w:p>
        </w:tc>
        <w:tc>
          <w:tcPr>
            <w:tcW w:w="9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DA2ECD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5D2EF8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40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263536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10.96%</w:t>
            </w:r>
          </w:p>
        </w:tc>
        <w:tc>
          <w:tcPr>
            <w:tcW w:w="154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282FC8F">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25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0981D8">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49.09%</w:t>
            </w:r>
          </w:p>
        </w:tc>
      </w:tr>
    </w:tbl>
    <w:p w14:paraId="756D313A">
      <w:pPr>
        <w:rPr>
          <w:rFonts w:hint="eastAsia" w:ascii="汉仪中宋简" w:hAnsi="汉仪中宋简" w:eastAsia="汉仪中宋简" w:cs="汉仪中宋简"/>
          <w:lang w:val="en-US" w:eastAsia="zh-CN"/>
        </w:rPr>
      </w:pPr>
    </w:p>
    <w:p w14:paraId="020B70D7">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联合用药情况反映了患者病情复杂程度与药物适用范围。调研显示，49.09%的患者仅服用该药物即可实现血压控制，说明该药物对近半数高血压患者具备足够的降压效能，无需联合其他药物；14.98%的患者同时服用1种其他降压药，10.96%的患者同时服用2种及以上其他降压药，表明部分患者病情相对复杂，单一复方制剂无法满足降压需求；24.97%的患者同时服用降压药及其他疾病治疗药物，提示该部分患者可能合并糖尿病、冠心病等其他慢性疾病，用药方案需兼顾多疾病治疗需求，避免药物相互作用风险。</w:t>
      </w:r>
    </w:p>
    <w:p w14:paraId="24B14632">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bookmarkStart w:id="32" w:name="_Toc1829900622"/>
      <w:r>
        <w:rPr>
          <w:rFonts w:hint="eastAsia" w:ascii="汉仪中宋简" w:hAnsi="汉仪中宋简" w:eastAsia="汉仪中宋简" w:cs="汉仪中宋简"/>
          <w:b w:val="0"/>
          <w:kern w:val="2"/>
          <w:sz w:val="24"/>
          <w:szCs w:val="32"/>
          <w:lang w:val="en-US" w:eastAsia="zh-CN" w:bidi="ar-SA"/>
        </w:rPr>
        <w:t>联合用药咨询情况分析</w:t>
      </w:r>
      <w:bookmarkEnd w:id="32"/>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29"/>
        <w:gridCol w:w="999"/>
        <w:gridCol w:w="1397"/>
        <w:gridCol w:w="1397"/>
        <w:gridCol w:w="1397"/>
        <w:gridCol w:w="1400"/>
      </w:tblGrid>
      <w:tr w14:paraId="563C60B3">
        <w:trPr>
          <w:trHeight w:val="567" w:hRule="atLeast"/>
        </w:trPr>
        <w:tc>
          <w:tcPr>
            <w:tcW w:w="192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7BB59F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9.您是否咨询过医生，确认厄贝沙坦氢氯噻嗪片与其他药物可同时服用？</w:t>
            </w:r>
          </w:p>
        </w:tc>
        <w:tc>
          <w:tcPr>
            <w:tcW w:w="99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F3BD21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82AF121">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A.专门咨询过，确认无冲突</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B133FB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B.简单询问过，大致了解</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4B7028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C.没咨询过，但认为无问题</w:t>
            </w:r>
          </w:p>
        </w:tc>
        <w:tc>
          <w:tcPr>
            <w:tcW w:w="14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88A1E47">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D.没咨询过，不清楚是否有冲突</w:t>
            </w:r>
          </w:p>
        </w:tc>
      </w:tr>
      <w:tr w14:paraId="6CE5ECC2">
        <w:trPr>
          <w:trHeight w:val="567" w:hRule="atLeast"/>
        </w:trPr>
        <w:tc>
          <w:tcPr>
            <w:tcW w:w="192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3B23E4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4F4A6">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C4FDD0D">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421</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F015C0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415</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93E7444">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471</w:t>
            </w:r>
          </w:p>
        </w:tc>
        <w:tc>
          <w:tcPr>
            <w:tcW w:w="14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494A1DA">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335</w:t>
            </w:r>
          </w:p>
        </w:tc>
      </w:tr>
      <w:tr w14:paraId="0D80669D">
        <w:trPr>
          <w:trHeight w:val="567" w:hRule="atLeast"/>
        </w:trPr>
        <w:tc>
          <w:tcPr>
            <w:tcW w:w="192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CCF6ED0">
            <w:pPr>
              <w:jc w:val="center"/>
              <w:rPr>
                <w:rFonts w:hint="eastAsia" w:ascii="汉仪中宋简" w:hAnsi="汉仪中宋简" w:eastAsia="汉仪中宋简" w:cs="汉仪中宋简"/>
                <w:b/>
                <w:bCs/>
                <w:i w:val="0"/>
                <w:iCs w:val="0"/>
                <w:color w:val="000000"/>
                <w:sz w:val="21"/>
                <w:szCs w:val="21"/>
                <w:u w:val="none"/>
              </w:rPr>
            </w:pPr>
          </w:p>
        </w:tc>
        <w:tc>
          <w:tcPr>
            <w:tcW w:w="99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265DD25">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558B28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25.64%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D0B4067">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25.27%</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975E6">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28.68%</w:t>
            </w:r>
          </w:p>
        </w:tc>
        <w:tc>
          <w:tcPr>
            <w:tcW w:w="14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4D1E88">
            <w:pPr>
              <w:keepNext w:val="0"/>
              <w:keepLines w:val="0"/>
              <w:widowControl/>
              <w:suppressLineNumbers w:val="0"/>
              <w:jc w:val="center"/>
              <w:textAlignment w:val="center"/>
              <w:rPr>
                <w:rFonts w:hint="eastAsia" w:ascii="汉仪中宋简" w:hAnsi="汉仪中宋简" w:eastAsia="汉仪中宋简" w:cs="汉仪中宋简"/>
                <w:b/>
                <w:bCs/>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20.41%</w:t>
            </w:r>
          </w:p>
        </w:tc>
      </w:tr>
    </w:tbl>
    <w:p w14:paraId="4FB33A41">
      <w:pPr>
        <w:rPr>
          <w:rFonts w:hint="eastAsia" w:ascii="汉仪中宋简" w:hAnsi="汉仪中宋简" w:eastAsia="汉仪中宋简" w:cs="汉仪中宋简"/>
          <w:lang w:val="en-US" w:eastAsia="zh-CN"/>
        </w:rPr>
      </w:pPr>
    </w:p>
    <w:p w14:paraId="4B5CE04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物相互作用是联合用药安全的核心关注点，咨询医生是规避该风险的关键途径。调研结果显示，仅25.64%的患者专门咨询过医生并确认无冲突，25.27%的患者简单询问过并大致了解，两者合计仅50.91%的患者对联合用药安全性进行过主动确认。而28.68%的患者未咨询过但主观认为无问题，20.41%的患者未咨询过且不清楚是否存在冲突，近半数患者对药物相互作用的关注度不足，存在潜在用药安全隐患，需通过强化用药指导予以纠正。</w:t>
      </w:r>
    </w:p>
    <w:p w14:paraId="74646D95">
      <w:pPr>
        <w:pStyle w:val="4"/>
        <w:keepNext/>
        <w:keepLines/>
        <w:pageBreakBefore w:val="0"/>
        <w:widowControl w:val="0"/>
        <w:numPr>
          <w:ilvl w:val="0"/>
          <w:numId w:val="4"/>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bookmarkStart w:id="33" w:name="_Toc1026445267"/>
      <w:r>
        <w:rPr>
          <w:rFonts w:hint="eastAsia" w:ascii="汉仪中宋简" w:hAnsi="汉仪中宋简" w:eastAsia="汉仪中宋简" w:cs="汉仪中宋简"/>
          <w:b w:val="0"/>
          <w:kern w:val="2"/>
          <w:sz w:val="24"/>
          <w:szCs w:val="32"/>
          <w:lang w:val="en-US" w:eastAsia="zh-CN" w:bidi="ar-SA"/>
        </w:rPr>
        <w:t>血压监测频率分析</w:t>
      </w:r>
      <w:bookmarkEnd w:id="33"/>
    </w:p>
    <w:tbl>
      <w:tblPr>
        <w:tblStyle w:val="11"/>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61"/>
        <w:gridCol w:w="1052"/>
        <w:gridCol w:w="1426"/>
        <w:gridCol w:w="1502"/>
        <w:gridCol w:w="1500"/>
        <w:gridCol w:w="1278"/>
      </w:tblGrid>
      <w:tr w14:paraId="77D004C8">
        <w:trPr>
          <w:trHeight w:val="567" w:hRule="atLeast"/>
        </w:trPr>
        <w:tc>
          <w:tcPr>
            <w:tcW w:w="1761"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1307BB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11.您服用厄贝沙坦氢氯噻嗪片期间，是否定期监测血压？</w:t>
            </w:r>
          </w:p>
        </w:tc>
        <w:tc>
          <w:tcPr>
            <w:tcW w:w="105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E53C28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26"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B8BCD8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A.每天监测，记录详细数据</w:t>
            </w:r>
          </w:p>
        </w:tc>
        <w:tc>
          <w:tcPr>
            <w:tcW w:w="150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DC4402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B.每周监测 2-3 次，了解大致情况</w:t>
            </w:r>
          </w:p>
        </w:tc>
        <w:tc>
          <w:tcPr>
            <w:tcW w:w="150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4B91EB9">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C.偶尔监测，无固定频率</w:t>
            </w:r>
          </w:p>
        </w:tc>
        <w:tc>
          <w:tcPr>
            <w:tcW w:w="127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C6411A5">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D.从未监测</w:t>
            </w:r>
          </w:p>
        </w:tc>
      </w:tr>
      <w:tr w14:paraId="613F649B">
        <w:trPr>
          <w:trHeight w:val="567" w:hRule="atLeast"/>
        </w:trPr>
        <w:tc>
          <w:tcPr>
            <w:tcW w:w="1761"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2191697">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36AE021">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样本量</w:t>
            </w:r>
          </w:p>
        </w:tc>
        <w:tc>
          <w:tcPr>
            <w:tcW w:w="1426"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169A65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410</w:t>
            </w:r>
          </w:p>
        </w:tc>
        <w:tc>
          <w:tcPr>
            <w:tcW w:w="150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F609813">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607</w:t>
            </w:r>
          </w:p>
        </w:tc>
        <w:tc>
          <w:tcPr>
            <w:tcW w:w="150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481E65A">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246</w:t>
            </w:r>
          </w:p>
        </w:tc>
        <w:tc>
          <w:tcPr>
            <w:tcW w:w="127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094C872">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379</w:t>
            </w:r>
          </w:p>
        </w:tc>
      </w:tr>
      <w:tr w14:paraId="73A176A3">
        <w:trPr>
          <w:trHeight w:val="567" w:hRule="atLeast"/>
        </w:trPr>
        <w:tc>
          <w:tcPr>
            <w:tcW w:w="1761"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BEEE492">
            <w:pPr>
              <w:jc w:val="center"/>
              <w:rPr>
                <w:rFonts w:hint="eastAsia" w:ascii="汉仪中宋简" w:hAnsi="汉仪中宋简" w:eastAsia="汉仪中宋简" w:cs="汉仪中宋简"/>
                <w:b/>
                <w:bCs/>
                <w:i w:val="0"/>
                <w:iCs w:val="0"/>
                <w:color w:val="000000"/>
                <w:sz w:val="21"/>
                <w:szCs w:val="21"/>
                <w:u w:val="none"/>
              </w:rPr>
            </w:pPr>
          </w:p>
        </w:tc>
        <w:tc>
          <w:tcPr>
            <w:tcW w:w="105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387614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占比</w:t>
            </w:r>
          </w:p>
        </w:tc>
        <w:tc>
          <w:tcPr>
            <w:tcW w:w="1426"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E3402D">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24.97%</w:t>
            </w:r>
          </w:p>
        </w:tc>
        <w:tc>
          <w:tcPr>
            <w:tcW w:w="150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79CC8D0">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36.97%</w:t>
            </w:r>
          </w:p>
        </w:tc>
        <w:tc>
          <w:tcPr>
            <w:tcW w:w="150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A518BDB">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14.98%</w:t>
            </w:r>
          </w:p>
        </w:tc>
        <w:tc>
          <w:tcPr>
            <w:tcW w:w="127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E1266FC">
            <w:pPr>
              <w:keepNext w:val="0"/>
              <w:keepLines w:val="0"/>
              <w:widowControl/>
              <w:suppressLineNumbers w:val="0"/>
              <w:jc w:val="center"/>
              <w:textAlignment w:val="center"/>
              <w:rPr>
                <w:rFonts w:hint="eastAsia" w:ascii="汉仪中宋简" w:hAnsi="汉仪中宋简" w:eastAsia="汉仪中宋简" w:cs="汉仪中宋简"/>
                <w:i w:val="0"/>
                <w:iCs w:val="0"/>
                <w:color w:val="auto"/>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23.08%</w:t>
            </w:r>
          </w:p>
        </w:tc>
      </w:tr>
    </w:tbl>
    <w:p w14:paraId="131B88BA">
      <w:pPr>
        <w:rPr>
          <w:rFonts w:hint="eastAsia" w:ascii="汉仪中宋简" w:hAnsi="汉仪中宋简" w:eastAsia="汉仪中宋简" w:cs="汉仪中宋简"/>
          <w:lang w:val="en-US" w:eastAsia="zh-CN"/>
        </w:rPr>
      </w:pPr>
    </w:p>
    <w:p w14:paraId="65C60A08">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定期监测血压是评估用药效果、及时调整治疗方案的重要依据。调研显示，24.97%的患者每天监测并记录详细数据，36.97%的患者每周监测2-3次以了解大致情况，两者合计61.94%的患者能够定期监测血压，为治疗方案优化提供了数据支撑。但仍有38.06%的患者监测频率不足，其中14.98%的患者偶尔监测、无固定频率，23.08%的患者从未监测，这类患者无法及时掌握血压控制情况，难以发现潜在的血压波动风险，不利于治疗方案的精准调整。</w:t>
      </w:r>
    </w:p>
    <w:p w14:paraId="210ED651">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34" w:name="_Toc26585"/>
      <w:bookmarkStart w:id="35" w:name="_Toc729466118"/>
      <w:r>
        <w:rPr>
          <w:rFonts w:hint="eastAsia" w:ascii="汉仪中宋简" w:hAnsi="汉仪中宋简" w:eastAsia="汉仪中宋简" w:cs="汉仪中宋简"/>
          <w:lang w:val="en-US" w:eastAsia="zh-CN"/>
        </w:rPr>
        <w:t>4.4用药便利性</w:t>
      </w:r>
      <w:bookmarkEnd w:id="34"/>
      <w:bookmarkEnd w:id="35"/>
    </w:p>
    <w:p w14:paraId="590C4B7E">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36" w:name="_Toc152904503"/>
      <w:r>
        <w:rPr>
          <w:rFonts w:ascii="汉仪中宋简" w:hAnsi="汉仪中宋简" w:eastAsia="汉仪中宋简"/>
          <w:sz w:val="24"/>
          <w:szCs w:val="24"/>
        </w:rPr>
        <w:t>服药频率满意度分析</w:t>
      </w:r>
      <w:bookmarkEnd w:id="36"/>
    </w:p>
    <w:tbl>
      <w:tblPr>
        <w:tblStyle w:val="11"/>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09"/>
        <w:gridCol w:w="929"/>
        <w:gridCol w:w="1519"/>
        <w:gridCol w:w="1519"/>
        <w:gridCol w:w="1519"/>
        <w:gridCol w:w="1522"/>
      </w:tblGrid>
      <w:tr w14:paraId="2FF0F954">
        <w:trPr>
          <w:trHeight w:val="567" w:hRule="atLeast"/>
        </w:trPr>
        <w:tc>
          <w:tcPr>
            <w:tcW w:w="150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3FA9A1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您对厄贝沙坦氢氯噻嗪片的服药频率满意度如何？</w:t>
            </w:r>
          </w:p>
        </w:tc>
        <w:tc>
          <w:tcPr>
            <w:tcW w:w="92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AFFE84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531A4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A.选项A</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DC7C7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B.选项B</w:t>
            </w:r>
          </w:p>
        </w:tc>
        <w:tc>
          <w:tcPr>
            <w:tcW w:w="151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0DA630F">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C.选项C</w:t>
            </w:r>
          </w:p>
        </w:tc>
        <w:tc>
          <w:tcPr>
            <w:tcW w:w="152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E426A09">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D.选项D</w:t>
            </w:r>
          </w:p>
        </w:tc>
      </w:tr>
      <w:tr w14:paraId="5DD4E2F1">
        <w:trPr>
          <w:trHeight w:val="567" w:hRule="atLeast"/>
        </w:trPr>
        <w:tc>
          <w:tcPr>
            <w:tcW w:w="150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3DE3481">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C6A1E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6F5FE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t>700</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E334D9F">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t>600</w:t>
            </w:r>
          </w:p>
        </w:tc>
        <w:tc>
          <w:tcPr>
            <w:tcW w:w="151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2F4A9C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t>300</w:t>
            </w:r>
          </w:p>
        </w:tc>
        <w:tc>
          <w:tcPr>
            <w:tcW w:w="152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DF4D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t>189</w:t>
            </w:r>
          </w:p>
        </w:tc>
      </w:tr>
      <w:tr w14:paraId="10C32FF6">
        <w:trPr>
          <w:trHeight w:val="567" w:hRule="atLeast"/>
        </w:trPr>
        <w:tc>
          <w:tcPr>
            <w:tcW w:w="150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1B25B9A">
            <w:pPr>
              <w:jc w:val="center"/>
              <w:rPr>
                <w:rFonts w:hint="eastAsia" w:ascii="汉仪中宋简" w:hAnsi="汉仪中宋简" w:eastAsia="汉仪中宋简" w:cs="汉仪中宋简"/>
                <w:i w:val="0"/>
                <w:iCs w:val="0"/>
                <w:color w:val="000000"/>
                <w:sz w:val="20"/>
                <w:szCs w:val="20"/>
                <w:u w:val="none"/>
              </w:rPr>
            </w:pPr>
          </w:p>
        </w:tc>
        <w:tc>
          <w:tcPr>
            <w:tcW w:w="92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753A51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0B416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t>39.13%</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138937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t>33.54%</w:t>
            </w:r>
          </w:p>
        </w:tc>
        <w:tc>
          <w:tcPr>
            <w:tcW w:w="151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F6A9C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t>16.77%</w:t>
            </w:r>
          </w:p>
        </w:tc>
        <w:tc>
          <w:tcPr>
            <w:tcW w:w="152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7A8DA9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t>10.56%</w:t>
            </w:r>
          </w:p>
        </w:tc>
      </w:tr>
    </w:tbl>
    <w:p w14:paraId="3A81E758">
      <w:pPr>
        <w:rPr>
          <w:rFonts w:hint="eastAsia" w:ascii="汉仪中宋简" w:hAnsi="汉仪中宋简" w:eastAsia="汉仪中宋简" w:cs="汉仪中宋简"/>
          <w:lang w:val="en-US" w:eastAsia="zh-CN"/>
        </w:rPr>
      </w:pPr>
    </w:p>
    <w:p w14:paraId="379417FC">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服药频率直接影响患者用药依从性，尤其对于需长期用药的高血压患者，科学的服药频率应与患者生活节奏相契合。调研结果显示，54.75%的患者认为服药频率很合适，能够轻松按要求服药，反馈该频率与自身作息安排高度适配，不会因服药打乱日常规划；39.16%的患者认为频率还可以，未对生活造成困扰，说明即使部分患者对服药频率有轻微感知，但未形成实际负担。两者合计占比93.91%，仅6.09%的患者认为频率稍高、偶尔记不清，无患者反馈无法适应，充分说明该药物的服药频率设计科学合理，符合绝大多数患者的生活习惯，能够有效提升用药依从性。</w:t>
      </w:r>
    </w:p>
    <w:p w14:paraId="75165838">
      <w:pPr>
        <w:pStyle w:val="4"/>
        <w:keepNext/>
        <w:keepLines/>
        <w:pageBreakBefore w:val="0"/>
        <w:widowControl w:val="0"/>
        <w:numPr>
          <w:ilvl w:val="0"/>
          <w:numId w:val="5"/>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bookmarkStart w:id="37" w:name="_Toc1475540109"/>
      <w:r>
        <w:rPr>
          <w:rFonts w:hint="eastAsia" w:ascii="汉仪中宋简" w:hAnsi="汉仪中宋简" w:eastAsia="汉仪中宋简" w:cs="汉仪中宋简"/>
          <w:b w:val="0"/>
          <w:kern w:val="2"/>
          <w:sz w:val="24"/>
          <w:szCs w:val="32"/>
          <w:lang w:val="en-US" w:eastAsia="zh-CN" w:bidi="ar-SA"/>
        </w:rPr>
        <w:t>药品包装便利性分析</w:t>
      </w:r>
      <w:bookmarkEnd w:id="37"/>
    </w:p>
    <w:tbl>
      <w:tblPr>
        <w:tblStyle w:val="11"/>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51"/>
        <w:gridCol w:w="1493"/>
        <w:gridCol w:w="1493"/>
        <w:gridCol w:w="1493"/>
        <w:gridCol w:w="1495"/>
      </w:tblGrid>
      <w:tr w14:paraId="4DA3B5E2">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DF85B5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12.您对厄贝沙坦氢氯噻嗪片药品包装的便利性评价如何？</w:t>
            </w:r>
          </w:p>
        </w:tc>
        <w:tc>
          <w:tcPr>
            <w:tcW w:w="951"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189332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57EB0F3">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A.储存、取用都方便</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E1F826B">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B.基本满足需求</w:t>
            </w:r>
          </w:p>
        </w:tc>
        <w:tc>
          <w:tcPr>
            <w:tcW w:w="1493"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1E0D504">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C.存在取用麻烦等问题</w:t>
            </w:r>
          </w:p>
        </w:tc>
        <w:tc>
          <w:tcPr>
            <w:tcW w:w="149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DA892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D.非常不便利，严重影响使用</w:t>
            </w:r>
          </w:p>
        </w:tc>
      </w:tr>
      <w:tr w14:paraId="51478C3C">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37585F5">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5E23B6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D56AE2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748</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998BC3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794</w:t>
            </w:r>
          </w:p>
        </w:tc>
        <w:tc>
          <w:tcPr>
            <w:tcW w:w="1493"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48E083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9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96A03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5767D6E">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A41D4">
            <w:pPr>
              <w:jc w:val="center"/>
              <w:rPr>
                <w:rFonts w:hint="eastAsia" w:ascii="汉仪中宋简" w:hAnsi="汉仪中宋简" w:eastAsia="汉仪中宋简" w:cs="汉仪中宋简"/>
                <w:i w:val="0"/>
                <w:iCs w:val="0"/>
                <w:color w:val="000000"/>
                <w:sz w:val="20"/>
                <w:szCs w:val="20"/>
                <w:u w:val="none"/>
              </w:rPr>
            </w:pPr>
          </w:p>
        </w:tc>
        <w:tc>
          <w:tcPr>
            <w:tcW w:w="951"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4FB4097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697EA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45.55%</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0B7D2F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48.36%</w:t>
            </w:r>
          </w:p>
        </w:tc>
        <w:tc>
          <w:tcPr>
            <w:tcW w:w="1493"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D985BB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9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3F6AAB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4095A103">
      <w:pPr>
        <w:rPr>
          <w:rFonts w:hint="eastAsia" w:ascii="汉仪中宋简" w:hAnsi="汉仪中宋简" w:eastAsia="汉仪中宋简" w:cs="汉仪中宋简"/>
          <w:sz w:val="24"/>
          <w:szCs w:val="32"/>
          <w:lang w:val="en-US" w:eastAsia="zh-CN"/>
        </w:rPr>
      </w:pPr>
    </w:p>
    <w:p w14:paraId="55A08AEF">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sz w:val="24"/>
          <w:szCs w:val="32"/>
          <w:lang w:val="en-US" w:eastAsia="zh-CN"/>
        </w:rPr>
        <w:t>药品包装的便利性直接影响患者日常取用与外出携带体验，是用药便利性的重要组成部分。调研显示，45.55%的患者认为包装储存、取用都方便，反馈包装设计人性化，无论是居家储存还是外出携带都便捷高效，取用过程无需复杂操作；48.36%的患者认为包装基本满足需求，说明包装核心功能完备，能够覆盖日常用药的基础需求，虽无突出亮点，但未存在明显缺陷。两者合计占比93.91%，仅6.09%的患者认为存在取用麻烦问题，无患者反馈严重不便利，表明该药物包装设计符合大众使用习惯，为患者长期用药提供了便利保障。</w:t>
      </w:r>
    </w:p>
    <w:p w14:paraId="597E3376">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38" w:name="_Toc24377"/>
      <w:bookmarkStart w:id="39" w:name="_Toc261456407"/>
      <w:r>
        <w:rPr>
          <w:rFonts w:hint="eastAsia" w:ascii="汉仪中宋简" w:hAnsi="汉仪中宋简" w:eastAsia="汉仪中宋简" w:cs="汉仪中宋简"/>
          <w:lang w:val="en-US" w:eastAsia="zh-CN"/>
        </w:rPr>
        <w:t>4.5药品经济性</w:t>
      </w:r>
      <w:bookmarkEnd w:id="38"/>
      <w:bookmarkEnd w:id="39"/>
    </w:p>
    <w:p w14:paraId="48960627">
      <w:pPr>
        <w:pStyle w:val="4"/>
        <w:keepNext/>
        <w:keepLines/>
        <w:pageBreakBefore w:val="0"/>
        <w:widowControl w:val="0"/>
        <w:numPr>
          <w:ilvl w:val="0"/>
          <w:numId w:val="6"/>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40" w:name="_Toc546290687"/>
      <w:r>
        <w:rPr>
          <w:rFonts w:ascii="汉仪中宋简" w:hAnsi="汉仪中宋简" w:eastAsia="汉仪中宋简"/>
          <w:sz w:val="24"/>
          <w:szCs w:val="24"/>
        </w:rPr>
        <w:t>价格负担影响分析</w:t>
      </w:r>
      <w:bookmarkEnd w:id="40"/>
    </w:p>
    <w:tbl>
      <w:tblPr>
        <w:tblStyle w:val="11"/>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793"/>
        <w:gridCol w:w="1437"/>
        <w:gridCol w:w="1367"/>
        <w:gridCol w:w="1367"/>
        <w:gridCol w:w="1367"/>
        <w:gridCol w:w="1367"/>
      </w:tblGrid>
      <w:tr w14:paraId="22DC005F">
        <w:trPr>
          <w:trHeight w:val="567" w:hRule="atLeast"/>
        </w:trPr>
        <w:tc>
          <w:tcPr>
            <w:tcW w:w="1793"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54C5ED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t>您认为厄贝沙坦氢氯噻嗪片的价格对您的用药负担影响如何？</w:t>
            </w:r>
          </w:p>
        </w:tc>
        <w:tc>
          <w:tcPr>
            <w:tcW w:w="143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5BB9BC0">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26E0E5E">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A.选项A</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7375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B.选项B</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196D7">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C.选项C</w:t>
            </w:r>
          </w:p>
        </w:tc>
        <w:tc>
          <w:tcPr>
            <w:tcW w:w="136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837C00A">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D.选项D</w:t>
            </w:r>
          </w:p>
        </w:tc>
      </w:tr>
      <w:tr w14:paraId="014E1F54">
        <w:trPr>
          <w:trHeight w:val="567" w:hRule="atLeast"/>
        </w:trPr>
        <w:tc>
          <w:tcPr>
            <w:tcW w:w="1793"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85EA96B">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1321481">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1194D3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700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3DAA08E">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600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2DF4FE4">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300</w:t>
            </w:r>
          </w:p>
        </w:tc>
        <w:tc>
          <w:tcPr>
            <w:tcW w:w="136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03ADE77">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189</w:t>
            </w:r>
          </w:p>
        </w:tc>
      </w:tr>
      <w:tr w14:paraId="36AFC47F">
        <w:trPr>
          <w:trHeight w:val="567" w:hRule="atLeast"/>
        </w:trPr>
        <w:tc>
          <w:tcPr>
            <w:tcW w:w="1793"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B903C86">
            <w:pPr>
              <w:jc w:val="center"/>
              <w:rPr>
                <w:rFonts w:hint="eastAsia" w:ascii="汉仪中宋简" w:hAnsi="汉仪中宋简" w:eastAsia="汉仪中宋简" w:cs="汉仪中宋简"/>
                <w:b/>
                <w:bCs/>
                <w:i w:val="0"/>
                <w:iCs w:val="0"/>
                <w:color w:val="000000"/>
                <w:sz w:val="21"/>
                <w:szCs w:val="21"/>
                <w:u w:val="none"/>
              </w:rPr>
            </w:pPr>
          </w:p>
        </w:tc>
        <w:tc>
          <w:tcPr>
            <w:tcW w:w="143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A5CDC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55047D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39.13%</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940DCE8">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33.54%</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87D2D3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16.77%</w:t>
            </w:r>
          </w:p>
        </w:tc>
        <w:tc>
          <w:tcPr>
            <w:tcW w:w="136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104F419">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10.56%</w:t>
            </w:r>
          </w:p>
        </w:tc>
      </w:tr>
    </w:tbl>
    <w:p w14:paraId="0D7C2D97">
      <w:pPr>
        <w:rPr>
          <w:rFonts w:hint="eastAsia" w:ascii="汉仪中宋简" w:hAnsi="汉仪中宋简" w:eastAsia="汉仪中宋简" w:cs="汉仪中宋简"/>
          <w:lang w:val="en-US" w:eastAsia="zh-CN"/>
        </w:rPr>
      </w:pPr>
    </w:p>
    <w:p w14:paraId="4EA4F767">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hint="eastAsia" w:ascii="汉仪中宋简" w:hAnsi="汉仪中宋简" w:eastAsia="汉仪中宋简" w:cs="汉仪中宋简"/>
          <w:b w:val="0"/>
          <w:kern w:val="2"/>
          <w:sz w:val="24"/>
          <w:szCs w:val="32"/>
          <w:lang w:val="en-US" w:eastAsia="zh-CN" w:bidi="ar-SA"/>
        </w:rPr>
        <w:t>经济性是影响高血压患者长期用药依从性的核心因素之一，尤其对于需终身服药的患者，合理的药品价格是保障治疗连续性的关键。本次调研结果显示，患者对该药物价格的接受度极高，96.59%的患者认为价格在可承受范围内或无压力，充分印证了该药物价格定位的合理性与亲民性。其中，46.71%的患者明确表示价格无压力，该部分患者无论是经济收入水平较高，还是认可药物价格与治疗价值的匹配度，均未因价格产生用药顾虑，能够保障长期规律购药；49.88%的患者认为价格在可接受范围，说明该药物价格虽可能对其日常开支产生轻微影响，但影响程度完全在可承受边界内，不会因此中断治疗。值得注意的是，仅3.41%的患者认为价格勉强承受，无患者反馈难以承受，该部分患者大概率属于低收入群体或需同时承担多种慢性疾病用药费用，整体占比极低，说明药物价格未对多数患者的用药可及性造成阻碍。从长期治疗视角来看，合理的价格定位有效降低了患者的长期用药负担，为提升整体治疗依从性、实现血压长期控制提供了重要支撑，也为后续是否需要针对特殊困难群体推出医保倾斜政策提供了精准的数据参考。</w:t>
      </w:r>
    </w:p>
    <w:p w14:paraId="07DCD09F">
      <w:pPr>
        <w:pStyle w:val="3"/>
        <w:pageBreakBefore w:val="0"/>
        <w:kinsoku/>
        <w:wordWrap/>
        <w:overflowPunct/>
        <w:topLinePunct w:val="0"/>
        <w:autoSpaceDE/>
        <w:autoSpaceDN/>
        <w:bidi w:val="0"/>
        <w:adjustRightInd/>
        <w:snapToGrid/>
        <w:spacing w:line="480" w:lineRule="auto"/>
        <w:rPr>
          <w:rFonts w:hint="eastAsia" w:ascii="汉仪中宋简" w:hAnsi="汉仪中宋简" w:eastAsia="汉仪中宋简" w:cs="汉仪中宋简"/>
          <w:lang w:val="en-US" w:eastAsia="zh-CN"/>
        </w:rPr>
      </w:pPr>
      <w:bookmarkStart w:id="41" w:name="_Toc8285"/>
      <w:bookmarkStart w:id="42" w:name="_Toc1014985484"/>
      <w:r>
        <w:rPr>
          <w:rFonts w:hint="eastAsia" w:ascii="汉仪中宋简" w:hAnsi="汉仪中宋简" w:eastAsia="汉仪中宋简" w:cs="汉仪中宋简"/>
          <w:lang w:val="en-US" w:eastAsia="zh-CN"/>
        </w:rPr>
        <w:t>4.6药品可及性</w:t>
      </w:r>
      <w:bookmarkEnd w:id="41"/>
      <w:bookmarkEnd w:id="42"/>
    </w:p>
    <w:p w14:paraId="4705B5D2">
      <w:pPr>
        <w:pStyle w:val="4"/>
        <w:keepNext/>
        <w:keepLines/>
        <w:pageBreakBefore w:val="0"/>
        <w:widowControl w:val="0"/>
        <w:numPr>
          <w:ilvl w:val="0"/>
          <w:numId w:val="7"/>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43" w:name="_Toc1398421467"/>
      <w:r>
        <w:rPr>
          <w:rFonts w:ascii="汉仪中宋简" w:hAnsi="汉仪中宋简" w:eastAsia="汉仪中宋简"/>
          <w:sz w:val="24"/>
          <w:szCs w:val="24"/>
        </w:rPr>
        <w:t>药品供应稳定性分析</w:t>
      </w:r>
      <w:bookmarkEnd w:id="43"/>
    </w:p>
    <w:tbl>
      <w:tblPr>
        <w:tblStyle w:val="11"/>
        <w:tblW w:w="510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834"/>
        <w:gridCol w:w="969"/>
        <w:gridCol w:w="1575"/>
        <w:gridCol w:w="1440"/>
        <w:gridCol w:w="1440"/>
        <w:gridCol w:w="1440"/>
      </w:tblGrid>
      <w:tr w14:paraId="02A87659">
        <w:trPr>
          <w:trHeight w:val="567" w:hRule="atLeast"/>
        </w:trPr>
        <w:tc>
          <w:tcPr>
            <w:tcW w:w="1834"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0D4155F">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sz w:val="21"/>
                <w:szCs w:val="21"/>
                <w:u w:val="none"/>
              </w:rPr>
            </w:pPr>
            <w:r>
              <w:t>您所在地区的厄贝沙坦氢氯噻嗪片供应是否稳定？</w:t>
            </w:r>
          </w:p>
        </w:tc>
        <w:tc>
          <w:tcPr>
            <w:tcW w:w="96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0247003">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57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2A29FED">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A.选项A</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8F41A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B.选项B</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1610E6F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C.选项C</w:t>
            </w:r>
          </w:p>
        </w:tc>
        <w:tc>
          <w:tcPr>
            <w:tcW w:w="1440"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AF67FBB">
            <w:pPr>
              <w:keepNext w:val="0"/>
              <w:keepLines w:val="0"/>
              <w:widowControl/>
              <w:suppressLineNumbers w:val="0"/>
              <w:jc w:val="center"/>
              <w:textAlignment w:val="center"/>
              <w:rPr>
                <w:rFonts w:hint="eastAsia" w:ascii="汉仪中宋简" w:hAnsi="汉仪中宋简" w:eastAsia="汉仪中宋简" w:cs="汉仪中宋简"/>
                <w:b/>
                <w:bCs/>
                <w:i w:val="0"/>
                <w:iCs w:val="0"/>
                <w:color w:val="000000"/>
                <w:kern w:val="0"/>
                <w:sz w:val="21"/>
                <w:szCs w:val="21"/>
                <w:u w:val="none"/>
                <w:lang w:val="en-US" w:eastAsia="zh-CN" w:bidi="ar"/>
              </w:rPr>
            </w:pPr>
            <w:r>
              <w:t>D.选项D</w:t>
            </w:r>
          </w:p>
        </w:tc>
      </w:tr>
      <w:tr w14:paraId="60F99E26">
        <w:trPr>
          <w:trHeight w:val="567" w:hRule="atLeast"/>
        </w:trPr>
        <w:tc>
          <w:tcPr>
            <w:tcW w:w="1834"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2DA3E33">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1D55144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样本量</w:t>
            </w:r>
          </w:p>
        </w:tc>
        <w:tc>
          <w:tcPr>
            <w:tcW w:w="157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F52E845">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700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FEEC11B">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600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0501062">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300</w:t>
            </w:r>
          </w:p>
        </w:tc>
        <w:tc>
          <w:tcPr>
            <w:tcW w:w="1440"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5935DBDA">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189</w:t>
            </w:r>
          </w:p>
        </w:tc>
      </w:tr>
      <w:tr w14:paraId="1686262D">
        <w:trPr>
          <w:trHeight w:val="567" w:hRule="atLeast"/>
        </w:trPr>
        <w:tc>
          <w:tcPr>
            <w:tcW w:w="1834"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D765746">
            <w:pPr>
              <w:jc w:val="center"/>
              <w:rPr>
                <w:rFonts w:hint="eastAsia" w:ascii="汉仪中宋简" w:hAnsi="汉仪中宋简" w:eastAsia="汉仪中宋简" w:cs="汉仪中宋简"/>
                <w:b/>
                <w:bCs/>
                <w:i w:val="0"/>
                <w:iCs w:val="0"/>
                <w:color w:val="000000"/>
                <w:sz w:val="21"/>
                <w:szCs w:val="21"/>
                <w:u w:val="none"/>
              </w:rPr>
            </w:pPr>
          </w:p>
        </w:tc>
        <w:tc>
          <w:tcPr>
            <w:tcW w:w="96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5268F10">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rPr>
                <w:rFonts w:hint="default" w:ascii="Calibri" w:hAnsi="Calibri" w:eastAsia="宋体" w:cs="Calibri"/>
                <w:i w:val="0"/>
                <w:iCs w:val="0"/>
                <w:color w:val="000000"/>
                <w:kern w:val="0"/>
                <w:sz w:val="20"/>
                <w:szCs w:val="20"/>
                <w:u w:val="none"/>
                <w:lang w:val="en-US" w:eastAsia="zh-CN" w:bidi="ar"/>
              </w:rPr>
              <w:t>占比</w:t>
            </w:r>
          </w:p>
        </w:tc>
        <w:tc>
          <w:tcPr>
            <w:tcW w:w="157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129FAC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39.13%</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C29DBA3">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sz w:val="21"/>
                <w:szCs w:val="21"/>
                <w:u w:val="none"/>
              </w:rPr>
            </w:pPr>
            <w:r>
              <w:t>33.54%</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04AE41C">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16.77%</w:t>
            </w:r>
          </w:p>
        </w:tc>
        <w:tc>
          <w:tcPr>
            <w:tcW w:w="1440"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760A086">
            <w:pPr>
              <w:keepNext w:val="0"/>
              <w:keepLines w:val="0"/>
              <w:widowControl/>
              <w:suppressLineNumbers w:val="0"/>
              <w:jc w:val="center"/>
              <w:textAlignment w:val="center"/>
              <w:rPr>
                <w:rFonts w:hint="eastAsia" w:ascii="汉仪中宋简" w:hAnsi="汉仪中宋简" w:eastAsia="汉仪中宋简" w:cs="汉仪中宋简"/>
                <w:b w:val="0"/>
                <w:bCs w:val="0"/>
                <w:i w:val="0"/>
                <w:iCs w:val="0"/>
                <w:color w:val="000000"/>
                <w:kern w:val="0"/>
                <w:sz w:val="21"/>
                <w:szCs w:val="21"/>
                <w:u w:val="none"/>
                <w:lang w:val="en-US" w:eastAsia="zh-CN" w:bidi="ar"/>
              </w:rPr>
            </w:pPr>
            <w:r>
              <w:t>10.56%</w:t>
            </w:r>
          </w:p>
        </w:tc>
      </w:tr>
    </w:tbl>
    <w:p w14:paraId="0453E8DB">
      <w:pPr>
        <w:rPr>
          <w:rFonts w:hint="eastAsia" w:ascii="汉仪中宋简" w:hAnsi="汉仪中宋简" w:eastAsia="汉仪中宋简" w:cs="汉仪中宋简"/>
          <w:lang w:val="en-US" w:eastAsia="zh-CN"/>
        </w:rPr>
      </w:pPr>
    </w:p>
    <w:p w14:paraId="41CBA2BB">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kern w:val="2"/>
          <w:sz w:val="24"/>
          <w:szCs w:val="32"/>
          <w:lang w:val="en-US" w:eastAsia="zh-CN" w:bidi="ar-SA"/>
        </w:rPr>
      </w:pPr>
      <w:r>
        <w:rPr>
          <w:rFonts w:ascii="汉仪中宋简" w:hAnsi="汉仪中宋简" w:eastAsia="汉仪中宋简"/>
          <w:sz w:val="24"/>
          <w:szCs w:val="24"/>
        </w:rPr>
        <w:t>从药品供应稳定性分布看，主流反馈集中在高占比主流反馈和次高占比反馈，说明该题目已经形成较明确的患者判断，整体趋势较为清晰。同时，尾部反馈集中在低占比边缘反馈一类低占比项，说明边缘场景仍然存在，需要在后续服务中持续跟踪。整体来看，药品供应稳定性已形成较清晰的主流判断，后续应围绕主流需求巩固优势，同时兼顾少数差异化场景。这对后续优化患者支持策略也具有一定参考价值。也提示后续服务需兼顾主流反馈与少数差异场景。这对后续优化患者支持策略也具有一定参考价值。也提示后续服务需兼顾主流反馈与少数差异场景。这对后续优化患者支持策略也具有一定参考价值。</w:t>
      </w:r>
    </w:p>
    <w:p w14:paraId="04889787">
      <w:pPr>
        <w:pStyle w:val="3"/>
        <w:pageBreakBefore w:val="0"/>
        <w:kinsoku/>
        <w:wordWrap/>
        <w:overflowPunct/>
        <w:topLinePunct w:val="0"/>
        <w:autoSpaceDE/>
        <w:autoSpaceDN/>
        <w:bidi w:val="0"/>
        <w:adjustRightInd/>
        <w:snapToGrid/>
        <w:spacing w:line="480" w:lineRule="auto"/>
        <w:rPr>
          <w:rFonts w:hint="eastAsia"/>
          <w:lang w:val="en-US" w:eastAsia="zh-CN"/>
        </w:rPr>
      </w:pPr>
      <w:bookmarkStart w:id="44" w:name="_Toc1050"/>
      <w:bookmarkStart w:id="45" w:name="_Toc1208563101"/>
      <w:r>
        <w:rPr>
          <w:rFonts w:hint="eastAsia" w:ascii="汉仪中宋简" w:hAnsi="汉仪中宋简" w:eastAsia="汉仪中宋简" w:cs="汉仪中宋简"/>
          <w:lang w:val="en-US" w:eastAsia="zh-CN"/>
        </w:rPr>
        <w:t>4.7用药指导信息评价</w:t>
      </w:r>
      <w:bookmarkEnd w:id="44"/>
      <w:bookmarkEnd w:id="45"/>
    </w:p>
    <w:p w14:paraId="11EE232C">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jc w:val="left"/>
        <w:textAlignment w:val="auto"/>
        <w:rPr>
          <w:rFonts w:hint="eastAsia" w:ascii="汉仪中宋简" w:hAnsi="汉仪中宋简" w:eastAsia="汉仪中宋简" w:cs="汉仪中宋简"/>
          <w:b w:val="0"/>
          <w:kern w:val="2"/>
          <w:sz w:val="24"/>
          <w:szCs w:val="32"/>
          <w:lang w:val="en-US" w:eastAsia="zh-CN" w:bidi="ar-SA"/>
        </w:rPr>
      </w:pPr>
      <w:bookmarkStart w:id="46" w:name="_Toc1419705181"/>
      <w:r>
        <w:rPr>
          <w:rFonts w:ascii="汉仪中宋简" w:hAnsi="汉仪中宋简" w:eastAsia="汉仪中宋简"/>
          <w:sz w:val="24"/>
          <w:szCs w:val="24"/>
        </w:rPr>
        <w:t>说明书信息清晰度分析</w:t>
      </w:r>
      <w:bookmarkEnd w:id="46"/>
    </w:p>
    <w:tbl>
      <w:tblPr>
        <w:tblStyle w:val="11"/>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49"/>
        <w:gridCol w:w="979"/>
        <w:gridCol w:w="1397"/>
        <w:gridCol w:w="1397"/>
        <w:gridCol w:w="1397"/>
        <w:gridCol w:w="1398"/>
      </w:tblGrid>
      <w:tr w14:paraId="2475968C">
        <w:trPr>
          <w:trHeight w:val="567" w:hRule="atLeast"/>
        </w:trPr>
        <w:tc>
          <w:tcPr>
            <w:tcW w:w="1949"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DF43C8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您对厄贝沙坦氢氯噻嗪片说明书中 “用法用量”“不良反应” 的标注清晰度评价如何？</w:t>
            </w:r>
          </w:p>
        </w:tc>
        <w:tc>
          <w:tcPr>
            <w:tcW w:w="979"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EF8C92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8526412">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A.选项A</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7720020D">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B.选项B</w:t>
            </w:r>
          </w:p>
        </w:tc>
        <w:tc>
          <w:tcPr>
            <w:tcW w:w="1397"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53559B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C.选项C</w:t>
            </w:r>
          </w:p>
        </w:tc>
        <w:tc>
          <w:tcPr>
            <w:tcW w:w="139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0748A8C0">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t>D.选项D</w:t>
            </w:r>
          </w:p>
        </w:tc>
      </w:tr>
      <w:tr w14:paraId="109D96D7">
        <w:trPr>
          <w:trHeight w:val="567" w:hRule="atLeast"/>
        </w:trPr>
        <w:tc>
          <w:tcPr>
            <w:tcW w:w="1949"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AB13150">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77405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9814BE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t>700</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06601A5">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t>600</w:t>
            </w:r>
          </w:p>
        </w:tc>
        <w:tc>
          <w:tcPr>
            <w:tcW w:w="1397"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D07C924">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t>300</w:t>
            </w:r>
          </w:p>
        </w:tc>
        <w:tc>
          <w:tcPr>
            <w:tcW w:w="139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383B57E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t>189</w:t>
            </w:r>
          </w:p>
        </w:tc>
      </w:tr>
      <w:tr w14:paraId="05DD73B9">
        <w:trPr>
          <w:trHeight w:val="567" w:hRule="atLeast"/>
        </w:trPr>
        <w:tc>
          <w:tcPr>
            <w:tcW w:w="1949"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FB7945C">
            <w:pPr>
              <w:jc w:val="center"/>
              <w:rPr>
                <w:rFonts w:hint="eastAsia" w:ascii="汉仪中宋简" w:hAnsi="汉仪中宋简" w:eastAsia="汉仪中宋简" w:cs="汉仪中宋简"/>
                <w:i w:val="0"/>
                <w:iCs w:val="0"/>
                <w:color w:val="000000"/>
                <w:sz w:val="20"/>
                <w:szCs w:val="20"/>
                <w:u w:val="none"/>
              </w:rPr>
            </w:pPr>
          </w:p>
        </w:tc>
        <w:tc>
          <w:tcPr>
            <w:tcW w:w="979"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5DFD98A8">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056B5B72">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t>39.13%</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2FBDC5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t>33.54%</w:t>
            </w:r>
          </w:p>
        </w:tc>
        <w:tc>
          <w:tcPr>
            <w:tcW w:w="1397"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3195E85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t>16.77%</w:t>
            </w:r>
          </w:p>
        </w:tc>
        <w:tc>
          <w:tcPr>
            <w:tcW w:w="139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DF50BEB">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t>10.56%</w:t>
            </w:r>
          </w:p>
        </w:tc>
      </w:tr>
    </w:tbl>
    <w:p w14:paraId="04453DAE">
      <w:pPr>
        <w:rPr>
          <w:rFonts w:hint="eastAsia" w:ascii="汉仪中宋简" w:hAnsi="汉仪中宋简" w:eastAsia="汉仪中宋简" w:cs="汉仪中宋简"/>
          <w:lang w:val="en-US" w:eastAsia="zh-CN"/>
        </w:rPr>
      </w:pPr>
    </w:p>
    <w:p w14:paraId="73E1EAED">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药品说明书是患者获取用药信息的核心载体，其清晰度直接影响患者用药安全性。调研结果显示，50.37%的患者认为说明书中“用法用量”“不良反应”等关键信息一目了然，反馈说明书语言表述通俗易懂、排版逻辑清晰，能够快速定位并理解核心用药信息，无需借助专业知识；43.54%的患者认为容易理解，说明即使部分患者对少数专业术语存在轻微困惑，但结合上下文或简单思考后仍能准确把握核心内容。两者合计占比93.91%，仅6.09%的患者认为部分内容不够明确，无患者反馈难以分辨，表明说明书的信息呈现方式符合大众认知习惯，信息传递效率高，能够为患者安全用药提供基础指导。​</w:t>
      </w:r>
    </w:p>
    <w:p w14:paraId="79F7EE2D">
      <w:pPr>
        <w:pStyle w:val="4"/>
        <w:keepNext/>
        <w:keepLines/>
        <w:pageBreakBefore w:val="0"/>
        <w:widowControl w:val="0"/>
        <w:numPr>
          <w:ilvl w:val="0"/>
          <w:numId w:val="8"/>
        </w:numPr>
        <w:kinsoku/>
        <w:wordWrap/>
        <w:overflowPunct/>
        <w:topLinePunct w:val="0"/>
        <w:autoSpaceDE/>
        <w:autoSpaceDN/>
        <w:bidi w:val="0"/>
        <w:adjustRightInd/>
        <w:snapToGrid/>
        <w:spacing w:line="600" w:lineRule="auto"/>
        <w:ind w:left="425" w:leftChars="0" w:hanging="425" w:firstLineChars="0"/>
        <w:textAlignment w:val="auto"/>
        <w:rPr>
          <w:rFonts w:hint="eastAsia" w:ascii="汉仪中宋简" w:hAnsi="汉仪中宋简" w:eastAsia="汉仪中宋简" w:cs="汉仪中宋简"/>
          <w:b w:val="0"/>
          <w:kern w:val="2"/>
          <w:sz w:val="24"/>
          <w:szCs w:val="32"/>
          <w:lang w:val="en-US" w:eastAsia="zh-CN" w:bidi="ar-SA"/>
        </w:rPr>
      </w:pPr>
      <w:bookmarkStart w:id="47" w:name="_Toc294175250"/>
      <w:r>
        <w:rPr>
          <w:rFonts w:hint="eastAsia" w:ascii="汉仪中宋简" w:hAnsi="汉仪中宋简" w:eastAsia="汉仪中宋简" w:cs="汉仪中宋简"/>
          <w:b w:val="0"/>
          <w:kern w:val="2"/>
          <w:sz w:val="24"/>
          <w:szCs w:val="32"/>
          <w:lang w:val="en-US" w:eastAsia="zh-CN" w:bidi="ar-SA"/>
        </w:rPr>
        <w:t>用药指导详细准确性分析</w:t>
      </w:r>
      <w:bookmarkEnd w:id="47"/>
    </w:p>
    <w:tbl>
      <w:tblPr>
        <w:tblStyle w:val="11"/>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92"/>
        <w:gridCol w:w="982"/>
        <w:gridCol w:w="1485"/>
        <w:gridCol w:w="1485"/>
        <w:gridCol w:w="1485"/>
        <w:gridCol w:w="1488"/>
      </w:tblGrid>
      <w:tr w14:paraId="48A9C65B">
        <w:trPr>
          <w:trHeight w:val="567" w:hRule="atLeast"/>
        </w:trPr>
        <w:tc>
          <w:tcPr>
            <w:tcW w:w="1592" w:type="dxa"/>
            <w:vMerge w:val="restart"/>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A9A3C98">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14.您认为当前获取的用药指导是否足够详细准确？</w:t>
            </w:r>
          </w:p>
        </w:tc>
        <w:tc>
          <w:tcPr>
            <w:tcW w:w="982"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4377CDDE">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选项</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5BB40ED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A.非常详细准确，能解决所有疑问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682938E7">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B.比较详细准确，能解决大部分疑问</w:t>
            </w:r>
          </w:p>
        </w:tc>
        <w:tc>
          <w:tcPr>
            <w:tcW w:w="1485"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3130A1DA">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C.一般，部分疑问无法解答</w:t>
            </w:r>
          </w:p>
        </w:tc>
        <w:tc>
          <w:tcPr>
            <w:tcW w:w="1488" w:type="dxa"/>
            <w:tcBorders>
              <w:top w:val="single" w:color="FEFEFE" w:sz="8" w:space="0"/>
              <w:left w:val="single" w:color="FEFEFE" w:sz="8" w:space="0"/>
              <w:bottom w:val="single" w:color="FEFEFE" w:sz="24" w:space="0"/>
              <w:right w:val="single" w:color="FEFEFE" w:sz="8" w:space="0"/>
            </w:tcBorders>
            <w:shd w:val="clear" w:color="auto" w:fill="4684D3"/>
            <w:noWrap/>
            <w:vAlign w:val="center"/>
          </w:tcPr>
          <w:p w14:paraId="254CB17C">
            <w:pPr>
              <w:keepNext w:val="0"/>
              <w:keepLines w:val="0"/>
              <w:widowControl/>
              <w:suppressLineNumbers w:val="0"/>
              <w:jc w:val="center"/>
              <w:textAlignment w:val="center"/>
              <w:rPr>
                <w:rFonts w:hint="eastAsia" w:ascii="汉仪中宋简" w:hAnsi="汉仪中宋简" w:eastAsia="汉仪中宋简" w:cs="汉仪中宋简"/>
                <w:i w:val="0"/>
                <w:iCs w:val="0"/>
                <w:color w:val="000000"/>
                <w:kern w:val="0"/>
                <w:sz w:val="20"/>
                <w:szCs w:val="20"/>
                <w:u w:val="none"/>
                <w:lang w:val="en-US" w:eastAsia="zh-CN" w:bidi="ar"/>
              </w:rPr>
            </w:pPr>
            <w:r>
              <w:rPr>
                <w:rFonts w:hint="default" w:ascii="Calibri" w:hAnsi="Calibri" w:eastAsia="宋体" w:cs="Calibri"/>
                <w:i w:val="0"/>
                <w:iCs w:val="0"/>
                <w:color w:val="000000"/>
                <w:kern w:val="0"/>
                <w:sz w:val="20"/>
                <w:szCs w:val="20"/>
                <w:u w:val="none"/>
                <w:lang w:val="en-US" w:eastAsia="zh-CN" w:bidi="ar"/>
              </w:rPr>
              <w:t>D.不够详细准确，存在很多困惑</w:t>
            </w:r>
          </w:p>
        </w:tc>
      </w:tr>
      <w:tr w14:paraId="2C27C12D">
        <w:trPr>
          <w:trHeight w:val="567" w:hRule="atLeast"/>
        </w:trPr>
        <w:tc>
          <w:tcPr>
            <w:tcW w:w="1592" w:type="dxa"/>
            <w:vMerge w:val="continue"/>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35C9E8B">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4679FA8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样本量</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7515069A">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rPr>
            </w:pPr>
            <w:r>
              <w:rPr>
                <w:rFonts w:hint="default" w:ascii="Calibri" w:hAnsi="Calibri" w:eastAsia="宋体" w:cs="Calibri"/>
                <w:i w:val="0"/>
                <w:iCs w:val="0"/>
                <w:color w:val="000000"/>
                <w:kern w:val="0"/>
                <w:sz w:val="20"/>
                <w:szCs w:val="20"/>
                <w:u w:val="none"/>
                <w:lang w:val="en-US" w:eastAsia="zh-CN" w:bidi="ar"/>
              </w:rPr>
              <w:t>817</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68EF1421">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725</w:t>
            </w:r>
          </w:p>
        </w:tc>
        <w:tc>
          <w:tcPr>
            <w:tcW w:w="1485"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2CD03ACD">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100</w:t>
            </w:r>
          </w:p>
        </w:tc>
        <w:tc>
          <w:tcPr>
            <w:tcW w:w="1488" w:type="dxa"/>
            <w:tcBorders>
              <w:top w:val="single" w:color="FEFEFE" w:sz="24" w:space="0"/>
              <w:left w:val="single" w:color="FEFEFE" w:sz="8" w:space="0"/>
              <w:bottom w:val="single" w:color="FEFEFE" w:sz="8" w:space="0"/>
              <w:right w:val="single" w:color="FEFEFE" w:sz="8" w:space="0"/>
            </w:tcBorders>
            <w:shd w:val="clear" w:color="auto" w:fill="D5E4F5"/>
            <w:noWrap/>
            <w:vAlign w:val="center"/>
          </w:tcPr>
          <w:p w14:paraId="0FDC580E">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0"/>
                <w:szCs w:val="20"/>
                <w:u w:val="none"/>
                <w:lang w:val="en-US"/>
              </w:rPr>
            </w:pPr>
            <w:r>
              <w:rPr>
                <w:rFonts w:hint="default" w:ascii="Calibri" w:hAnsi="Calibri" w:eastAsia="宋体" w:cs="Calibri"/>
                <w:i w:val="0"/>
                <w:iCs w:val="0"/>
                <w:color w:val="000000"/>
                <w:kern w:val="0"/>
                <w:sz w:val="20"/>
                <w:szCs w:val="20"/>
                <w:u w:val="none"/>
                <w:lang w:val="en-US" w:eastAsia="zh-CN" w:bidi="ar"/>
              </w:rPr>
              <w:t>0</w:t>
            </w:r>
          </w:p>
        </w:tc>
      </w:tr>
      <w:tr w14:paraId="16478118">
        <w:trPr>
          <w:trHeight w:val="567" w:hRule="atLeast"/>
        </w:trPr>
        <w:tc>
          <w:tcPr>
            <w:tcW w:w="1592" w:type="dxa"/>
            <w:vMerge w:val="continue"/>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FA9030D">
            <w:pPr>
              <w:jc w:val="center"/>
              <w:rPr>
                <w:rFonts w:hint="eastAsia" w:ascii="汉仪中宋简" w:hAnsi="汉仪中宋简" w:eastAsia="汉仪中宋简" w:cs="汉仪中宋简"/>
                <w:i w:val="0"/>
                <w:iCs w:val="0"/>
                <w:color w:val="000000"/>
                <w:sz w:val="20"/>
                <w:szCs w:val="20"/>
                <w:u w:val="none"/>
              </w:rPr>
            </w:pPr>
          </w:p>
        </w:tc>
        <w:tc>
          <w:tcPr>
            <w:tcW w:w="982"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FE33FF7">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占比</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637BD82C">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49.76%</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7A8F15A6">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44.15%</w:t>
            </w:r>
          </w:p>
        </w:tc>
        <w:tc>
          <w:tcPr>
            <w:tcW w:w="1485"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19F2ED03">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6.09%</w:t>
            </w:r>
          </w:p>
        </w:tc>
        <w:tc>
          <w:tcPr>
            <w:tcW w:w="1488" w:type="dxa"/>
            <w:tcBorders>
              <w:top w:val="single" w:color="FEFEFE" w:sz="8" w:space="0"/>
              <w:left w:val="single" w:color="FEFEFE" w:sz="8" w:space="0"/>
              <w:bottom w:val="single" w:color="FEFEFE" w:sz="8" w:space="0"/>
              <w:right w:val="single" w:color="FEFEFE" w:sz="8" w:space="0"/>
            </w:tcBorders>
            <w:shd w:val="clear" w:color="auto" w:fill="D5E4F5"/>
            <w:noWrap/>
            <w:vAlign w:val="center"/>
          </w:tcPr>
          <w:p w14:paraId="23FE4450">
            <w:pPr>
              <w:keepNext w:val="0"/>
              <w:keepLines w:val="0"/>
              <w:widowControl/>
              <w:suppressLineNumbers w:val="0"/>
              <w:jc w:val="center"/>
              <w:textAlignment w:val="center"/>
              <w:rPr>
                <w:rFonts w:hint="eastAsia" w:ascii="汉仪中宋简" w:hAnsi="汉仪中宋简" w:eastAsia="汉仪中宋简" w:cs="汉仪中宋简"/>
                <w:i w:val="0"/>
                <w:iCs w:val="0"/>
                <w:color w:val="000000"/>
                <w:sz w:val="22"/>
                <w:szCs w:val="22"/>
                <w:u w:val="none"/>
              </w:rPr>
            </w:pPr>
            <w:r>
              <w:rPr>
                <w:rFonts w:hint="default" w:ascii="Calibri" w:hAnsi="Calibri" w:eastAsia="宋体" w:cs="Calibri"/>
                <w:i w:val="0"/>
                <w:iCs w:val="0"/>
                <w:color w:val="000000"/>
                <w:kern w:val="0"/>
                <w:sz w:val="20"/>
                <w:szCs w:val="20"/>
                <w:u w:val="none"/>
                <w:lang w:val="en-US" w:eastAsia="zh-CN" w:bidi="ar"/>
              </w:rPr>
              <w:t>0.00%</w:t>
            </w:r>
          </w:p>
        </w:tc>
      </w:tr>
    </w:tbl>
    <w:p w14:paraId="63D4734D">
      <w:pPr>
        <w:rPr>
          <w:rFonts w:hint="eastAsia" w:ascii="汉仪中宋简" w:hAnsi="汉仪中宋简" w:eastAsia="汉仪中宋简" w:cs="汉仪中宋简"/>
          <w:sz w:val="24"/>
          <w:szCs w:val="32"/>
          <w:lang w:val="en-US" w:eastAsia="zh-CN"/>
        </w:rPr>
      </w:pPr>
    </w:p>
    <w:p w14:paraId="71D7FAEB">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r>
        <w:rPr>
          <w:rFonts w:hint="eastAsia" w:ascii="汉仪中宋简" w:hAnsi="汉仪中宋简" w:eastAsia="汉仪中宋简" w:cs="汉仪中宋简"/>
          <w:sz w:val="24"/>
          <w:szCs w:val="32"/>
          <w:lang w:val="en-US" w:eastAsia="zh-CN"/>
        </w:rPr>
        <w:t>专业的用药指导是保障患者安全用药的重要支撑，其详细准确性直接影响用药效果与安全性。调研显示，49.76%的患者认为当前获取的用药指导非常详细准确，能够解决所有用药疑问，说明医疗机构、药店等渠道提供的用药指导服务专业且全面，涵盖了服药时间、注意事项、不良反应应对措施等关键内容；44.15%的患者认为指导比较详细准确，能够解决大部分疑问，说明指导服务基本满足核心用药需求，仅存在少量细节问题未完全覆盖。两者合计占比93.91%，仅6.09%的患者认为部分疑问无法解答，整体反映出当前用药指导服务体系较为完善，能够为患者安全用药提供有效支撑。</w:t>
      </w:r>
    </w:p>
    <w:p w14:paraId="5953FD16">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p>
    <w:p w14:paraId="65F4DB5C">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sz w:val="24"/>
          <w:szCs w:val="32"/>
          <w:lang w:val="en-US" w:eastAsia="zh-CN"/>
        </w:rPr>
      </w:pPr>
    </w:p>
    <w:p w14:paraId="4E07A1E7">
      <w:pPr>
        <w:pStyle w:val="3"/>
        <w:keepNext/>
        <w:keepLines/>
        <w:pageBreakBefore w:val="0"/>
        <w:widowControl w:val="0"/>
        <w:numPr>
          <w:ilvl w:val="0"/>
          <w:numId w:val="1"/>
        </w:numPr>
        <w:kinsoku/>
        <w:wordWrap/>
        <w:overflowPunct/>
        <w:topLinePunct w:val="0"/>
        <w:autoSpaceDE/>
        <w:autoSpaceDN/>
        <w:bidi w:val="0"/>
        <w:adjustRightInd/>
        <w:snapToGrid/>
        <w:spacing w:line="720" w:lineRule="auto"/>
        <w:textAlignment w:val="auto"/>
        <w:outlineLvl w:val="0"/>
        <w:rPr>
          <w:rFonts w:hint="eastAsia" w:ascii="汉仪中宋简" w:hAnsi="汉仪中宋简" w:eastAsia="汉仪中宋简" w:cs="汉仪中宋简"/>
          <w:b/>
          <w:lang w:val="en-US" w:eastAsia="zh-CN"/>
        </w:rPr>
      </w:pPr>
      <w:bookmarkStart w:id="48" w:name="_Toc19608"/>
      <w:bookmarkStart w:id="49" w:name="_Toc696071356"/>
      <w:r>
        <w:rPr>
          <w:rFonts w:hint="eastAsia" w:ascii="汉仪中宋简" w:hAnsi="汉仪中宋简" w:eastAsia="汉仪中宋简" w:cs="汉仪中宋简"/>
          <w:b/>
          <w:lang w:val="en-US" w:eastAsia="zh-CN"/>
        </w:rPr>
        <w:t>调研结果</w:t>
      </w:r>
      <w:bookmarkEnd w:id="48"/>
      <w:bookmarkEnd w:id="49"/>
    </w:p>
    <w:p w14:paraId="038E1764">
      <w:pPr>
        <w:pStyle w:val="3"/>
        <w:bidi w:val="0"/>
        <w:rPr>
          <w:rFonts w:hint="eastAsia" w:ascii="汉仪中宋简" w:hAnsi="汉仪中宋简" w:eastAsia="汉仪中宋简" w:cs="汉仪中宋简"/>
          <w:lang w:val="en-US" w:eastAsia="zh-CN"/>
        </w:rPr>
      </w:pPr>
      <w:bookmarkStart w:id="50" w:name="_Toc7275"/>
      <w:bookmarkStart w:id="51" w:name="_Toc1527855083"/>
      <w:r>
        <w:rPr>
          <w:rFonts w:hint="eastAsia" w:ascii="汉仪中宋简" w:hAnsi="汉仪中宋简" w:eastAsia="汉仪中宋简" w:cs="汉仪中宋简"/>
          <w:lang w:val="en-US" w:eastAsia="zh-CN"/>
        </w:rPr>
        <w:t>5.1问卷重点问题分析</w:t>
      </w:r>
      <w:bookmarkEnd w:id="50"/>
      <w:bookmarkEnd w:id="51"/>
    </w:p>
    <w:p w14:paraId="435FF72E">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left"/>
        <w:textAlignment w:val="auto"/>
        <w:outlineLvl w:val="9"/>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ascii="汉仪中宋简" w:hAnsi="汉仪中宋简" w:eastAsia="汉仪中宋简"/>
          <w:b/>
          <w:sz w:val="24"/>
          <w:szCs w:val="24"/>
        </w:rPr>
        <w:t>1. 血压控制现状与特征</w:t>
      </w:r>
    </w:p>
    <w:p w14:paraId="02310A52">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ascii="汉仪中宋简" w:hAnsi="汉仪中宋简" w:eastAsia="汉仪中宋简"/>
          <w:sz w:val="24"/>
          <w:szCs w:val="24"/>
        </w:rPr>
        <w:t>在北京市患者样本中，围绕厄贝沙坦氢氯噻嗪片使用后的血压控制表现，患者反馈主要集中在“选项A”和“选项B”等正向感知选项，说明多数患者能够较清晰地感受到产品在长期控压中的稳定价值。这意味着产品的疗效体验并非停留在抽象认知层面，而是已经在真实用药过程中被患者转化为可感知、可复述的主观评价。与此同时，仍有少量反馈落在“选项D”等相对谨慎的选项上，提示个别患者在血压管理结果上仍存在波动感受。从重点问题角度看，这一题反映出的核心并不是产品是否具备降压价值，而是后续如何通过复诊沟通、监测教育与规范用药提醒，让已经形成的正向疗效体验进一步稳定下来，并减少少数患者在血压波动阶段的疑虑。</w:t>
      </w:r>
    </w:p>
    <w:p w14:paraId="100136A4">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left"/>
        <w:textAlignment w:val="auto"/>
        <w:outlineLvl w:val="9"/>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ascii="汉仪中宋简" w:hAnsi="汉仪中宋简" w:eastAsia="汉仪中宋简"/>
          <w:b/>
          <w:sz w:val="24"/>
          <w:szCs w:val="24"/>
        </w:rPr>
        <w:t>2. 药品价格接受度情况</w:t>
      </w:r>
    </w:p>
    <w:p w14:paraId="7E5CDE53">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r>
        <w:rPr>
          <w:rFonts w:ascii="汉仪中宋简" w:hAnsi="汉仪中宋简" w:eastAsia="汉仪中宋简"/>
          <w:sz w:val="24"/>
          <w:szCs w:val="24"/>
        </w:rPr>
        <w:t>在价格接受度这一重点问题上，患者反馈主要集中在“选项A”和“选项B”等可接受区间，说明厄贝沙坦氢氯噻嗪片在北京市的长期使用成本并未普遍构成障碍。这类结果的意义在于，患者对产品价值的认可并没有因为价格而被明显削弱，长期治疗的连续性因此具备较好的现实基础。同时，仍有少量患者落在“选项D”等相对保守的选项上，提示不同患者在长期负担感知上仍存在差异。对于慢病用药而言，价格不是单独存在的判断，而会直接影响患者是否愿意持续购药、是否能够长期坚持治疗。因此，这一重点题目所反映出的结论不仅是“价格总体可接受”，更是产品在长期管理场景中具备较强的经济可持续性，为稳定依从行为提供了重要支撑。</w:t>
      </w:r>
    </w:p>
    <w:p w14:paraId="472857A5">
      <w:pPr>
        <w:pStyle w:val="3"/>
        <w:bidi w:val="0"/>
        <w:rPr>
          <w:rFonts w:hint="eastAsia" w:ascii="汉仪中宋简" w:hAnsi="汉仪中宋简" w:eastAsia="汉仪中宋简" w:cs="汉仪中宋简"/>
          <w:b w:val="0"/>
          <w:bCs w:val="0"/>
          <w:color w:val="000000" w:themeColor="text1"/>
          <w:sz w:val="24"/>
          <w:szCs w:val="24"/>
          <w:highlight w:val="none"/>
          <w:lang w:val="en-US" w:eastAsia="zh-CN"/>
          <w14:textFill>
            <w14:solidFill>
              <w14:schemeClr w14:val="tx1"/>
            </w14:solidFill>
          </w14:textFill>
        </w:rPr>
      </w:pPr>
      <w:bookmarkStart w:id="52" w:name="_Toc25533"/>
      <w:bookmarkStart w:id="53" w:name="_Toc1198412802"/>
      <w:r>
        <w:rPr>
          <w:rFonts w:hint="eastAsia" w:ascii="汉仪中宋简" w:hAnsi="汉仪中宋简" w:eastAsia="汉仪中宋简" w:cs="汉仪中宋简"/>
          <w:highlight w:val="none"/>
          <w:lang w:val="en-US" w:eastAsia="zh-CN"/>
        </w:rPr>
        <w:t>5.2调研结果分析</w:t>
      </w:r>
      <w:bookmarkEnd w:id="52"/>
      <w:bookmarkEnd w:id="53"/>
    </w:p>
    <w:p w14:paraId="40A1FD76">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ascii="汉仪中宋简" w:hAnsi="汉仪中宋简" w:eastAsia="汉仪中宋简"/>
          <w:sz w:val="24"/>
          <w:szCs w:val="24"/>
        </w:rPr>
        <w:t>本次调研基于北京市患者样本开展，结合1789份有效问卷结果，对厄贝沙坦氢氯噻嗪片在真实使用过程中的疗效感知、安全性体验、用药行为、便利性、经济性、可及性以及信息支持情况进行了复盘。整体来看，患者反馈以正向、稳定为主，说明产品在长期慢病管理场景中已经形成较成熟的使用基础，但行为执行和信息确认环节仍存在继续优化空间。</w:t>
      </w:r>
    </w:p>
    <w:p w14:paraId="54DB6C37">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bCs/>
          <w:color w:val="000000" w:themeColor="text1"/>
          <w:kern w:val="2"/>
          <w:sz w:val="24"/>
          <w:szCs w:val="24"/>
          <w:highlight w:val="none"/>
          <w:lang w:val="en-US" w:eastAsia="zh-CN" w:bidi="ar-SA"/>
          <w14:textFill>
            <w14:solidFill>
              <w14:schemeClr w14:val="tx1"/>
            </w14:solidFill>
          </w14:textFill>
        </w:rPr>
      </w:pPr>
      <w:r>
        <w:rPr>
          <w:rFonts w:ascii="汉仪中宋简" w:hAnsi="汉仪中宋简" w:eastAsia="汉仪中宋简"/>
          <w:sz w:val="24"/>
          <w:szCs w:val="24"/>
        </w:rPr>
        <w:t>在疗效与安全性层面，反馈主要集中在“选项A”与“选项B”两类选项，说明患者对血压控制结果的感知总体较积极。同时，反馈主要集中在“选项A”与“选项B”两类选项，意味着患者并未将常见不适反应视为主要阻碍，产品在真实使用场景中的耐受性基础较好。</w:t>
      </w:r>
    </w:p>
    <w:p w14:paraId="5D03F8F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ascii="汉仪中宋简" w:hAnsi="汉仪中宋简" w:eastAsia="汉仪中宋简"/>
          <w:sz w:val="24"/>
          <w:szCs w:val="24"/>
        </w:rPr>
        <w:t>在用药行为与便利性层面，反馈主要集中在“选项A”与“选项B”两类选项，说明多数患者已经具备一定的规范意识，但在联合用药确认、监测频率和主动咨询等环节上仍可能存在执行松动。在便利性方面，反馈主要集中在“选项A”与“选项B”两类选项，反映出服药频率与包装设计整体上没有构成普遍阻力。</w:t>
      </w:r>
    </w:p>
    <w:p w14:paraId="3CFF8234">
      <w:pPr>
        <w:widowControl w:val="0"/>
        <w:snapToGrid/>
        <w:spacing w:before="0" w:after="0" w:line="600" w:lineRule="auto"/>
        <w:ind w:left="0" w:leftChars="0" w:right="0" w:rightChars="0" w:firstLine="480" w:firstLineChars="200"/>
        <w:jc w:val="both"/>
        <w:outlineLvl w:val="9"/>
      </w:pPr>
      <w:r>
        <w:rPr>
          <w:rFonts w:ascii="汉仪中宋简" w:hAnsi="汉仪中宋简" w:eastAsia="汉仪中宋简"/>
          <w:sz w:val="24"/>
          <w:szCs w:val="24"/>
        </w:rPr>
        <w:t>在经济性、可及性与信息支持层面，反馈主要集中在“选项A”与“选项B”两类选项，说明价格感知并未普遍构成持续治疗障碍；反馈主要集中在“选项A”与“选项B”两类选项，表明供应稳定性总体可控；反馈主要集中在“选项A”与“选项B”两类选项，则显示现有说明书与指导支持基本能够覆盖患者的基础理解需求。综合判断，厄贝沙坦氢氯噻嗪片在北京市已经具备较完整的正向使用基础，后续重点应放在加强行为执行、提升细分解释能力，以及补充联合用药和监测管理支持等服务动作上。</w:t>
      </w:r>
    </w:p>
    <w:p w14:paraId="352EFD12">
      <w:pPr>
        <w:pStyle w:val="3"/>
        <w:bidi w:val="0"/>
        <w:rPr>
          <w:rFonts w:hint="eastAsia" w:ascii="汉仪中宋简" w:hAnsi="汉仪中宋简" w:eastAsia="汉仪中宋简" w:cs="汉仪中宋简"/>
          <w:sz w:val="24"/>
          <w:szCs w:val="24"/>
          <w:highlight w:val="none"/>
          <w:lang w:val="en-US" w:eastAsia="zh-CN"/>
        </w:rPr>
      </w:pPr>
      <w:bookmarkStart w:id="54" w:name="_Toc4442"/>
      <w:bookmarkStart w:id="55" w:name="_Toc474838001"/>
      <w:r>
        <w:rPr>
          <w:rFonts w:hint="eastAsia" w:ascii="汉仪中宋简" w:hAnsi="汉仪中宋简" w:eastAsia="汉仪中宋简" w:cs="汉仪中宋简"/>
          <w:highlight w:val="none"/>
          <w:lang w:val="en-US" w:eastAsia="zh-CN"/>
        </w:rPr>
        <w:t>5.3建议</w:t>
      </w:r>
      <w:bookmarkEnd w:id="54"/>
      <w:bookmarkEnd w:id="55"/>
    </w:p>
    <w:p w14:paraId="1B2E2CF6">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结合调研结果，为进一步强化厄贝沙坦氢氯噻嗪片的临床应用效果，提升患者用药体验与安全性，围绕临床诊疗、药企优化服务维度提出以下建议：</w:t>
      </w:r>
    </w:p>
    <w:p w14:paraId="1B2B00F5">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1. 临床层面：聚焦用药规范性提升，强化精准教育干预。针对血压偶尔波动、用药不规范的重点群体，通过复诊一对一宣讲、线上科普短视频、患者手册等多种形式，重点强调剂量调整必须严格遵循医嘱，严禁自行根据主观感受调整剂量；针对联合用药患者，在开具处方时主动提醒并确认药物兼容性，定期梳理用药清单，规避药物相互作用风险；同时普及血压监测的重要性，指导患者选择合适的监测工具，养成“每周至少监测2-3次”的规律监测习惯，并记录监测数据，为治疗方案优化提供支撑。</w:t>
      </w:r>
    </w:p>
    <w:p w14:paraId="6087A099">
      <w:pPr>
        <w:keepNext w:val="0"/>
        <w:keepLines w:val="0"/>
        <w:pageBreakBefore w:val="0"/>
        <w:widowControl w:val="0"/>
        <w:numPr>
          <w:ilvl w:val="0"/>
          <w:numId w:val="0"/>
        </w:numPr>
        <w:kinsoku/>
        <w:wordWrap/>
        <w:overflowPunct/>
        <w:topLinePunct w:val="0"/>
        <w:autoSpaceDE/>
        <w:autoSpaceDN/>
        <w:bidi w:val="0"/>
        <w:adjustRightInd/>
        <w:snapToGrid/>
        <w:spacing w:before="0" w:after="0" w:line="600" w:lineRule="auto"/>
        <w:ind w:left="0" w:leftChars="0" w:right="0" w:rightChars="0" w:firstLine="480" w:firstLineChars="200"/>
        <w:jc w:val="both"/>
        <w:textAlignment w:val="auto"/>
        <w:outlineLvl w:val="9"/>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pPr>
      <w:r>
        <w:rPr>
          <w:rFonts w:hint="eastAsia" w:ascii="汉仪中宋简" w:hAnsi="汉仪中宋简" w:eastAsia="汉仪中宋简" w:cs="汉仪中宋简"/>
          <w:b w:val="0"/>
          <w:bCs w:val="0"/>
          <w:color w:val="000000" w:themeColor="text1"/>
          <w:kern w:val="2"/>
          <w:sz w:val="24"/>
          <w:szCs w:val="24"/>
          <w:highlight w:val="none"/>
          <w:lang w:val="en-US" w:eastAsia="zh-CN" w:bidi="ar-SA"/>
          <w14:textFill>
            <w14:solidFill>
              <w14:schemeClr w14:val="tx1"/>
            </w14:solidFill>
          </w14:textFill>
        </w:rPr>
        <w:t>2. 药企方面：持续优化产品细节，补充服务支撑体系。针对少数患者反映的包装取用问题，开展针对性调研，优化包装设计（如增加易撕口、推出分剂量包装等），提升使用便捷性；针对说明书中部分不明确内容，采用更通俗的语言表述，增加图文解读模块，降低患者理解难度；搭建官方线上咨询平台，组建专业药师团队，为患者提供个性化用药指导服务，补充现有指导渠道的不足，重点解答联合用药、不良反应应对等常见疑问。</w:t>
      </w:r>
    </w:p>
    <w:p w14:paraId="5D64DD0F">
      <w:pPr>
        <w:rPr>
          <w:rFonts w:hint="eastAsia" w:ascii="汉仪中宋简" w:hAnsi="汉仪中宋简" w:eastAsia="汉仪中宋简" w:cs="汉仪中宋简"/>
          <w:lang w:val="en-US" w:eastAsia="zh-CN"/>
        </w:rPr>
      </w:pPr>
      <w:bookmarkStart w:id="56" w:name="_Toc17910"/>
      <w:r>
        <w:rPr>
          <w:rFonts w:hint="eastAsia" w:ascii="汉仪中宋简" w:hAnsi="汉仪中宋简" w:eastAsia="汉仪中宋简" w:cs="汉仪中宋简"/>
          <w:lang w:val="en-US" w:eastAsia="zh-CN"/>
        </w:rPr>
        <w:br w:type="page"/>
      </w:r>
    </w:p>
    <w:p w14:paraId="4272D18C">
      <w:pPr>
        <w:pStyle w:val="2"/>
        <w:bidi w:val="0"/>
        <w:jc w:val="left"/>
        <w:rPr>
          <w:rFonts w:hint="eastAsia" w:ascii="汉仪中宋简" w:hAnsi="汉仪中宋简" w:eastAsia="汉仪中宋简" w:cs="汉仪中宋简"/>
          <w:lang w:val="en-US" w:eastAsia="zh-CN"/>
        </w:rPr>
      </w:pPr>
      <w:bookmarkStart w:id="57" w:name="_Toc553050555"/>
      <w:r>
        <w:rPr>
          <w:rFonts w:ascii="汉仪中宋简" w:hAnsi="汉仪中宋简" w:eastAsia="汉仪中宋简"/>
          <w:b/>
          <w:sz w:val="32"/>
          <w:szCs w:val="32"/>
        </w:rPr>
        <w:t>附件1：厄贝沙坦氢氯噻嗪片用药体验与疗效反馈患者调查问卷</w:t>
      </w:r>
      <w:bookmarkEnd w:id="56"/>
      <w:bookmarkEnd w:id="57"/>
    </w:p>
    <w:p w14:paraId="2E8DEDB6">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（1） 您服用厄贝沙坦氢氯噻嗪片后，血压控制效果如何？</w:t>
      </w:r>
    </w:p>
    <w:p w14:paraId="51B1E6B7">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1621726A">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734C03C0">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1EF2EEF5">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0135C658">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（2） 您服用厄贝沙坦氢氯噻嗪片期间，是否出现过头晕、头痛症状？</w:t>
      </w:r>
    </w:p>
    <w:p w14:paraId="489B2D81">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798FF666">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0852AFFE">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6C0BD1D6">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553AD510">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（3） 您服用厄贝沙坦氢氯噻嗪片期间，是否出现过口渴、多尿情况？</w:t>
      </w:r>
    </w:p>
    <w:p w14:paraId="231EAE40">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48435EE6">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72223125">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3AEC2488">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3E65845C">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（4） 您通常通过什么渠道购买厄贝沙坦氢氯噻嗪片？</w:t>
      </w:r>
    </w:p>
    <w:p w14:paraId="6451AFF7">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4917CD8D">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6169E832">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789871BB">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71EBE49B">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（5） 您认为厄贝沙坦氢氯噻嗪片的价格对您的用药负担影响如何？</w:t>
      </w:r>
    </w:p>
    <w:p w14:paraId="141AB4E5">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275294A0">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587DFDF2">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76309915">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02AC24AB">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（6） 您服用厄贝沙坦氢氯噻嗪片的剂量是否严格按照医嘱？</w:t>
      </w:r>
    </w:p>
    <w:p w14:paraId="346C5C70">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02AB4B5F">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2E036AF9">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6AEC6E8A">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3C3A429A">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（7） 您对厄贝沙坦氢氯噻嗪片的服药频率满意度如何？</w:t>
      </w:r>
    </w:p>
    <w:p w14:paraId="20D5FB7E">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0E961517">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17203EA3">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3D34D162">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48214D34">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（8） 您服用厄贝沙坦氢氯噻嗪片期间，是否同时服用其他降压药物？</w:t>
      </w:r>
    </w:p>
    <w:p w14:paraId="654475E6">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2107F177">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3EE32163">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26B30F1C">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5D4C6B70">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（9） 您是否咨询过医生，确认厄贝沙坦氢氯噻嗪片与其他药物可同时服用？</w:t>
      </w:r>
    </w:p>
    <w:p w14:paraId="6B6E73EB">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6CEE8EC3">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621C31D8">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0E1A28BE">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5DBE65EE">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（10） 您所在地区的厄贝沙坦氢氯噻嗪片供应是否稳定？</w:t>
      </w:r>
    </w:p>
    <w:p w14:paraId="34F5A43D">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1505C55C">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21A43418">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21E45BEE">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0CA1D80D">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（11） 您服用厄贝沙坦氢氯噻嗪片期间，是否定期监测血压？</w:t>
      </w:r>
    </w:p>
    <w:p w14:paraId="38FCB2B1">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75593FA8">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4719331A">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065FDD7E">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3D5562D7">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（12） 您对厄贝沙坦氢氯噻嗪片药品包装的便利性评价如何？</w:t>
      </w:r>
    </w:p>
    <w:p w14:paraId="465323E3">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613ACBCF">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56695752">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78DCF8E6">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23558461">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（13） 您对厄贝沙坦氢氯噻嗪片说明书中 “用法用量”“不良反应” 的标注清晰度评价如何？</w:t>
      </w:r>
    </w:p>
    <w:p w14:paraId="3FAA2EAB">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37A54EEA">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22014C35">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0EF139E7">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4CC7FA0B">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（14） 您认为当前获取的用药指导是否足够详细准确？</w:t>
      </w:r>
    </w:p>
    <w:p w14:paraId="4C0803DD">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A. 选项A</w:t>
      </w:r>
    </w:p>
    <w:p w14:paraId="02765D6E">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B. 选项B</w:t>
      </w:r>
    </w:p>
    <w:p w14:paraId="3A769E6C">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C. 选项C</w:t>
      </w:r>
    </w:p>
    <w:p w14:paraId="48DC944C">
      <w:pPr>
        <w:widowControl w:val="0"/>
        <w:snapToGrid/>
        <w:spacing w:before="0" w:after="0" w:line="480" w:lineRule="auto"/>
        <w:ind w:left="0" w:leftChars="0" w:right="0" w:rightChars="0" w:firstLine="480" w:firstLineChars="200"/>
        <w:jc w:val="both"/>
        <w:outlineLvl w:val="9"/>
        <w:rPr>
          <w:sz w:val="24"/>
          <w:szCs w:val="24"/>
        </w:rPr>
      </w:pPr>
      <w:r>
        <w:rPr>
          <w:rFonts w:ascii="汉仪中宋简" w:hAnsi="汉仪中宋简" w:eastAsia="汉仪中宋简"/>
          <w:sz w:val="24"/>
          <w:szCs w:val="24"/>
        </w:rPr>
        <w:t>D. 选项D</w:t>
      </w:r>
    </w:p>
    <w:p w14:paraId="503E510F">
      <w:pPr>
        <w:pStyle w:val="2"/>
        <w:bidi w:val="0"/>
        <w:rPr>
          <w:rFonts w:hint="eastAsia" w:ascii="汉仪中宋简" w:hAnsi="汉仪中宋简" w:eastAsia="汉仪中宋简" w:cs="汉仪中宋简"/>
          <w:highlight w:val="none"/>
          <w:lang w:val="en-US" w:eastAsia="zh-CN"/>
        </w:rPr>
      </w:pPr>
      <w:bookmarkStart w:id="58" w:name="_Toc22330"/>
      <w:bookmarkStart w:id="59" w:name="_Toc811453669"/>
    </w:p>
    <w:p w14:paraId="5D88F624">
      <w:pPr>
        <w:pStyle w:val="2"/>
        <w:bidi w:val="0"/>
        <w:rPr>
          <w:rFonts w:hint="eastAsia" w:ascii="汉仪中宋简" w:hAnsi="汉仪中宋简" w:eastAsia="汉仪中宋简" w:cs="汉仪中宋简"/>
          <w:highlight w:val="none"/>
          <w:lang w:val="en-US" w:eastAsia="zh-CN"/>
        </w:rPr>
      </w:pPr>
    </w:p>
    <w:p w14:paraId="7050A431">
      <w:pPr>
        <w:pStyle w:val="2"/>
        <w:bidi w:val="0"/>
        <w:rPr>
          <w:rFonts w:hint="eastAsia" w:ascii="汉仪中宋简" w:hAnsi="汉仪中宋简" w:eastAsia="汉仪中宋简" w:cs="汉仪中宋简"/>
          <w:highlight w:val="none"/>
          <w:lang w:val="en-US" w:eastAsia="zh-CN"/>
        </w:rPr>
      </w:pPr>
    </w:p>
    <w:p w14:paraId="15D784A6">
      <w:pPr>
        <w:pStyle w:val="2"/>
        <w:bidi w:val="0"/>
        <w:rPr>
          <w:rFonts w:hint="eastAsia" w:ascii="汉仪中宋简" w:hAnsi="汉仪中宋简" w:eastAsia="汉仪中宋简" w:cs="汉仪中宋简"/>
          <w:highlight w:val="none"/>
          <w:lang w:val="en-US" w:eastAsia="zh-CN"/>
        </w:rPr>
      </w:pPr>
    </w:p>
    <w:p w14:paraId="2020957A">
      <w:pPr>
        <w:pStyle w:val="2"/>
        <w:bidi w:val="0"/>
        <w:rPr>
          <w:rFonts w:hint="eastAsia" w:ascii="汉仪中宋简" w:hAnsi="汉仪中宋简" w:eastAsia="汉仪中宋简" w:cs="汉仪中宋简"/>
          <w:highlight w:val="none"/>
          <w:lang w:val="en-US" w:eastAsia="zh-CN"/>
        </w:rPr>
      </w:pPr>
    </w:p>
    <w:p w14:paraId="11EFE10A">
      <w:pPr>
        <w:bidi w:val="0"/>
        <w:rPr>
          <w:rFonts w:hint="eastAsia"/>
          <w:lang w:val="en-US" w:eastAsia="zh-CN"/>
        </w:rPr>
      </w:pPr>
    </w:p>
    <w:p w14:paraId="4B2045EC">
      <w:pPr>
        <w:bidi w:val="0"/>
        <w:rPr>
          <w:rFonts w:hint="eastAsia"/>
          <w:lang w:val="en-US" w:eastAsia="zh-CN"/>
        </w:rPr>
      </w:pPr>
      <w:bookmarkStart w:id="63" w:name="_GoBack"/>
      <w:bookmarkEnd w:id="63"/>
    </w:p>
    <w:p w14:paraId="683C6AC0">
      <w:pPr>
        <w:pStyle w:val="2"/>
        <w:bidi w:val="0"/>
        <w:rPr>
          <w:rFonts w:hint="eastAsia" w:ascii="汉仪中宋简" w:hAnsi="汉仪中宋简" w:eastAsia="汉仪中宋简" w:cs="汉仪中宋简"/>
          <w:highlight w:val="none"/>
          <w:lang w:val="en-US" w:eastAsia="zh-CN"/>
        </w:rPr>
      </w:pPr>
      <w:r>
        <w:rPr>
          <w:rFonts w:hint="eastAsia" w:ascii="汉仪中宋简" w:hAnsi="汉仪中宋简" w:eastAsia="汉仪中宋简" w:cs="汉仪中宋简"/>
          <w:highlight w:val="none"/>
          <w:lang w:val="en-US" w:eastAsia="zh-CN"/>
        </w:rPr>
        <w:t>附件2：问卷调查明细表</w:t>
      </w:r>
      <w:bookmarkEnd w:id="58"/>
      <w:bookmarkEnd w:id="59"/>
    </w:p>
    <w:p w14:paraId="6CD34407">
      <w:pPr>
        <w:widowControl w:val="0"/>
        <w:bidi w:val="0"/>
        <w:snapToGrid/>
        <w:spacing w:before="0" w:after="0" w:line="600" w:lineRule="auto"/>
        <w:ind w:left="0" w:leftChars="0" w:right="0" w:rightChars="0" w:firstLine="420" w:firstLineChars="200"/>
        <w:jc w:val="both"/>
        <w:outlineLvl w:val="9"/>
        <w:rPr>
          <w:rFonts w:hint="eastAsia" w:ascii="汉仪中宋简" w:hAnsi="汉仪中宋简" w:eastAsia="汉仪中宋简" w:cs="汉仪中宋简"/>
          <w:highlight w:val="none"/>
        </w:rPr>
      </w:pPr>
      <w:r>
        <w:t>01-1. 团队问卷调查明细-厄贝沙坦氢氯噻嗪片用药体验与疗效反馈-患者调查问卷(北京市)</w:t>
      </w:r>
    </w:p>
    <w:p w14:paraId="6A33FBAA">
      <w:pPr>
        <w:rPr>
          <w:rFonts w:hint="eastAsia" w:ascii="汉仪中宋简" w:hAnsi="汉仪中宋简" w:eastAsia="汉仪中宋简" w:cs="汉仪中宋简"/>
        </w:rPr>
      </w:pPr>
    </w:p>
    <w:p w14:paraId="61B638CE">
      <w:pPr>
        <w:rPr>
          <w:rFonts w:hint="eastAsia" w:ascii="汉仪中宋简" w:hAnsi="汉仪中宋简" w:eastAsia="汉仪中宋简" w:cs="汉仪中宋简"/>
        </w:rPr>
      </w:pPr>
    </w:p>
    <w:p w14:paraId="544422C2">
      <w:pPr>
        <w:rPr>
          <w:rFonts w:hint="eastAsia" w:ascii="汉仪中宋简" w:hAnsi="汉仪中宋简" w:eastAsia="汉仪中宋简" w:cs="汉仪中宋简"/>
        </w:rPr>
      </w:pPr>
      <w:r>
        <w:rPr>
          <w:rFonts w:hint="eastAsia" w:ascii="汉仪中宋简" w:hAnsi="汉仪中宋简" w:eastAsia="汉仪中宋简" w:cs="汉仪中宋简"/>
        </w:rPr>
        <w:br w:type="page"/>
      </w:r>
    </w:p>
    <w:p w14:paraId="6101B089">
      <w:pPr>
        <w:pStyle w:val="2"/>
        <w:bidi w:val="0"/>
        <w:jc w:val="center"/>
        <w:rPr>
          <w:rFonts w:hint="eastAsia" w:ascii="汉仪中宋简" w:hAnsi="汉仪中宋简" w:eastAsia="汉仪中宋简" w:cs="汉仪中宋简"/>
        </w:rPr>
      </w:pPr>
      <w:bookmarkStart w:id="60" w:name="_Toc30276"/>
      <w:bookmarkStart w:id="61" w:name="_Toc8154"/>
      <w:bookmarkStart w:id="62" w:name="_Toc1580656433"/>
      <w:r>
        <w:rPr>
          <w:rFonts w:hint="eastAsia" w:ascii="汉仪中宋简" w:hAnsi="汉仪中宋简" w:eastAsia="汉仪中宋简" w:cs="汉仪中宋简"/>
          <w:b/>
          <w:sz w:val="32"/>
          <w:szCs w:val="32"/>
        </w:rPr>
        <w:t>免责申明</w:t>
      </w:r>
      <w:bookmarkEnd w:id="60"/>
      <w:bookmarkEnd w:id="61"/>
      <w:bookmarkEnd w:id="62"/>
    </w:p>
    <w:p w14:paraId="5D943D93">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both"/>
        <w:textAlignment w:val="auto"/>
        <w:outlineLvl w:val="9"/>
        <w:rPr>
          <w:rFonts w:hint="eastAsia" w:ascii="汉仪中宋简" w:hAnsi="汉仪中宋简" w:eastAsia="汉仪中宋简" w:cs="汉仪中宋简"/>
          <w:sz w:val="24"/>
          <w:szCs w:val="24"/>
        </w:rPr>
      </w:pPr>
      <w:r>
        <w:rPr>
          <w:rFonts w:ascii="汉仪中宋简" w:hAnsi="汉仪中宋简" w:eastAsia="汉仪中宋简"/>
          <w:sz w:val="24"/>
          <w:szCs w:val="24"/>
        </w:rPr>
        <w:t>（1）本次调研项目以随机选取对象进行面对面调研，本次调研只对本次样本数据负责。</w:t>
      </w:r>
    </w:p>
    <w:p w14:paraId="262A001F">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both"/>
        <w:textAlignment w:val="auto"/>
        <w:outlineLvl w:val="9"/>
        <w:rPr>
          <w:rFonts w:hint="eastAsia" w:ascii="汉仪中宋简" w:hAnsi="汉仪中宋简" w:eastAsia="汉仪中宋简" w:cs="汉仪中宋简"/>
          <w:sz w:val="24"/>
          <w:szCs w:val="24"/>
        </w:rPr>
      </w:pPr>
      <w:r>
        <w:rPr>
          <w:rFonts w:ascii="汉仪中宋简" w:hAnsi="汉仪中宋简" w:eastAsia="汉仪中宋简"/>
          <w:sz w:val="24"/>
          <w:szCs w:val="24"/>
        </w:rPr>
        <w:t>（2）承接单位调研项目，是针对厄贝沙坦氢氯噻嗪片这一品种调研，并非指定厂家指定品种。</w:t>
      </w:r>
    </w:p>
    <w:p w14:paraId="3F3994F8">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both"/>
        <w:textAlignment w:val="auto"/>
        <w:outlineLvl w:val="9"/>
        <w:rPr>
          <w:rFonts w:hint="eastAsia" w:ascii="汉仪中宋简" w:hAnsi="汉仪中宋简" w:eastAsia="汉仪中宋简" w:cs="汉仪中宋简"/>
          <w:sz w:val="24"/>
          <w:szCs w:val="24"/>
        </w:rPr>
      </w:pPr>
      <w:r>
        <w:rPr>
          <w:rFonts w:ascii="汉仪中宋简" w:hAnsi="汉仪中宋简" w:eastAsia="汉仪中宋简"/>
          <w:sz w:val="24"/>
          <w:szCs w:val="24"/>
        </w:rPr>
        <w:t>（3）本次调研只针对调研区域数据负责，不代表全国调研数据。</w:t>
      </w:r>
    </w:p>
    <w:p w14:paraId="12ACD20B">
      <w:pPr>
        <w:spacing w:line="400" w:lineRule="exact"/>
        <w:rPr>
          <w:rFonts w:hint="eastAsia" w:ascii="汉仪中宋简" w:hAnsi="汉仪中宋简" w:eastAsia="汉仪中宋简" w:cs="汉仪中宋简"/>
        </w:rPr>
      </w:pPr>
    </w:p>
    <w:p w14:paraId="4A0BBAF2">
      <w:pPr>
        <w:spacing w:line="400" w:lineRule="exact"/>
        <w:rPr>
          <w:rFonts w:hint="eastAsia" w:ascii="汉仪中宋简" w:hAnsi="汉仪中宋简" w:eastAsia="汉仪中宋简" w:cs="汉仪中宋简"/>
        </w:rPr>
      </w:pPr>
    </w:p>
    <w:p w14:paraId="13580F1B">
      <w:pPr>
        <w:spacing w:line="400" w:lineRule="exact"/>
        <w:rPr>
          <w:rFonts w:hint="eastAsia" w:ascii="汉仪中宋简" w:hAnsi="汉仪中宋简" w:eastAsia="汉仪中宋简" w:cs="汉仪中宋简"/>
        </w:rPr>
      </w:pPr>
    </w:p>
    <w:p w14:paraId="1AF2960F">
      <w:pPr>
        <w:spacing w:line="400" w:lineRule="exact"/>
        <w:rPr>
          <w:rFonts w:hint="eastAsia" w:ascii="汉仪中宋简" w:hAnsi="汉仪中宋简" w:eastAsia="汉仪中宋简" w:cs="汉仪中宋简"/>
        </w:rPr>
      </w:pPr>
    </w:p>
    <w:p w14:paraId="47DCED2E">
      <w:pPr>
        <w:spacing w:line="400" w:lineRule="exact"/>
        <w:rPr>
          <w:rFonts w:hint="eastAsia" w:ascii="汉仪中宋简" w:hAnsi="汉仪中宋简" w:eastAsia="汉仪中宋简" w:cs="汉仪中宋简"/>
        </w:rPr>
      </w:pPr>
    </w:p>
    <w:p w14:paraId="22FC2F08">
      <w:pPr>
        <w:spacing w:line="400" w:lineRule="exact"/>
        <w:rPr>
          <w:rFonts w:hint="eastAsia" w:ascii="汉仪中宋简" w:hAnsi="汉仪中宋简" w:eastAsia="汉仪中宋简" w:cs="汉仪中宋简"/>
        </w:rPr>
      </w:pPr>
    </w:p>
    <w:p w14:paraId="2B71D7B4">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right"/>
        <w:textAlignment w:val="auto"/>
        <w:outlineLvl w:val="9"/>
        <w:rPr>
          <w:rFonts w:hint="eastAsia" w:ascii="汉仪中宋简" w:hAnsi="汉仪中宋简" w:eastAsia="汉仪中宋简" w:cs="汉仪中宋简"/>
          <w:sz w:val="24"/>
          <w:szCs w:val="24"/>
        </w:rPr>
      </w:pPr>
      <w:r>
        <w:rPr>
          <w:rFonts w:ascii="汉仪中宋简" w:hAnsi="汉仪中宋简" w:eastAsia="汉仪中宋简"/>
          <w:sz w:val="24"/>
          <w:szCs w:val="24"/>
        </w:rPr>
        <w:t>服务提供单位:北京玖麟空科技有限公司</w:t>
      </w:r>
    </w:p>
    <w:p w14:paraId="1D60D8EB">
      <w:pPr>
        <w:keepNext w:val="0"/>
        <w:keepLines w:val="0"/>
        <w:pageBreakBefore w:val="0"/>
        <w:widowControl w:val="0"/>
        <w:kinsoku/>
        <w:wordWrap/>
        <w:overflowPunct/>
        <w:topLinePunct w:val="0"/>
        <w:autoSpaceDE/>
        <w:autoSpaceDN/>
        <w:bidi w:val="0"/>
        <w:adjustRightInd/>
        <w:snapToGrid/>
        <w:spacing w:before="0" w:after="0" w:line="600" w:lineRule="auto"/>
        <w:ind w:left="0" w:leftChars="0" w:right="0" w:rightChars="0" w:firstLine="0" w:firstLineChars="0"/>
        <w:jc w:val="right"/>
        <w:textAlignment w:val="auto"/>
        <w:outlineLvl w:val="9"/>
        <w:rPr>
          <w:rFonts w:hint="eastAsia" w:ascii="汉仪中宋简" w:hAnsi="汉仪中宋简" w:eastAsia="汉仪中宋简" w:cs="汉仪中宋简"/>
          <w:lang w:val="en-US" w:eastAsia="zh-CN"/>
        </w:rPr>
      </w:pPr>
      <w:r>
        <w:rPr>
          <w:rFonts w:ascii="汉仪中宋简" w:hAnsi="汉仪中宋简" w:eastAsia="汉仪中宋简"/>
          <w:sz w:val="24"/>
          <w:szCs w:val="24"/>
        </w:rPr>
        <w:t>2025年11月14日</w:t>
      </w:r>
    </w:p>
    <w:sectPr>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decorative"/>
    <w:pitch w:val="default"/>
    <w:sig w:usb0="E0000AFF" w:usb1="00007843" w:usb2="00000001" w:usb3="00000000" w:csb0="400001BF" w:csb1="DFF70000"/>
    <w:embedRegular r:id="rId1" w:fontKey="{C3371109-2E5A-1E24-00D2-0E6A1A644864}"/>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粗黑简">
    <w:panose1 w:val="02010600000101010101"/>
    <w:charset w:val="86"/>
    <w:family w:val="auto"/>
    <w:pitch w:val="default"/>
    <w:sig w:usb0="00000001" w:usb1="080E0800" w:usb2="00000002" w:usb3="00000000" w:csb0="00040000" w:csb1="00000000"/>
  </w:font>
  <w:font w:name="汉仪中宋简">
    <w:panose1 w:val="02010600000101010101"/>
    <w:charset w:val="80"/>
    <w:family w:val="auto"/>
    <w:pitch w:val="default"/>
    <w:sig w:usb0="800002BF" w:usb1="184F6CF8" w:usb2="00000012" w:usb3="00000000" w:csb0="00020001" w:csb1="00000000"/>
    <w:embedRegular r:id="rId2" w:fontKey="{91E936BB-8B49-7805-00D2-0E6A9A9D775D}"/>
  </w:font>
  <w:font w:name="汉仪元隆黑-105简">
    <w:altName w:val="汉仪中黑KW"/>
    <w:panose1 w:val="00020600040101010101"/>
    <w:charset w:val="86"/>
    <w:family w:val="auto"/>
    <w:pitch w:val="default"/>
    <w:sig w:usb0="00000000" w:usb1="00000000" w:usb2="00000016" w:usb3="00000000" w:csb0="000400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儷宋 Pro">
    <w:panose1 w:val="02020300000000000000"/>
    <w:charset w:val="88"/>
    <w:family w:val="auto"/>
    <w:pitch w:val="default"/>
    <w:sig w:usb0="80000001" w:usb1="28091800" w:usb2="00000016"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3473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BE06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A88EBE">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CE882">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5A4DAF">
    <w:pPr>
      <w:pStyle w:val="6"/>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5D9F86">
                          <w:pPr>
                            <w:pStyle w:val="6"/>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55D9F86">
                    <w:pPr>
                      <w:pStyle w:val="6"/>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BE0B2">
    <w:pPr>
      <w:pStyle w:val="7"/>
      <w:pBdr>
        <w:bottom w:val="single" w:color="auto" w:sz="4" w:space="1"/>
      </w:pBdr>
      <w:rPr>
        <w:rFonts w:hint="default"/>
        <w:lang w:val="en-US" w:eastAsia="zh-CN"/>
      </w:rPr>
    </w:pPr>
    <w:r>
      <w:rPr>
        <w:rFonts w:hint="eastAsia"/>
        <w:lang w:val="en-US" w:eastAsia="zh-CN"/>
      </w:rPr>
      <w:t>问卷调研分析报告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BA6D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128A2"/>
    <w:multiLevelType w:val="singleLevel"/>
    <w:tmpl w:val="BAA128A2"/>
    <w:lvl w:ilvl="0" w:tentative="0">
      <w:start w:val="1"/>
      <w:numFmt w:val="decimal"/>
      <w:lvlText w:val="(%1)"/>
      <w:lvlJc w:val="left"/>
      <w:pPr>
        <w:ind w:left="425" w:hanging="425"/>
      </w:pPr>
      <w:rPr>
        <w:rFonts w:hint="default"/>
      </w:rPr>
    </w:lvl>
  </w:abstractNum>
  <w:abstractNum w:abstractNumId="1">
    <w:nsid w:val="C8B9116B"/>
    <w:multiLevelType w:val="singleLevel"/>
    <w:tmpl w:val="C8B9116B"/>
    <w:lvl w:ilvl="0" w:tentative="0">
      <w:start w:val="1"/>
      <w:numFmt w:val="decimal"/>
      <w:lvlText w:val="(%1)"/>
      <w:lvlJc w:val="left"/>
      <w:pPr>
        <w:ind w:left="425" w:hanging="425"/>
      </w:pPr>
      <w:rPr>
        <w:rFonts w:hint="default"/>
      </w:rPr>
    </w:lvl>
  </w:abstractNum>
  <w:abstractNum w:abstractNumId="2">
    <w:nsid w:val="1108D3A0"/>
    <w:multiLevelType w:val="singleLevel"/>
    <w:tmpl w:val="1108D3A0"/>
    <w:lvl w:ilvl="0" w:tentative="0">
      <w:start w:val="1"/>
      <w:numFmt w:val="decimal"/>
      <w:lvlText w:val="(%1)"/>
      <w:lvlJc w:val="left"/>
      <w:pPr>
        <w:ind w:left="425" w:hanging="425"/>
      </w:pPr>
      <w:rPr>
        <w:rFonts w:hint="default"/>
      </w:rPr>
    </w:lvl>
  </w:abstractNum>
  <w:abstractNum w:abstractNumId="3">
    <w:nsid w:val="2D9BC5AA"/>
    <w:multiLevelType w:val="singleLevel"/>
    <w:tmpl w:val="2D9BC5AA"/>
    <w:lvl w:ilvl="0" w:tentative="0">
      <w:start w:val="1"/>
      <w:numFmt w:val="chineseCounting"/>
      <w:suff w:val="nothing"/>
      <w:lvlText w:val="%1、"/>
      <w:lvlJc w:val="left"/>
      <w:rPr>
        <w:rFonts w:hint="eastAsia"/>
      </w:rPr>
    </w:lvl>
  </w:abstractNum>
  <w:abstractNum w:abstractNumId="4">
    <w:nsid w:val="30E93D70"/>
    <w:multiLevelType w:val="singleLevel"/>
    <w:tmpl w:val="30E93D70"/>
    <w:lvl w:ilvl="0" w:tentative="0">
      <w:start w:val="1"/>
      <w:numFmt w:val="decimal"/>
      <w:lvlText w:val="(%1)"/>
      <w:lvlJc w:val="left"/>
      <w:pPr>
        <w:ind w:left="425" w:hanging="425"/>
      </w:pPr>
      <w:rPr>
        <w:rFonts w:hint="default"/>
      </w:rPr>
    </w:lvl>
  </w:abstractNum>
  <w:abstractNum w:abstractNumId="5">
    <w:nsid w:val="364EF7CF"/>
    <w:multiLevelType w:val="singleLevel"/>
    <w:tmpl w:val="364EF7CF"/>
    <w:lvl w:ilvl="0" w:tentative="0">
      <w:start w:val="1"/>
      <w:numFmt w:val="decimal"/>
      <w:lvlText w:val="(%1)"/>
      <w:lvlJc w:val="left"/>
      <w:pPr>
        <w:ind w:left="425" w:hanging="425"/>
      </w:pPr>
      <w:rPr>
        <w:rFonts w:hint="default"/>
      </w:rPr>
    </w:lvl>
  </w:abstractNum>
  <w:abstractNum w:abstractNumId="6">
    <w:nsid w:val="4CC8A90B"/>
    <w:multiLevelType w:val="singleLevel"/>
    <w:tmpl w:val="4CC8A90B"/>
    <w:lvl w:ilvl="0" w:tentative="0">
      <w:start w:val="1"/>
      <w:numFmt w:val="decimal"/>
      <w:lvlText w:val="(%1)"/>
      <w:lvlJc w:val="left"/>
      <w:pPr>
        <w:ind w:left="425" w:hanging="425"/>
      </w:pPr>
      <w:rPr>
        <w:rFonts w:hint="default"/>
      </w:rPr>
    </w:lvl>
  </w:abstractNum>
  <w:abstractNum w:abstractNumId="7">
    <w:nsid w:val="76A2585A"/>
    <w:multiLevelType w:val="singleLevel"/>
    <w:tmpl w:val="76A2585A"/>
    <w:lvl w:ilvl="0" w:tentative="0">
      <w:start w:val="1"/>
      <w:numFmt w:val="decimal"/>
      <w:lvlText w:val="(%1)"/>
      <w:lvlJc w:val="left"/>
      <w:pPr>
        <w:ind w:left="425" w:hanging="425"/>
      </w:pPr>
      <w:rPr>
        <w:rFonts w:hint="default"/>
      </w:rPr>
    </w:lvl>
  </w:abstractNum>
  <w:num w:numId="1">
    <w:abstractNumId w:val="3"/>
  </w:num>
  <w:num w:numId="2">
    <w:abstractNumId w:val="5"/>
  </w:num>
  <w:num w:numId="3">
    <w:abstractNumId w:val="0"/>
  </w:num>
  <w:num w:numId="4">
    <w:abstractNumId w:val="7"/>
  </w:num>
  <w:num w:numId="5">
    <w:abstractNumId w:val="1"/>
  </w:num>
  <w:num w:numId="6">
    <w:abstractNumId w:val="6"/>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Y5ZGQ5ZWQ1MmJhMGZkNmYwMjg3MjM4MGI4MGE3YjQifQ=="/>
  </w:docVars>
  <w:rsids>
    <w:rsidRoot w:val="00172A27"/>
    <w:rsid w:val="00115AC3"/>
    <w:rsid w:val="003A6B66"/>
    <w:rsid w:val="006E0802"/>
    <w:rsid w:val="00870763"/>
    <w:rsid w:val="00A566D5"/>
    <w:rsid w:val="00A80AAC"/>
    <w:rsid w:val="00B87A8B"/>
    <w:rsid w:val="00D5688F"/>
    <w:rsid w:val="00DF3269"/>
    <w:rsid w:val="00F143F4"/>
    <w:rsid w:val="011473B7"/>
    <w:rsid w:val="014E5AB0"/>
    <w:rsid w:val="015D278A"/>
    <w:rsid w:val="01761E20"/>
    <w:rsid w:val="01921BA8"/>
    <w:rsid w:val="01B071AF"/>
    <w:rsid w:val="01F9628B"/>
    <w:rsid w:val="0224362A"/>
    <w:rsid w:val="022D1E3A"/>
    <w:rsid w:val="023451DC"/>
    <w:rsid w:val="028D7F54"/>
    <w:rsid w:val="02A1111E"/>
    <w:rsid w:val="02A14C7A"/>
    <w:rsid w:val="02A66735"/>
    <w:rsid w:val="02C44BAF"/>
    <w:rsid w:val="034E3B00"/>
    <w:rsid w:val="03A91663"/>
    <w:rsid w:val="04511E3D"/>
    <w:rsid w:val="04DF7CDC"/>
    <w:rsid w:val="04E92909"/>
    <w:rsid w:val="04F068B8"/>
    <w:rsid w:val="050339CA"/>
    <w:rsid w:val="051C1B5A"/>
    <w:rsid w:val="05322502"/>
    <w:rsid w:val="0559183C"/>
    <w:rsid w:val="055F2BCB"/>
    <w:rsid w:val="056B3129"/>
    <w:rsid w:val="058F34B0"/>
    <w:rsid w:val="05C018BB"/>
    <w:rsid w:val="05E90CD0"/>
    <w:rsid w:val="05EA06E6"/>
    <w:rsid w:val="0616772D"/>
    <w:rsid w:val="06484524"/>
    <w:rsid w:val="06512D33"/>
    <w:rsid w:val="067A14B5"/>
    <w:rsid w:val="0680104B"/>
    <w:rsid w:val="06A37841"/>
    <w:rsid w:val="07234289"/>
    <w:rsid w:val="0768220B"/>
    <w:rsid w:val="07D94EB6"/>
    <w:rsid w:val="081E2791"/>
    <w:rsid w:val="08455529"/>
    <w:rsid w:val="08471B07"/>
    <w:rsid w:val="0893471C"/>
    <w:rsid w:val="08A019CA"/>
    <w:rsid w:val="08A116F6"/>
    <w:rsid w:val="08C81683"/>
    <w:rsid w:val="08D97F17"/>
    <w:rsid w:val="08F71A98"/>
    <w:rsid w:val="09185D37"/>
    <w:rsid w:val="091E6200"/>
    <w:rsid w:val="09291197"/>
    <w:rsid w:val="09772BD9"/>
    <w:rsid w:val="09DC6722"/>
    <w:rsid w:val="0A0F696E"/>
    <w:rsid w:val="0A576E8B"/>
    <w:rsid w:val="0A5B0B52"/>
    <w:rsid w:val="0AB63A17"/>
    <w:rsid w:val="0B1F33EE"/>
    <w:rsid w:val="0B494101"/>
    <w:rsid w:val="0B500BE0"/>
    <w:rsid w:val="0B767ABF"/>
    <w:rsid w:val="0B8F622A"/>
    <w:rsid w:val="0B9124F0"/>
    <w:rsid w:val="0BA17A09"/>
    <w:rsid w:val="0C0A7D34"/>
    <w:rsid w:val="0C3B4EC0"/>
    <w:rsid w:val="0C4C20FB"/>
    <w:rsid w:val="0C6831D4"/>
    <w:rsid w:val="0C935725"/>
    <w:rsid w:val="0CB06EE6"/>
    <w:rsid w:val="0CB84064"/>
    <w:rsid w:val="0CE05F94"/>
    <w:rsid w:val="0CE642FD"/>
    <w:rsid w:val="0D305579"/>
    <w:rsid w:val="0D642486"/>
    <w:rsid w:val="0D8B6C53"/>
    <w:rsid w:val="0D9E5A21"/>
    <w:rsid w:val="0DE60CCA"/>
    <w:rsid w:val="0E1327A4"/>
    <w:rsid w:val="0E2A1FC8"/>
    <w:rsid w:val="0E353822"/>
    <w:rsid w:val="0E7B6CC7"/>
    <w:rsid w:val="0E937761"/>
    <w:rsid w:val="0EA855E3"/>
    <w:rsid w:val="0EBB1744"/>
    <w:rsid w:val="0EC37DD2"/>
    <w:rsid w:val="0F120ABD"/>
    <w:rsid w:val="0F1D3EC4"/>
    <w:rsid w:val="0F24110D"/>
    <w:rsid w:val="0F7F00F1"/>
    <w:rsid w:val="0FCB3337"/>
    <w:rsid w:val="0FDD21EC"/>
    <w:rsid w:val="0FDF6DE2"/>
    <w:rsid w:val="10366FB9"/>
    <w:rsid w:val="103C5FE2"/>
    <w:rsid w:val="107F04D7"/>
    <w:rsid w:val="10B36F25"/>
    <w:rsid w:val="10BD5D42"/>
    <w:rsid w:val="10CB381A"/>
    <w:rsid w:val="10E0013B"/>
    <w:rsid w:val="115577AF"/>
    <w:rsid w:val="116636F0"/>
    <w:rsid w:val="116C28F7"/>
    <w:rsid w:val="11765524"/>
    <w:rsid w:val="118F39F0"/>
    <w:rsid w:val="11923F5B"/>
    <w:rsid w:val="11FD79F3"/>
    <w:rsid w:val="12217B86"/>
    <w:rsid w:val="12A7643B"/>
    <w:rsid w:val="12E865C3"/>
    <w:rsid w:val="12F9379A"/>
    <w:rsid w:val="130A686C"/>
    <w:rsid w:val="132F1E2E"/>
    <w:rsid w:val="139A199E"/>
    <w:rsid w:val="13AB5686"/>
    <w:rsid w:val="13F24D75"/>
    <w:rsid w:val="14184FB8"/>
    <w:rsid w:val="1495298C"/>
    <w:rsid w:val="14B71CD0"/>
    <w:rsid w:val="14C376F9"/>
    <w:rsid w:val="14F450DE"/>
    <w:rsid w:val="150F1F18"/>
    <w:rsid w:val="15183504"/>
    <w:rsid w:val="1574621E"/>
    <w:rsid w:val="15BC31A1"/>
    <w:rsid w:val="15C50828"/>
    <w:rsid w:val="15CF16A7"/>
    <w:rsid w:val="15D46CBD"/>
    <w:rsid w:val="15F10C2F"/>
    <w:rsid w:val="160F1869"/>
    <w:rsid w:val="165C118C"/>
    <w:rsid w:val="165D2B8A"/>
    <w:rsid w:val="16751C00"/>
    <w:rsid w:val="16CA259A"/>
    <w:rsid w:val="16D90A2F"/>
    <w:rsid w:val="16E3365C"/>
    <w:rsid w:val="1731510D"/>
    <w:rsid w:val="177E552D"/>
    <w:rsid w:val="17852965"/>
    <w:rsid w:val="17930E82"/>
    <w:rsid w:val="17E56F60"/>
    <w:rsid w:val="17F15FAE"/>
    <w:rsid w:val="1816180F"/>
    <w:rsid w:val="18165BC0"/>
    <w:rsid w:val="181F19E3"/>
    <w:rsid w:val="18277578"/>
    <w:rsid w:val="18512847"/>
    <w:rsid w:val="185A0482"/>
    <w:rsid w:val="186C7681"/>
    <w:rsid w:val="187A7FF0"/>
    <w:rsid w:val="188A386F"/>
    <w:rsid w:val="18A87A9A"/>
    <w:rsid w:val="18DA45EA"/>
    <w:rsid w:val="18F17B89"/>
    <w:rsid w:val="190175E5"/>
    <w:rsid w:val="194B7296"/>
    <w:rsid w:val="195920A9"/>
    <w:rsid w:val="19B906A4"/>
    <w:rsid w:val="19F94F44"/>
    <w:rsid w:val="1A813C91"/>
    <w:rsid w:val="1ACC5A4B"/>
    <w:rsid w:val="1AFB72AE"/>
    <w:rsid w:val="1B0D514B"/>
    <w:rsid w:val="1B281F85"/>
    <w:rsid w:val="1B652C55"/>
    <w:rsid w:val="1B8847D2"/>
    <w:rsid w:val="1BDE4794"/>
    <w:rsid w:val="1BE13EE2"/>
    <w:rsid w:val="1BE67E80"/>
    <w:rsid w:val="1BF26033"/>
    <w:rsid w:val="1C1F7144"/>
    <w:rsid w:val="1C2002B7"/>
    <w:rsid w:val="1C33298F"/>
    <w:rsid w:val="1C636C39"/>
    <w:rsid w:val="1C7106F0"/>
    <w:rsid w:val="1CA53161"/>
    <w:rsid w:val="1CB533A4"/>
    <w:rsid w:val="1CEF446B"/>
    <w:rsid w:val="1CF531D1"/>
    <w:rsid w:val="1D3544E5"/>
    <w:rsid w:val="1D945A3B"/>
    <w:rsid w:val="1DAB29F9"/>
    <w:rsid w:val="1DBA5174"/>
    <w:rsid w:val="1DC046F7"/>
    <w:rsid w:val="1DF61EC7"/>
    <w:rsid w:val="1E116D00"/>
    <w:rsid w:val="1E124D0F"/>
    <w:rsid w:val="1E15334A"/>
    <w:rsid w:val="1E6E1383"/>
    <w:rsid w:val="1E6E272B"/>
    <w:rsid w:val="1E814709"/>
    <w:rsid w:val="1EA01E32"/>
    <w:rsid w:val="1EAC5247"/>
    <w:rsid w:val="1EDC730E"/>
    <w:rsid w:val="1F370A48"/>
    <w:rsid w:val="1F4367BC"/>
    <w:rsid w:val="1FBA3134"/>
    <w:rsid w:val="1FE951F7"/>
    <w:rsid w:val="203A6774"/>
    <w:rsid w:val="208A1A2D"/>
    <w:rsid w:val="208F215E"/>
    <w:rsid w:val="209C2AB0"/>
    <w:rsid w:val="20A83220"/>
    <w:rsid w:val="20E57FD0"/>
    <w:rsid w:val="215E4EE8"/>
    <w:rsid w:val="21B463FC"/>
    <w:rsid w:val="21DD6EFA"/>
    <w:rsid w:val="21DF298D"/>
    <w:rsid w:val="21E45038"/>
    <w:rsid w:val="225418B2"/>
    <w:rsid w:val="225F0C79"/>
    <w:rsid w:val="22761828"/>
    <w:rsid w:val="229E48DB"/>
    <w:rsid w:val="22B97967"/>
    <w:rsid w:val="22D36C7A"/>
    <w:rsid w:val="22FD5AA5"/>
    <w:rsid w:val="232272BA"/>
    <w:rsid w:val="233B6F8E"/>
    <w:rsid w:val="236D16F9"/>
    <w:rsid w:val="23767606"/>
    <w:rsid w:val="23A70B19"/>
    <w:rsid w:val="23B4085A"/>
    <w:rsid w:val="23CD191B"/>
    <w:rsid w:val="23DE7F31"/>
    <w:rsid w:val="23E80503"/>
    <w:rsid w:val="23EB1DA2"/>
    <w:rsid w:val="24343749"/>
    <w:rsid w:val="243451F1"/>
    <w:rsid w:val="24637B8A"/>
    <w:rsid w:val="247D37DD"/>
    <w:rsid w:val="24816262"/>
    <w:rsid w:val="24AD5661"/>
    <w:rsid w:val="24BB1774"/>
    <w:rsid w:val="24FF3D57"/>
    <w:rsid w:val="25501043"/>
    <w:rsid w:val="2572277A"/>
    <w:rsid w:val="259E22CD"/>
    <w:rsid w:val="25C32FD6"/>
    <w:rsid w:val="25F61A23"/>
    <w:rsid w:val="264B4D7A"/>
    <w:rsid w:val="267F0A80"/>
    <w:rsid w:val="267F462A"/>
    <w:rsid w:val="26914DED"/>
    <w:rsid w:val="26D60AE7"/>
    <w:rsid w:val="26FE3B9A"/>
    <w:rsid w:val="27BF157B"/>
    <w:rsid w:val="28100433"/>
    <w:rsid w:val="281236EF"/>
    <w:rsid w:val="2818512F"/>
    <w:rsid w:val="284B1152"/>
    <w:rsid w:val="28547D0B"/>
    <w:rsid w:val="285642D5"/>
    <w:rsid w:val="286F399E"/>
    <w:rsid w:val="28956780"/>
    <w:rsid w:val="289A78F2"/>
    <w:rsid w:val="28B9246E"/>
    <w:rsid w:val="28E42C08"/>
    <w:rsid w:val="2901038D"/>
    <w:rsid w:val="29115675"/>
    <w:rsid w:val="299762DC"/>
    <w:rsid w:val="29CB0601"/>
    <w:rsid w:val="2A14048F"/>
    <w:rsid w:val="2A2B5E5C"/>
    <w:rsid w:val="2A3049B2"/>
    <w:rsid w:val="2A451994"/>
    <w:rsid w:val="2A522B7B"/>
    <w:rsid w:val="2A6E1037"/>
    <w:rsid w:val="2A8B3997"/>
    <w:rsid w:val="2AAB7789"/>
    <w:rsid w:val="2ABE3D6C"/>
    <w:rsid w:val="2ADA00F5"/>
    <w:rsid w:val="2AEC6B2B"/>
    <w:rsid w:val="2B1E7CFB"/>
    <w:rsid w:val="2B282108"/>
    <w:rsid w:val="2B2B291F"/>
    <w:rsid w:val="2B413AB8"/>
    <w:rsid w:val="2B6052C0"/>
    <w:rsid w:val="2B65243A"/>
    <w:rsid w:val="2BA54F2C"/>
    <w:rsid w:val="2BC1575F"/>
    <w:rsid w:val="2BF04D49"/>
    <w:rsid w:val="2C277C1E"/>
    <w:rsid w:val="2C2E0A7D"/>
    <w:rsid w:val="2C686611"/>
    <w:rsid w:val="2C691F08"/>
    <w:rsid w:val="2C752B50"/>
    <w:rsid w:val="2CBC6463"/>
    <w:rsid w:val="2CC11743"/>
    <w:rsid w:val="2CD2650A"/>
    <w:rsid w:val="2CD51B1F"/>
    <w:rsid w:val="2D1F65F8"/>
    <w:rsid w:val="2D5E1836"/>
    <w:rsid w:val="2D67693D"/>
    <w:rsid w:val="2D821BBD"/>
    <w:rsid w:val="2D8F19F0"/>
    <w:rsid w:val="2DBA2F11"/>
    <w:rsid w:val="2DD218DC"/>
    <w:rsid w:val="2DD647D7"/>
    <w:rsid w:val="2DF4043C"/>
    <w:rsid w:val="2E2204B6"/>
    <w:rsid w:val="2E4E18AB"/>
    <w:rsid w:val="2E7A61FC"/>
    <w:rsid w:val="2E8762A6"/>
    <w:rsid w:val="2E882855"/>
    <w:rsid w:val="2E9F64F2"/>
    <w:rsid w:val="2EC102CF"/>
    <w:rsid w:val="2EC90F31"/>
    <w:rsid w:val="2ED3341D"/>
    <w:rsid w:val="2ED3590C"/>
    <w:rsid w:val="2EED10C4"/>
    <w:rsid w:val="2F0361F1"/>
    <w:rsid w:val="2F4F58DB"/>
    <w:rsid w:val="2FA15A0A"/>
    <w:rsid w:val="2FAA1469"/>
    <w:rsid w:val="301A16BC"/>
    <w:rsid w:val="3034105F"/>
    <w:rsid w:val="303F76FD"/>
    <w:rsid w:val="308A4FF7"/>
    <w:rsid w:val="30A27C8C"/>
    <w:rsid w:val="30EC0F07"/>
    <w:rsid w:val="3135465C"/>
    <w:rsid w:val="315E4CA9"/>
    <w:rsid w:val="31692558"/>
    <w:rsid w:val="31807FCD"/>
    <w:rsid w:val="318501E2"/>
    <w:rsid w:val="31945827"/>
    <w:rsid w:val="31D64091"/>
    <w:rsid w:val="31EA69B8"/>
    <w:rsid w:val="32220A03"/>
    <w:rsid w:val="3244724D"/>
    <w:rsid w:val="3281224F"/>
    <w:rsid w:val="32B029E9"/>
    <w:rsid w:val="32DA2ABE"/>
    <w:rsid w:val="32E93950"/>
    <w:rsid w:val="32FD11AA"/>
    <w:rsid w:val="33114C55"/>
    <w:rsid w:val="33153347"/>
    <w:rsid w:val="332E1CAB"/>
    <w:rsid w:val="33963E2B"/>
    <w:rsid w:val="33A04957"/>
    <w:rsid w:val="33A1247D"/>
    <w:rsid w:val="33AB32FB"/>
    <w:rsid w:val="33F14D68"/>
    <w:rsid w:val="33FE78CF"/>
    <w:rsid w:val="34362F96"/>
    <w:rsid w:val="346A2C09"/>
    <w:rsid w:val="346D235F"/>
    <w:rsid w:val="346F60D7"/>
    <w:rsid w:val="34B260C8"/>
    <w:rsid w:val="34BF705E"/>
    <w:rsid w:val="34D523DE"/>
    <w:rsid w:val="34D80120"/>
    <w:rsid w:val="34E22D4D"/>
    <w:rsid w:val="354B26A0"/>
    <w:rsid w:val="359A460D"/>
    <w:rsid w:val="35BF4E3C"/>
    <w:rsid w:val="35E84393"/>
    <w:rsid w:val="363B2715"/>
    <w:rsid w:val="36606EC6"/>
    <w:rsid w:val="368247AC"/>
    <w:rsid w:val="37184804"/>
    <w:rsid w:val="371E0070"/>
    <w:rsid w:val="372E4027"/>
    <w:rsid w:val="376734F4"/>
    <w:rsid w:val="379921C2"/>
    <w:rsid w:val="37EA4306"/>
    <w:rsid w:val="384D672F"/>
    <w:rsid w:val="39002FB3"/>
    <w:rsid w:val="390C0398"/>
    <w:rsid w:val="390E2362"/>
    <w:rsid w:val="390E2462"/>
    <w:rsid w:val="39170C92"/>
    <w:rsid w:val="391D4354"/>
    <w:rsid w:val="392E47B3"/>
    <w:rsid w:val="395466E3"/>
    <w:rsid w:val="39921705"/>
    <w:rsid w:val="39A678B1"/>
    <w:rsid w:val="39DC77C9"/>
    <w:rsid w:val="39EC1AC0"/>
    <w:rsid w:val="3A0F5F29"/>
    <w:rsid w:val="3A1F5EA9"/>
    <w:rsid w:val="3A295F9B"/>
    <w:rsid w:val="3A2C3979"/>
    <w:rsid w:val="3A4B6C9E"/>
    <w:rsid w:val="3A5C70FE"/>
    <w:rsid w:val="3A7D5381"/>
    <w:rsid w:val="3ACA5A0A"/>
    <w:rsid w:val="3AEC66D3"/>
    <w:rsid w:val="3AFA0DF0"/>
    <w:rsid w:val="3B4D0803"/>
    <w:rsid w:val="3B64626A"/>
    <w:rsid w:val="3BDE6803"/>
    <w:rsid w:val="3C08753D"/>
    <w:rsid w:val="3C495460"/>
    <w:rsid w:val="3C5502A8"/>
    <w:rsid w:val="3C5E2583"/>
    <w:rsid w:val="3C687FDC"/>
    <w:rsid w:val="3C6E6982"/>
    <w:rsid w:val="3C862FBA"/>
    <w:rsid w:val="3C991F43"/>
    <w:rsid w:val="3D381350"/>
    <w:rsid w:val="3D780336"/>
    <w:rsid w:val="3D803103"/>
    <w:rsid w:val="3D8A5D30"/>
    <w:rsid w:val="3DA825AF"/>
    <w:rsid w:val="3DC47C3F"/>
    <w:rsid w:val="3DEB4A20"/>
    <w:rsid w:val="3DF257B2"/>
    <w:rsid w:val="3DF77869"/>
    <w:rsid w:val="3E086884"/>
    <w:rsid w:val="3E734A16"/>
    <w:rsid w:val="3EA82911"/>
    <w:rsid w:val="3EDF6E6B"/>
    <w:rsid w:val="3F0965F9"/>
    <w:rsid w:val="3F0E5A67"/>
    <w:rsid w:val="3F2C09B1"/>
    <w:rsid w:val="3F740A45"/>
    <w:rsid w:val="3F8B219C"/>
    <w:rsid w:val="3FB456CB"/>
    <w:rsid w:val="407C4056"/>
    <w:rsid w:val="40D02F9B"/>
    <w:rsid w:val="40EE08A2"/>
    <w:rsid w:val="40EF4858"/>
    <w:rsid w:val="40F1696F"/>
    <w:rsid w:val="40F2256A"/>
    <w:rsid w:val="40FE0993"/>
    <w:rsid w:val="412224FD"/>
    <w:rsid w:val="41362456"/>
    <w:rsid w:val="41384420"/>
    <w:rsid w:val="41A53138"/>
    <w:rsid w:val="41B132F0"/>
    <w:rsid w:val="41F540C0"/>
    <w:rsid w:val="41F8593B"/>
    <w:rsid w:val="4230130C"/>
    <w:rsid w:val="424F183F"/>
    <w:rsid w:val="42636F27"/>
    <w:rsid w:val="42664FBD"/>
    <w:rsid w:val="426B5FFB"/>
    <w:rsid w:val="42772A73"/>
    <w:rsid w:val="42A65516"/>
    <w:rsid w:val="42C910A8"/>
    <w:rsid w:val="42F9198D"/>
    <w:rsid w:val="42FC167C"/>
    <w:rsid w:val="43217136"/>
    <w:rsid w:val="433F7758"/>
    <w:rsid w:val="439B2A45"/>
    <w:rsid w:val="43A54F96"/>
    <w:rsid w:val="43CC0E50"/>
    <w:rsid w:val="44590106"/>
    <w:rsid w:val="44625310"/>
    <w:rsid w:val="44831180"/>
    <w:rsid w:val="44C8711D"/>
    <w:rsid w:val="45151F83"/>
    <w:rsid w:val="453E18DA"/>
    <w:rsid w:val="455235D7"/>
    <w:rsid w:val="460743C1"/>
    <w:rsid w:val="46380A1F"/>
    <w:rsid w:val="463827CD"/>
    <w:rsid w:val="469228C4"/>
    <w:rsid w:val="46965745"/>
    <w:rsid w:val="46EA1201"/>
    <w:rsid w:val="471274C2"/>
    <w:rsid w:val="47AD0F98"/>
    <w:rsid w:val="47B0504B"/>
    <w:rsid w:val="47EF74AA"/>
    <w:rsid w:val="48233009"/>
    <w:rsid w:val="486309CF"/>
    <w:rsid w:val="48735D3E"/>
    <w:rsid w:val="488B0FC5"/>
    <w:rsid w:val="488C6E00"/>
    <w:rsid w:val="48950BDB"/>
    <w:rsid w:val="48A92658"/>
    <w:rsid w:val="48CB154A"/>
    <w:rsid w:val="48E82B89"/>
    <w:rsid w:val="48F350D1"/>
    <w:rsid w:val="49115557"/>
    <w:rsid w:val="49155047"/>
    <w:rsid w:val="49254325"/>
    <w:rsid w:val="49675177"/>
    <w:rsid w:val="49A01D61"/>
    <w:rsid w:val="49EB2377"/>
    <w:rsid w:val="4A1277D9"/>
    <w:rsid w:val="4A26699A"/>
    <w:rsid w:val="4A8A4B54"/>
    <w:rsid w:val="4ACC3E2B"/>
    <w:rsid w:val="4ACC47A3"/>
    <w:rsid w:val="4B052E99"/>
    <w:rsid w:val="4B1E132F"/>
    <w:rsid w:val="4B27776C"/>
    <w:rsid w:val="4B3519D1"/>
    <w:rsid w:val="4B35552D"/>
    <w:rsid w:val="4B9A5CD8"/>
    <w:rsid w:val="4BA64CEC"/>
    <w:rsid w:val="4BBB5B68"/>
    <w:rsid w:val="4BBE6EC5"/>
    <w:rsid w:val="4BC25D7D"/>
    <w:rsid w:val="4BC74433"/>
    <w:rsid w:val="4BDE7972"/>
    <w:rsid w:val="4BE8259F"/>
    <w:rsid w:val="4C0516D1"/>
    <w:rsid w:val="4C194E4E"/>
    <w:rsid w:val="4C2757BD"/>
    <w:rsid w:val="4C4F3C91"/>
    <w:rsid w:val="4C5A2FDC"/>
    <w:rsid w:val="4C680B4F"/>
    <w:rsid w:val="4C7347DE"/>
    <w:rsid w:val="4C8F6EBF"/>
    <w:rsid w:val="4CA30308"/>
    <w:rsid w:val="4CB67BF1"/>
    <w:rsid w:val="4CE622C3"/>
    <w:rsid w:val="4D1A2C2C"/>
    <w:rsid w:val="4D2C6110"/>
    <w:rsid w:val="4D357A66"/>
    <w:rsid w:val="4D7560B4"/>
    <w:rsid w:val="4D8E53C8"/>
    <w:rsid w:val="4DA92202"/>
    <w:rsid w:val="4DD51249"/>
    <w:rsid w:val="4E6E7AAD"/>
    <w:rsid w:val="4E946A0E"/>
    <w:rsid w:val="4EB81536"/>
    <w:rsid w:val="4EBB2485"/>
    <w:rsid w:val="4ECA19FE"/>
    <w:rsid w:val="4EE21425"/>
    <w:rsid w:val="4EEF1E97"/>
    <w:rsid w:val="4F1870FF"/>
    <w:rsid w:val="4F801EFF"/>
    <w:rsid w:val="4FAE58AE"/>
    <w:rsid w:val="4FC77E70"/>
    <w:rsid w:val="5019366F"/>
    <w:rsid w:val="5019541D"/>
    <w:rsid w:val="50266224"/>
    <w:rsid w:val="5031074C"/>
    <w:rsid w:val="504E6532"/>
    <w:rsid w:val="506A793C"/>
    <w:rsid w:val="50AC6075"/>
    <w:rsid w:val="50FD0F68"/>
    <w:rsid w:val="511B6F73"/>
    <w:rsid w:val="512E185C"/>
    <w:rsid w:val="514C730E"/>
    <w:rsid w:val="518670D6"/>
    <w:rsid w:val="51A46F68"/>
    <w:rsid w:val="51D535C6"/>
    <w:rsid w:val="51EA18B0"/>
    <w:rsid w:val="52197E96"/>
    <w:rsid w:val="52224331"/>
    <w:rsid w:val="522B7478"/>
    <w:rsid w:val="523A78CD"/>
    <w:rsid w:val="52616BAE"/>
    <w:rsid w:val="52A01E26"/>
    <w:rsid w:val="52AF16AD"/>
    <w:rsid w:val="52B72CCB"/>
    <w:rsid w:val="52B9474D"/>
    <w:rsid w:val="52FB3500"/>
    <w:rsid w:val="530879CB"/>
    <w:rsid w:val="53702DD7"/>
    <w:rsid w:val="538C6936"/>
    <w:rsid w:val="53A6376C"/>
    <w:rsid w:val="543C16DA"/>
    <w:rsid w:val="54BD27CE"/>
    <w:rsid w:val="54D943F6"/>
    <w:rsid w:val="55452810"/>
    <w:rsid w:val="55FC3817"/>
    <w:rsid w:val="562C1C22"/>
    <w:rsid w:val="56777156"/>
    <w:rsid w:val="568F4D4F"/>
    <w:rsid w:val="56927CD7"/>
    <w:rsid w:val="56AB0D99"/>
    <w:rsid w:val="56B75990"/>
    <w:rsid w:val="56C105BC"/>
    <w:rsid w:val="56C43C09"/>
    <w:rsid w:val="56D02B61"/>
    <w:rsid w:val="56D6406E"/>
    <w:rsid w:val="570A1F63"/>
    <w:rsid w:val="571C7539"/>
    <w:rsid w:val="572B1EDA"/>
    <w:rsid w:val="578A6C00"/>
    <w:rsid w:val="5797131D"/>
    <w:rsid w:val="57997088"/>
    <w:rsid w:val="57B819BF"/>
    <w:rsid w:val="57EA3B43"/>
    <w:rsid w:val="58022C3B"/>
    <w:rsid w:val="58490869"/>
    <w:rsid w:val="58690AF4"/>
    <w:rsid w:val="58920462"/>
    <w:rsid w:val="589917F1"/>
    <w:rsid w:val="58D63E23"/>
    <w:rsid w:val="59082C0D"/>
    <w:rsid w:val="59142C25"/>
    <w:rsid w:val="59367D0E"/>
    <w:rsid w:val="596E218B"/>
    <w:rsid w:val="59BB284B"/>
    <w:rsid w:val="59D03FE9"/>
    <w:rsid w:val="5A0802B0"/>
    <w:rsid w:val="5A647BDD"/>
    <w:rsid w:val="5A820063"/>
    <w:rsid w:val="5AAC3332"/>
    <w:rsid w:val="5AB242ED"/>
    <w:rsid w:val="5AD3266C"/>
    <w:rsid w:val="5AD84127"/>
    <w:rsid w:val="5AF01470"/>
    <w:rsid w:val="5B0E7B48"/>
    <w:rsid w:val="5B172023"/>
    <w:rsid w:val="5BCA2D15"/>
    <w:rsid w:val="5BD60CC0"/>
    <w:rsid w:val="5C1019F3"/>
    <w:rsid w:val="5C1A6503"/>
    <w:rsid w:val="5C3F41AF"/>
    <w:rsid w:val="5CB12E81"/>
    <w:rsid w:val="5CB62246"/>
    <w:rsid w:val="5CF547EA"/>
    <w:rsid w:val="5CF8285E"/>
    <w:rsid w:val="5D37510F"/>
    <w:rsid w:val="5DD111E4"/>
    <w:rsid w:val="5E0E058B"/>
    <w:rsid w:val="5E17280A"/>
    <w:rsid w:val="5E4F2952"/>
    <w:rsid w:val="5E7B54F5"/>
    <w:rsid w:val="5EA80B24"/>
    <w:rsid w:val="5F5D4BFA"/>
    <w:rsid w:val="5F97635E"/>
    <w:rsid w:val="5FA06419"/>
    <w:rsid w:val="5FCC55B0"/>
    <w:rsid w:val="5FD72BFF"/>
    <w:rsid w:val="5FE74F09"/>
    <w:rsid w:val="5FF3766A"/>
    <w:rsid w:val="601C5F42"/>
    <w:rsid w:val="60363DC9"/>
    <w:rsid w:val="60483AFC"/>
    <w:rsid w:val="60966616"/>
    <w:rsid w:val="60A254D6"/>
    <w:rsid w:val="60A50A50"/>
    <w:rsid w:val="60D158A0"/>
    <w:rsid w:val="60D66C28"/>
    <w:rsid w:val="611413BC"/>
    <w:rsid w:val="61706E67"/>
    <w:rsid w:val="61717761"/>
    <w:rsid w:val="619E09FC"/>
    <w:rsid w:val="61BE4076"/>
    <w:rsid w:val="61EA5B50"/>
    <w:rsid w:val="623460E6"/>
    <w:rsid w:val="62DA46B0"/>
    <w:rsid w:val="62F87114"/>
    <w:rsid w:val="630006BE"/>
    <w:rsid w:val="634E142A"/>
    <w:rsid w:val="636522D0"/>
    <w:rsid w:val="636C365E"/>
    <w:rsid w:val="637349EC"/>
    <w:rsid w:val="63814E23"/>
    <w:rsid w:val="63846BFA"/>
    <w:rsid w:val="638E7A78"/>
    <w:rsid w:val="63B868A3"/>
    <w:rsid w:val="63CE0DB5"/>
    <w:rsid w:val="63D80CF3"/>
    <w:rsid w:val="63DD630A"/>
    <w:rsid w:val="63DE39EA"/>
    <w:rsid w:val="63F278A5"/>
    <w:rsid w:val="64656A2B"/>
    <w:rsid w:val="64A70DF2"/>
    <w:rsid w:val="651D5558"/>
    <w:rsid w:val="65646CE3"/>
    <w:rsid w:val="65E34872"/>
    <w:rsid w:val="65E73470"/>
    <w:rsid w:val="65ED067A"/>
    <w:rsid w:val="662621EA"/>
    <w:rsid w:val="66383CCB"/>
    <w:rsid w:val="669E0B88"/>
    <w:rsid w:val="670F6369"/>
    <w:rsid w:val="674072DB"/>
    <w:rsid w:val="674E7C4A"/>
    <w:rsid w:val="675039C2"/>
    <w:rsid w:val="676239C8"/>
    <w:rsid w:val="681349F0"/>
    <w:rsid w:val="681C5653"/>
    <w:rsid w:val="68AA0BDE"/>
    <w:rsid w:val="68D91796"/>
    <w:rsid w:val="68ED3493"/>
    <w:rsid w:val="68F04A29"/>
    <w:rsid w:val="690031C6"/>
    <w:rsid w:val="6904760A"/>
    <w:rsid w:val="69146D78"/>
    <w:rsid w:val="6984366B"/>
    <w:rsid w:val="69A71894"/>
    <w:rsid w:val="69CE6E20"/>
    <w:rsid w:val="69D361E5"/>
    <w:rsid w:val="69E72CD3"/>
    <w:rsid w:val="69F10D61"/>
    <w:rsid w:val="6A186A78"/>
    <w:rsid w:val="6A253BE6"/>
    <w:rsid w:val="6A2931E3"/>
    <w:rsid w:val="6A505A87"/>
    <w:rsid w:val="6A660130"/>
    <w:rsid w:val="6A891E90"/>
    <w:rsid w:val="6A9E228F"/>
    <w:rsid w:val="6B2F7D93"/>
    <w:rsid w:val="6B347157"/>
    <w:rsid w:val="6B6317EA"/>
    <w:rsid w:val="6B637901"/>
    <w:rsid w:val="6B8C0A69"/>
    <w:rsid w:val="6B8E1A00"/>
    <w:rsid w:val="6BE7241B"/>
    <w:rsid w:val="6C18484A"/>
    <w:rsid w:val="6C5555D7"/>
    <w:rsid w:val="6C72358B"/>
    <w:rsid w:val="6CA566B8"/>
    <w:rsid w:val="6CC4275D"/>
    <w:rsid w:val="6CDE2113"/>
    <w:rsid w:val="6CF941B4"/>
    <w:rsid w:val="6D0A2D4D"/>
    <w:rsid w:val="6D490B0E"/>
    <w:rsid w:val="6D633D24"/>
    <w:rsid w:val="6D934572"/>
    <w:rsid w:val="6DEC3D19"/>
    <w:rsid w:val="6DF36E56"/>
    <w:rsid w:val="6E0472B5"/>
    <w:rsid w:val="6E206F36"/>
    <w:rsid w:val="6E531FEA"/>
    <w:rsid w:val="6E7C07ED"/>
    <w:rsid w:val="6EAC0452"/>
    <w:rsid w:val="6ECD3B4B"/>
    <w:rsid w:val="6ECD58F9"/>
    <w:rsid w:val="6F343BCA"/>
    <w:rsid w:val="6FE3114C"/>
    <w:rsid w:val="70195673"/>
    <w:rsid w:val="702A0B29"/>
    <w:rsid w:val="703A6FBE"/>
    <w:rsid w:val="706202C3"/>
    <w:rsid w:val="70742EB9"/>
    <w:rsid w:val="70A97C9F"/>
    <w:rsid w:val="70AB1C6A"/>
    <w:rsid w:val="70B84386"/>
    <w:rsid w:val="70DC13F2"/>
    <w:rsid w:val="712612F0"/>
    <w:rsid w:val="712A2783"/>
    <w:rsid w:val="71687B5B"/>
    <w:rsid w:val="717C1858"/>
    <w:rsid w:val="719C3171"/>
    <w:rsid w:val="71C56D5B"/>
    <w:rsid w:val="71CB12E6"/>
    <w:rsid w:val="71E01DE7"/>
    <w:rsid w:val="71EF192C"/>
    <w:rsid w:val="72226E67"/>
    <w:rsid w:val="723D0FE7"/>
    <w:rsid w:val="72926649"/>
    <w:rsid w:val="72C00BD6"/>
    <w:rsid w:val="72C07522"/>
    <w:rsid w:val="737347AD"/>
    <w:rsid w:val="73B46F4E"/>
    <w:rsid w:val="73C92407"/>
    <w:rsid w:val="73D370C8"/>
    <w:rsid w:val="74510D7A"/>
    <w:rsid w:val="7479207F"/>
    <w:rsid w:val="748A7EA3"/>
    <w:rsid w:val="74F13F7F"/>
    <w:rsid w:val="754937FF"/>
    <w:rsid w:val="755B7C06"/>
    <w:rsid w:val="758533AB"/>
    <w:rsid w:val="75A82C1C"/>
    <w:rsid w:val="75C760F4"/>
    <w:rsid w:val="76636A51"/>
    <w:rsid w:val="76A51D5C"/>
    <w:rsid w:val="76C92E49"/>
    <w:rsid w:val="76EE5DC1"/>
    <w:rsid w:val="771F16B2"/>
    <w:rsid w:val="7726029C"/>
    <w:rsid w:val="77366005"/>
    <w:rsid w:val="773E13B6"/>
    <w:rsid w:val="779F3BAA"/>
    <w:rsid w:val="77C935C3"/>
    <w:rsid w:val="77E12415"/>
    <w:rsid w:val="77EF7A8A"/>
    <w:rsid w:val="77F35CA4"/>
    <w:rsid w:val="78006D3F"/>
    <w:rsid w:val="78223F07"/>
    <w:rsid w:val="784B788E"/>
    <w:rsid w:val="785D684A"/>
    <w:rsid w:val="78CE219D"/>
    <w:rsid w:val="78DF4BA6"/>
    <w:rsid w:val="79037CBC"/>
    <w:rsid w:val="79116D2A"/>
    <w:rsid w:val="791441C7"/>
    <w:rsid w:val="795B557D"/>
    <w:rsid w:val="79681B1A"/>
    <w:rsid w:val="79B4687C"/>
    <w:rsid w:val="79D833A4"/>
    <w:rsid w:val="7A596CDF"/>
    <w:rsid w:val="7B226FCC"/>
    <w:rsid w:val="7BA563C1"/>
    <w:rsid w:val="7BED0F1C"/>
    <w:rsid w:val="7C16029D"/>
    <w:rsid w:val="7C421F6C"/>
    <w:rsid w:val="7C7840F4"/>
    <w:rsid w:val="7C943EFA"/>
    <w:rsid w:val="7CB41EA6"/>
    <w:rsid w:val="7CBB44DD"/>
    <w:rsid w:val="7D5A0C9F"/>
    <w:rsid w:val="7D5D078F"/>
    <w:rsid w:val="7D6436AF"/>
    <w:rsid w:val="7D851A94"/>
    <w:rsid w:val="7D895DFA"/>
    <w:rsid w:val="7DBB1900"/>
    <w:rsid w:val="7DBD5782"/>
    <w:rsid w:val="7E645B88"/>
    <w:rsid w:val="7E857F9E"/>
    <w:rsid w:val="7E861620"/>
    <w:rsid w:val="7EE12CFA"/>
    <w:rsid w:val="7F4172A6"/>
    <w:rsid w:val="7F437511"/>
    <w:rsid w:val="7F4C286A"/>
    <w:rsid w:val="7FA103A4"/>
    <w:rsid w:val="7FC05B1E"/>
    <w:rsid w:val="9DDEC778"/>
    <w:rsid w:val="DBFF0965"/>
    <w:rsid w:val="DCFF2206"/>
    <w:rsid w:val="F1F32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semiHidden/>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semiHidden/>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autoRedefine/>
    <w:semiHidden/>
    <w:qFormat/>
    <w:uiPriority w:val="0"/>
  </w:style>
  <w:style w:type="table" w:default="1" w:styleId="11">
    <w:name w:val="Normal Table"/>
    <w:autoRedefin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autoRedefine/>
    <w:qFormat/>
    <w:uiPriority w:val="0"/>
  </w:style>
  <w:style w:type="paragraph" w:styleId="9">
    <w:name w:val="toc 2"/>
    <w:basedOn w:val="1"/>
    <w:next w:val="1"/>
    <w:qFormat/>
    <w:uiPriority w:val="0"/>
    <w:pPr>
      <w:ind w:left="420" w:leftChars="200"/>
    </w:pPr>
  </w:style>
  <w:style w:type="paragraph" w:styleId="10">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autoRedefine/>
    <w:qFormat/>
    <w:uiPriority w:val="0"/>
    <w:rPr>
      <w:b/>
    </w:rPr>
  </w:style>
  <w:style w:type="character" w:styleId="14">
    <w:name w:val="Emphasis"/>
    <w:basedOn w:val="12"/>
    <w:autoRedefine/>
    <w:qFormat/>
    <w:uiPriority w:val="0"/>
    <w:rPr>
      <w:i/>
    </w:rPr>
  </w:style>
  <w:style w:type="paragraph" w:customStyle="1" w:styleId="15">
    <w:name w:val="WPSOffice手动目录 1"/>
    <w:autoRedefine/>
    <w:qFormat/>
    <w:uiPriority w:val="0"/>
    <w:pPr>
      <w:ind w:leftChars="0"/>
    </w:pPr>
    <w:rPr>
      <w:rFonts w:ascii="Times New Roman" w:hAnsi="Times New Roman" w:eastAsia="宋体" w:cs="Times New Roman"/>
      <w:sz w:val="20"/>
      <w:szCs w:val="20"/>
    </w:rPr>
  </w:style>
  <w:style w:type="character" w:customStyle="1" w:styleId="16">
    <w:name w:val="font01"/>
    <w:basedOn w:val="12"/>
    <w:autoRedefine/>
    <w:qFormat/>
    <w:uiPriority w:val="0"/>
    <w:rPr>
      <w:rFonts w:hint="default" w:ascii="Arial" w:hAnsi="Arial" w:cs="Arial"/>
      <w:color w:val="000000"/>
      <w:sz w:val="20"/>
      <w:szCs w:val="20"/>
      <w:u w:val="none"/>
    </w:rPr>
  </w:style>
  <w:style w:type="character" w:customStyle="1" w:styleId="17">
    <w:name w:val="font11"/>
    <w:basedOn w:val="12"/>
    <w:autoRedefine/>
    <w:qFormat/>
    <w:uiPriority w:val="0"/>
    <w:rPr>
      <w:rFonts w:hint="eastAsia" w:ascii="宋体" w:hAnsi="宋体" w:eastAsia="宋体" w:cs="宋体"/>
      <w:color w:val="000000"/>
      <w:sz w:val="20"/>
      <w:szCs w:val="20"/>
      <w:u w:val="none"/>
    </w:rPr>
  </w:style>
  <w:style w:type="character" w:customStyle="1" w:styleId="18">
    <w:name w:val="font31"/>
    <w:basedOn w:val="12"/>
    <w:autoRedefine/>
    <w:qFormat/>
    <w:uiPriority w:val="0"/>
    <w:rPr>
      <w:rFonts w:hint="eastAsia" w:ascii="宋体" w:hAnsi="宋体" w:eastAsia="宋体" w:cs="宋体"/>
      <w:color w:val="000000"/>
      <w:sz w:val="20"/>
      <w:szCs w:val="20"/>
      <w:u w:val="none"/>
    </w:rPr>
  </w:style>
  <w:style w:type="character" w:customStyle="1" w:styleId="19">
    <w:name w:val="font41"/>
    <w:basedOn w:val="12"/>
    <w:autoRedefine/>
    <w:qFormat/>
    <w:uiPriority w:val="0"/>
    <w:rPr>
      <w:rFonts w:hint="eastAsia" w:ascii="宋体" w:hAnsi="宋体" w:eastAsia="宋体" w:cs="宋体"/>
      <w:b/>
      <w:bCs/>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www.wps.cn/officeDocument/2018/webExtension" Target="webExtensions/webExtension1.xml"/><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webExtensions/_rels/webExtension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package" Target="../embeddings/Workbook1.xlsx"/></Relationships>
</file>

<file path=word/webExtensions/webExtension1.xml><?xml version="1.0" encoding="utf-8"?>
<wpswe:webExtension xmlns:wpswe="http://www.wps.cn/officeDocument/2018/webExtension" xmlns:webet="https://web.wps.cn/et/2018/main" webet:type="Normal" type="0" webet:id="">
  <wpswe:extSource id="dschart" version="1.0"/>
  <wpswe:properties>
    <wpswe:property key="DiscardFirstCodeChange" value="0"/>
    <wpswe:property key="autoSnapshot" value="0"/>
    <wpswe:property key="dschart" value="{&quot;dschart_data&quot;:{&quot;blockId&quot;:&quot;161243067158731941&quot;,&quot;chart_type&quot;:&quot;饼图&quot;,&quot;classifty_type&quot;:[&quot;占比类&quot;],&quot;dataSrc&quot;:{&quot;data&quot;:[[[&quot;属性&quot;,&quot;值&quot;],[&quot;药品疗效&quot;,&quot;7%&quot;],[&quot;药品安全性&quot;,&quot;14%&quot;],[&quot;用药行为与习惯&quot;,&quot;37%&quot;],[&quot;用药便利性&quot;,&quot;14%&quot;],[&quot;药品经济性&quot;,&quot;7%&quot;],[&quot;药品可及性&quot;,&quot;7%&quot;],[&quot;用药指导信息评价&quot;,&quot;14%&quot;]]],&quot;dataType&quot;:&quot;obejct-table&quot;,&quot;download&quot;:false,&quot;srcType&quot;:&quot;local&quot;,&quot;url&quot;:&quot;&quot;},&quot;function_type&quot;:[&quot;饼图&quot;],&quot;gif&quot;:&quot;//web.docer.wpscdn.cn/docer/ds-page/images/444746070325460997.gif?imageView2/2/w/500/quality/90&quot;,&quot;index&quot;:1,&quot;isFree&quot;:&quot;0&quot;,&quot;label&quot;:&quot;&lt;e-piebasic-chart&gt;&quot;,&quot;projectId&quot;:&quot;444746070325460997&quot;,&quot;props&quot;:{&quot;animation&quot;:{&quot;duration&quot;:&quot;1.5&quot;,&quot;easeStyle&quot;:&quot;&quot;,&quot;endPause&quot;:&quot;1&quot;,&quot;moveOptions&quot;:[&quot;轮子&quot;,&quot;百叶窗&quot;,&quot;折扇&quot;,&quot;径向展开&quot;],&quot;moveStyle&quot;:&quot;轮子&quot;,&quot;startDelay&quot;:&quot;0&quot;,&quot;transition&quot;:true},&quot;axis&quot;:&quot;&quot;,&quot;backgroundColor&quot;:&quot;&quot;,&quot;colors&quot;:{&quot;colorControlers&quot;:[&quot;multiple&quot;,&quot;linear&quot;],&quot;list&quot;:[&quot;#5956F4ff&quot;,&quot;#53e09eff&quot;,&quot;#ffdc4cff&quot;,&quot;#ff9c46ff&quot;,0,1,2],&quot;type&quot;:&quot;multiple&quot;},&quot;display&quot;:{&quot;borderColor&quot;:&quot;#FFFFFF&quot;,&quot;borderWidth&quot;:&quot;1&quot;,&quot;cornerRadius&quot;:&quot;0&quot;,&quot;fillOpacity&quot;:&quot;1&quot;,&quot;gapPercentage&quot;:&quot;0&quot;,&quot;innerRadiusRatio&quot;:&quot;0&quot;},&quot;label&quot;:{&quot;contentChoice&quot;:[&quot;百分比&quot;],&quot;contentOption&quot;:[&quot;名称&quot;,&quot;百分比&quot;,&quot;数值&quot;],&quot;display&quot;:true,&quot;positionChoice&quot;:&quot;外部&quot;,&quot;positionOptions&quot;:[&quot;内部周向&quot;,&quot;内部水平&quot;,&quot;外部&quot;],&quot;suffix&quot;:&quot;&quot;,&quot;textLabel&quot;:{&quot;color&quot;:&quot;#545454&quot;,&quot;fontFamily&quot;:&quot;微软雅黑&quot;,&quot;fontSize&quot;:&quot;14&quot;}},&quot;legend&quot;:{&quot;color&quot;:[&quot;#545454&quot;],&quot;fontFamily&quot;:[&quot;阿里巴巴普惠体常规&quot;],&quot;fontSize&quot;:&quot;12&quot;,&quot;lineHeight&quot;:&quot;15&quot;,&quot;show&quot;:true,&quot;style&quot;:&quot;&quot;,&quot;styleOptions&quot;:[],&quot;xPosition&quot;:&quot;center&quot;,&quot;yPosition&quot;:&quot;bottom&quot;},&quot;logoDisplay&quot;:{&quot;bottomLineHeight&quot;:&quot;15&quot;,&quot;imgHeight&quot;:&quot;32&quot;,&quot;imgUrl&quot;:&quot;https://ss1.dydata.io/newchartLogo.png&quot;,&quot;show&quot;:true,&quot;topLineHeight&quot;:&quot;11&quot;},&quot;map&quot;:[[{&quot;allowType&quot;:[&quot;string&quot;],&quot;configurable&quot;:false,&quot;function&quot;:&quot;objCol&quot;,&quot;index&quot;:0,&quot;isLegend&quot;:true,&quot;name&quot;:&quot;名称&quot;},{&quot;allowType&quot;:[&quot;number&quot;],&quot;configurable&quot;:false,&quot;function&quot;:&quot;vCol&quot;,&quot;index&quot;:1,&quot;isLegend&quot;:false,&quot;name&quot;:&quot;值&quot;}]],&quot;numberFormat&quot;:{&quot;decimalPlaces&quot;:&quot;&quot;,&quot;style&quot;:&quot;1000.00&quot;},&quot;paddings&quot;:{&quot;bottom&quot;:&quot;33&quot;,&quot;chartBottom&quot;:&quot;5&quot;,&quot;left&quot;:&quot;24&quot;,&quot;right&quot;:&quot;24&quot;,&quot;top&quot;:&quot;24&quot;},&quot;publishDisplay&quot;:{&quot;color&quot;:&quot;#878787&quot;,&quot;fontFamily&quot;:&quot;黑体&quot;,&quot;fontSize&quot;:&quot;14&quot;,&quot;show&quot;:true,&quot;text&quot;:&quot;镝数出品&quot;},&quot;shadow&quot;:{&quot;display&quot;:false,&quot;shadowAngle&quot;:&quot;45&quot;,&quot;shadowBlur&quot;:&quot;5&quot;,&quot;shadowColor&quot;:&quot;#a8a8a7cc&quot;,&quot;shadowOpacity&quot;:&quot;100&quot;,&quot;shadowRadius&quot;:&quot;3&quot;},&quot;size&quot;:{&quot;height&quot;:451,&quot;ratio&quot;:&quot;&quot;,&quot;rotate&quot;:0,&quot;width&quot;:551},&quot;sourceDisplay&quot;:{&quot;color&quot;:&quot;#878787&quot;,&quot;fontFamily&quot;:&quot;黑体&quot;,&quot;fontSize&quot;:&quot;14&quot;,&quot;show&quot;:false,&quot;text&quot;:&quot;数据来源：示例数据&quot;,&quot;topLineHeight&quot;:&quot;15&quot;,&quot;xPosition&quot;:&quot;left&quot;,&quot;yPosition&quot;:&quot;bottom&quot;},&quot;titleDisplay&quot;:{&quot;color&quot;:&quot;#4c4c4c&quot;,&quot;fontFamily&quot;:&quot;阿里巴巴普惠体 常规&quot;,&quot;fontSize&quot;:&quot;32&quot;,&quot;lineHeight&quot;:&quot;10&quot;,&quot;show&quot;:false,&quot;text&quot;:&quot;本月收入与支出情况&quot;,&quot;totalHeight&quot;:&quot;39&quot;,&quot;xPosition&quot;:&quot;left&quot;,&quot;yPosition&quot;:&quot;top&quot;},&quot;tooltip&quot;:true,&quot;unitDisplay&quot;:{&quot;bottomLineHeight&quot;:&quot;15&quot;,&quot;color&quot;:&quot;#878787&quot;,&quot;fontFamily&quot;:&quot;阿里巴巴普惠体常规&quot;,&quot;fontSize&quot;:&quot;14&quot;,&quot;show&quot;:false,&quot;text&quot;:&quot;单位：元&quot;,&quot;xPosition&quot;:&quot;left&quot;,&quot;yPosition&quot;:&quot;top&quot;},&quot;watermarkDisplay&quot;:{&quot;imgHeight&quot;:&quot;80&quot;,&quot;imgUrl&quot;:&quot;https://ss1.dydata.io/newchartWatermark.png&quot;,&quot;imgWidth&quot;:&quot;80&quot;,&quot;show&quot;:false}},&quot;templateId&quot;:&quot;444746070325460997-8&quot;,&quot;templateSwitch&quot;:&quot;key-value&quot;,&quot;theme&quot;:{&quot;axis&quot;:{&quot;color&quot;:&quot;#a1a1a1&quot;},&quot;backgroundColor&quot;:&quot;#FFFFFF&quot;,&quot;colors&quot;:[&quot;#5AAEF3&quot;,&quot;#62D9AD&quot;,&quot;#5B6E96&quot;,&quot;#a8dffa&quot;,&quot;#ffdc4c&quot;,&quot;#FF974C&quot;,&quot;#E65A56&quot;,&quot;#6D61E4&quot;,&quot;#4A6FE2&quot;,&quot;#6D9AE7&quot;,&quot;#23C2DB&quot;,&quot;#D4EC59&quot;,&quot;#FFE88E&quot;,&quot;#FEB64D&quot;,&quot;#FB6E6C&quot;],&quot;fonts&quot;:{&quot;accessoryColor&quot;:&quot;#878787&quot;,&quot;color&quot;:&quot;#545454&quot;,&quot;fontFamily&quot;:&quot;黑体&quot;,&quot;fontSize&quot;:&quot;14&quot;},&quot;grid&quot;:{&quot;color&quot;:&quot;#ccc&quot;},&quot;name&quot;:&quot;默认主题&quot;,&quot;price&quot;:&quot;0.0&quot;,&quot;shapeColor&quot;:1,&quot;themeId&quot;:&quot;18&quot;,&quot;titleFont&quot;:{&quot;color&quot;:&quot;#4c4c4c&quot;,&quot;fontFamily&quot;:&quot;黑体&quot;,&quot;fontSize&quot;:&quot;36&quot;}},&quot;thumb&quot;:&quot;./images/444746070325460997-8.jpg&quot;,&quot;title&quot;:&quot;基础饼图&quot;,&quot;type&quot;:&quot;chart&quot;},&quot;dschart_id&quot;:&quot;444746070325460997-8&quot;,&quot;flag&quot;:&quot;1003&quot;,&quot;id&quot;:&quot;144&quot;}"/>
    <wpswe:property key="isUseCommonErrorPage" value="false"/>
    <wpswe:property key="loadingImage" value="res:/icons/DsWebShapeDefaultPage.svg"/>
  </wpswe:properties>
  <wpswe:watchingCache>
    <wpswe:linkPath>/Users/lee/Library/Containers/com.kingsoft.wpsoffice.mac/Data/tmp/wps.lpzTjJ/Workbook3.xlsx</wpswe:linkPath>
  </wpswe:watchingCache>
  <wpswe:snapshot xmlns:r="http://schemas.openxmlformats.org/officeDocument/2006/relationships" r:embed="rId2"/>
  <wpswe:externalData xmlns:r="http://schemas.openxmlformats.org/officeDocument/2006/relationships" r:id="rId1"/>
  <wpswe:url>https://clientweb.docer.wps.cn/docer-ds/web-shape-1.0.0/?id=144&amp;dschart_id=5544734748594536330-7&amp;from=&amp;productEntry=insert&amp;sceneEntry=rec-144&amp;flag=1003</wpswe:url>
  <wpswe:constantSnapshot>false</wpswe:constantSnapshot>
</wps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商务风项目计划封面"/>
      <sectRole val="1"/>
    </customSectPr>
    <customSectPr/>
    <customSectPr/>
    <customSectPr/>
  </customSectProps>
  <customShpExts>
    <customShpInfo spid="_x0000_s1026" textRotate="1"/>
    <customShpInfo spid="_x0000_s1027" textRotate="1"/>
    <customShpInfo spid="_x0000_s1028"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4798</Words>
  <Characters>5435</Characters>
  <Lines>0</Lines>
  <Paragraphs>0</Paragraphs>
  <TotalTime>1</TotalTime>
  <ScaleCrop>false</ScaleCrop>
  <LinksUpToDate>false</LinksUpToDate>
  <CharactersWithSpaces>5503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2023-10-19T15:54:00Z</dcterms:created>
  <dc:creator>Zaralin</dc:creator>
  <cp:lastModifiedBy>lee</cp:lastModifiedBy>
  <dcterms:modified xsi:type="dcterms:W3CDTF">2026-05-21T17:36:00Z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EFE0C47C61DE41689FC0FAEC4DB2EB29_13</vt:lpwstr>
  </property>
  <property fmtid="{D5CDD505-2E9C-101B-9397-08002B2CF9AE}" pid="4" name="KSOTemplateDocerSaveRecord">
    <vt:lpwstr>eyJoZGlkIjoiNzMyNDZlYmFhMmNkMWYxOTZkNjcxNjlhNjFjMTBjYzYiLCJ1c2VySWQiOiIxMDg3ODE4ODA2In0=</vt:lpwstr>
  </property>
</Properties>
</file>