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webExtensions/webExtension1.xml" ContentType="application/vnd.wps-officedocument.webExtension+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10="http://schemas.microsoft.com/office/word/2012/wordml" xmlns:ns11="http://www.wps.cn/officeDocument/2018/webExtension" xmlns:ns12="http://schemas.openxmlformats.org/drawingml/2006/chart" xmlns:ns2="http://schemas.microsoft.com/office/word/2010/wordml" xmlns:ns3="http://schemas.openxmlformats.org/drawingml/2006/wordprocessingDrawing" xmlns:ns4="http://schemas.openxmlformats.org/drawingml/2006/main" xmlns:ns5="http://schemas.microsoft.com/office/word/2010/wordprocessingShape" xmlns:ns6="urn:schemas-microsoft-com:vml" xmlns:ns7="urn:schemas-microsoft-com:office:office" xmlns:ns8="http://schemas.openxmlformats.org/drawingml/2006/picture" xmlns:ns9="http://schemas.openxmlformats.org/officeDocument/2006/relationships" xmlns:w="http://schemas.openxmlformats.org/wordprocessingml/2006/main" ns1:Ignorable="w14 w15 wp14">
  <w:body>
    <w:p ns2:paraId="31962E5B">
      <w:pPr>
        <w:rPr>
          <w:rFonts w:hint="eastAsia" w:eastAsia="汉仪粗黑简"/>
          <w:lang w:eastAsia="zh-CN"/>
        </w:rPr>
      </w:pPr>
      <w:r>
        <w:rPr>
          <w:sz w:val="21"/>
        </w:rPr>
        <ns1:AlternateContent>
          <ns1:Choice Requires="wps">
            <w:drawing>
              <ns3:anchor distT="0" distB="0" distL="114300" distR="114300" simplePos="0" relativeHeight="251662336" behindDoc="0" locked="0" layoutInCell="1" allowOverlap="1">
                <ns3:simplePos x="0" y="0"/>
                <ns3:positionH relativeFrom="column">
                  <ns3:posOffset>-680085</ns3:posOffset>
                </ns3:positionH>
                <ns3:positionV relativeFrom="paragraph">
                  <ns3:posOffset>5374640</ns3:posOffset>
                </ns3:positionV>
                <ns3:extent cx="4483735" cy="658495"/>
                <ns3:effectExtent l="0" t="0" r="0" b="0"/>
                <ns3:wrapNone/>
                <ns3:docPr id="13" name="文本框 52"/>
                <ns3:cNvGraphicFramePr/>
                <ns4:graphic>
                  <ns4:graphicData uri="http://schemas.microsoft.com/office/word/2010/wordprocessingShape">
                    <ns5:wsp>
                      <ns5:cNvSpPr txBox="1"/>
                      <ns5:spPr>
                        <ns4:xfrm>
                          <ns4:off x="462915" y="6289040"/>
                          <ns4:ext cx="4483735" cy="658495"/>
                        </ns4:xfrm>
                        <ns4:prstGeom prst="rect">
                          <ns4:avLst/>
                        </ns4:prstGeom>
                        <ns4:noFill/>
                      </ns5:spPr>
                      <ns5:txbx>
                        <w:txbxContent>
                          <w:p ns2: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 xml:space="preserve">服务商：{{field.service.unit}}</w:t>
                            </w:r>
                            <w:r>
                              <w:rPr>
                                <w:rFonts w:hint="eastAsia" w:ascii="汉仪中宋简" w:hAnsi="汉仪中宋简" w:eastAsia="汉仪中宋简" w:cs="汉仪中宋简"/>
                                <w:color w:val="199F9B"/>
                                <w:kern w:val="24"/>
                                <w:sz w:val="32"/>
                                <w:szCs w:val="32"/>
                                <w:lang w:eastAsia="zh-CN"/>
                              </w:rPr>
                              <w:t/>
                            </w:r>
                            <w:r>
                              <w:rPr>
                                <w:rFonts w:hint="eastAsia" w:ascii="汉仪中宋简" w:hAnsi="汉仪中宋简" w:eastAsia="汉仪中宋简" w:cs="汉仪中宋简"/>
                                <w:color w:val="199F9B"/>
                                <w:kern w:val="24"/>
                                <w:sz w:val="32"/>
                                <w:szCs w:val="32"/>
                                <w:lang w:val="en-US" w:eastAsia="zh-CN"/>
                              </w:rPr>
                              <w:t/>
                            </w:r>
                          </w:p>
                          <w:p ns2: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 xml:space="preserve">服务品种：{{field.meta.product}}</w:t>
                            </w:r>
                          </w:p>
                          <w:p ns2: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 xml:space="preserve">调研区域：{{field.meta.region}}</w:t>
                            </w:r>
                            <w:r>
                              <w:rPr>
                                <w:rFonts w:hint="eastAsia" w:ascii="汉仪中宋简" w:hAnsi="汉仪中宋简" w:eastAsia="汉仪中宋简" w:cs="汉仪中宋简"/>
                                <w:color w:val="199F9B"/>
                                <w:kern w:val="24"/>
                                <w:sz w:val="32"/>
                                <w:szCs w:val="32"/>
                                <w:highlight w:val="none"/>
                                <w:lang w:val="en-US" w:eastAsia="zh-CN"/>
                              </w:rPr>
                              <w:t/>
                            </w:r>
                          </w:p>
                          <w:p ns2: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 xml:space="preserve">调研时间：{{field.meta.survey_period_display}}</w:t>
                            </w:r>
                          </w:p>
                          <w:p ns2: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ns5:txbx>
                      <ns5:bodyPr wrap="square" rtlCol="0">
                        <ns4:spAutoFit/>
                      </ns5:bodyPr>
                    </ns5:wsp>
                  </ns4:graphicData>
                </ns4:graphic>
              </ns3:anchor>
            </w:drawing>
          </ns1:Choice>
          <ns1:Fallback>
            <w:pict>
              <ns6:shape id="文本框 52" ns7:spid="_x0000_s1026" ns7:spt="202" type="#_x0000_t202" style="position:absolute;left:0pt;margin-left:-53.55pt;margin-top:423.2pt;height:51.85pt;width:353.05pt;z-index:251662336;mso-width-relative:page;mso-height-relative:page;" filled="f" stroked="f" coordsize="21600,21600" ns7:gfxdata="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snVf42gAAAAwBAAAPAAAAAAAAAAEAIAAAACIAAABkcnMvZG93&#10;bnJldi54bWxQSwECFAAUAAAACACHTuJA9DbBgMUBAABqAwAADgAAAAAAAAABACAAAAApAQAAZHJz&#10;L2Uyb0RvYy54bWxQSwUGAAAAAAYABgBZAQAAYAUAAAAA&#10;">
                <ns6:fill on="f" focussize="0,0"/>
                <ns6:stroke on="f"/>
                <ns6:imagedata ns7:title=""/>
                <ns7:lock ns6:ext="edit" aspectratio="f"/>
                <ns6:textbox style="mso-fit-shape-to-text:t;">
                  <w:txbxContent>
                    <w:p ns2: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 xml:space="preserve">服务商：{{field.service.unit}}</w:t>
                      </w:r>
                      <w:r>
                        <w:rPr>
                          <w:rFonts w:hint="eastAsia" w:ascii="汉仪中宋简" w:hAnsi="汉仪中宋简" w:eastAsia="汉仪中宋简" w:cs="汉仪中宋简"/>
                          <w:color w:val="199F9B"/>
                          <w:kern w:val="24"/>
                          <w:sz w:val="32"/>
                          <w:szCs w:val="32"/>
                          <w:lang w:eastAsia="zh-CN"/>
                        </w:rPr>
                        <w:t/>
                      </w:r>
                      <w:r>
                        <w:rPr>
                          <w:rFonts w:hint="eastAsia" w:ascii="汉仪中宋简" w:hAnsi="汉仪中宋简" w:eastAsia="汉仪中宋简" w:cs="汉仪中宋简"/>
                          <w:color w:val="199F9B"/>
                          <w:kern w:val="24"/>
                          <w:sz w:val="32"/>
                          <w:szCs w:val="32"/>
                          <w:lang w:val="en-US" w:eastAsia="zh-CN"/>
                        </w:rPr>
                        <w:t/>
                      </w:r>
                    </w:p>
                    <w:p ns2: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 xml:space="preserve">服务品种：{{field.meta.product}}</w:t>
                      </w:r>
                    </w:p>
                    <w:p ns2: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 xml:space="preserve">调研区域：{{field.meta.region}}</w:t>
                      </w:r>
                      <w:r>
                        <w:rPr>
                          <w:rFonts w:hint="eastAsia" w:ascii="汉仪中宋简" w:hAnsi="汉仪中宋简" w:eastAsia="汉仪中宋简" w:cs="汉仪中宋简"/>
                          <w:color w:val="199F9B"/>
                          <w:kern w:val="24"/>
                          <w:sz w:val="32"/>
                          <w:szCs w:val="32"/>
                          <w:highlight w:val="none"/>
                          <w:lang w:val="en-US" w:eastAsia="zh-CN"/>
                        </w:rPr>
                        <w:t/>
                      </w:r>
                    </w:p>
                    <w:p ns2: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 xml:space="preserve">调研时间：{{field.meta.survey_period_display}}</w:t>
                      </w:r>
                    </w:p>
                    <w:p ns2: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ns6:textbox>
              </ns6:shape>
            </w:pict>
          </ns1:Fallback>
        </ns1:AlternateContent>
      </w:r>
      <w:r>
        <w:rPr>
          <w:sz w:val="21"/>
        </w:rPr>
        <ns1:AlternateContent>
          <ns1:Choice Requires="wps">
            <w:drawing>
              <ns3:anchor distT="0" distB="0" distL="114300" distR="114300" simplePos="0" relativeHeight="251659264" behindDoc="0" locked="0" layoutInCell="1" allowOverlap="1">
                <ns3:simplePos x="0" y="0"/>
                <ns3:positionH relativeFrom="column">
                  <ns3:posOffset>-734695</ns3:posOffset>
                </ns3:positionH>
                <ns3:positionV relativeFrom="page">
                  <ns3:posOffset>3185795</ns3:posOffset>
                </ns3:positionV>
                <ns3:extent cx="5386705" cy="727075"/>
                <ns3:effectExtent l="0" t="0" r="0" b="0"/>
                <ns3:wrapNone/>
                <ns3:docPr id="1" name="文本框 1"/>
                <ns3:cNvGraphicFramePr/>
                <ns4:graphic>
                  <ns4:graphicData uri="http://schemas.microsoft.com/office/word/2010/wordprocessingShape">
                    <ns5:wsp>
                      <ns5:cNvSpPr txBox="1"/>
                      <ns5:spPr>
                        <ns4:xfrm>
                          <ns4:off x="0" y="0"/>
                          <ns4:ext cx="5386705" cy="727075"/>
                        </ns4:xfrm>
                        <ns4:prstGeom prst="rect">
                          <ns4:avLst/>
                        </ns4:prstGeom>
                        <ns4:noFill/>
                        <ns4:ln w="6350">
                          <ns4:noFill/>
                        </ns4:ln>
                      </ns5:spPr>
                      <ns5:style>
                        <ns4:lnRef idx="0">
                          <ns4:schemeClr val="accent1"/>
                        </ns4:lnRef>
                        <ns4:fillRef idx="0">
                          <ns4:schemeClr val="accent1"/>
                        </ns4:fillRef>
                        <ns4:effectRef idx="0">
                          <ns4:schemeClr val="accent1"/>
                        </ns4:effectRef>
                        <ns4:fontRef idx="minor">
                          <ns4:schemeClr val="dk1"/>
                        </ns4:fontRef>
                      </ns5:style>
                      <ns5:txbx>
                        <w:txbxContent>
                          <w:p ns2: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ns5:txbx>
                      <ns5:bodyPr rot="0" spcFirstLastPara="0" vertOverflow="overflow" horzOverflow="overflow" vert="horz" wrap="square" lIns="91440" tIns="45720" rIns="91440" bIns="45720" numCol="1" spcCol="0" rtlCol="0" fromWordArt="0" anchor="t" anchorCtr="0" forceAA="0" compatLnSpc="1">
                        <ns4:noAutofit/>
                      </ns5:bodyPr>
                    </ns5:wsp>
                  </ns4:graphicData>
                </ns4:graphic>
              </ns3:anchor>
            </w:drawing>
          </ns1:Choice>
          <ns1:Fallback>
            <w:pict>
              <ns6:shape id="_x0000_s1026" ns7:spid="_x0000_s1026" ns7:spt="202" type="#_x0000_t202" style="position:absolute;left:0pt;margin-left:-57.85pt;margin-top:250.85pt;height:57.25pt;width:424.15pt;mso-position-vertical-relative:page;z-index:251659264;mso-width-relative:page;mso-height-relative:page;" filled="f" stroked="f" coordsize="21600,21600" ns7:gfxdata="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yGTag3QAAAAwBAAAPAAAAAAAAAAEAIAAAACIA&#10;AABkcnMvZG93bnJldi54bWxQSwECFAAUAAAACACHTuJAODINAT0CAABmBAAADgAAAAAAAAABACAA&#10;AAAsAQAAZHJzL2Uyb0RvYy54bWxQSwUGAAAAAAYABgBZAQAA2wUAAAAA&#10;">
                <ns6:fill on="f" focussize="0,0"/>
                <ns6:stroke on="f" weight="0.5pt"/>
                <ns6:imagedata ns7:title=""/>
                <ns7:lock ns6:ext="edit" aspectratio="f"/>
                <ns6:textbox>
                  <w:txbxContent>
                    <w:p ns2: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ns6:textbox>
              </ns6:shape>
            </w:pict>
          </ns1:Fallback>
        </ns1:AlternateContent>
      </w:r>
      <w:r>
        <ns1:AlternateContent>
          <ns1:Choice Requires="wps">
            <w:drawing>
              <ns3:anchor distT="0" distB="0" distL="114300" distR="114300" simplePos="0" relativeHeight="251661312" behindDoc="0" locked="0" layoutInCell="1" allowOverlap="1">
                <ns3:simplePos x="0" y="0"/>
                <ns3:positionH relativeFrom="column">
                  <ns3:posOffset>-720090</ns3:posOffset>
                </ns3:positionH>
                <ns3:positionV relativeFrom="paragraph">
                  <ns3:posOffset>2778125</ns3:posOffset>
                </ns3:positionV>
                <ns3:extent cx="5963920" cy="1753870"/>
                <ns3:effectExtent l="0" t="0" r="0" b="0"/>
                <ns3:wrapNone/>
                <ns3:docPr id="9" name="文本框 44"/>
                <ns3:cNvGraphicFramePr/>
                <ns4:graphic>
                  <ns4:graphicData uri="http://schemas.microsoft.com/office/word/2010/wordprocessingShape">
                    <ns5:wsp>
                      <ns5:cNvSpPr txBox="1"/>
                      <ns5:spPr>
                        <ns4:xfrm>
                          <ns4:off x="422910" y="3194685"/>
                          <ns4:ext cx="5963920" cy="1753870"/>
                        </ns4:xfrm>
                        <ns4:prstGeom prst="rect">
                          <ns4:avLst/>
                        </ns4:prstGeom>
                        <ns4:noFill/>
                      </ns5:spPr>
                      <ns5:txbx>
                        <w:txbxContent>
                          <w:p ns2: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ns5:txbx>
                      <ns5:bodyPr wrap="square" rtlCol="0">
                        <ns4:spAutoFit/>
                      </ns5:bodyPr>
                    </ns5:wsp>
                  </ns4:graphicData>
                </ns4:graphic>
              </ns3:anchor>
            </w:drawing>
          </ns1:Choice>
          <ns1:Fallback>
            <w:pict>
              <ns6:shape id="文本框 44" ns7:spid="_x0000_s1026" ns7:spt="202" type="#_x0000_t202" style="position:absolute;left:0pt;margin-left:-56.7pt;margin-top:218.75pt;height:138.1pt;width:469.6pt;z-index:251661312;mso-width-relative:page;mso-height-relative:page;" filled="f" stroked="f" coordsize="21600,21600" ns7:gfxdata="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fIaVNoAAAAMAQAADwAAAAAAAAABACAAAAAiAAAAZHJz&#10;L2Rvd25yZXYueG1sUEsBAhQAFAAAAAgAh07iQDlA7fnJAQAAagMAAA4AAAAAAAAAAQAgAAAAKQEA&#10;AGRycy9lMm9Eb2MueG1sUEsFBgAAAAAGAAYAWQEAAGQFAAAAAA==&#10;">
                <ns6:fill on="f" focussize="0,0"/>
                <ns6:stroke on="f"/>
                <ns6:imagedata ns7:title=""/>
                <ns7:lock ns6:ext="edit" aspectratio="f"/>
                <ns6:textbox style="mso-fit-shape-to-text:t;">
                  <w:txbxContent>
                    <w:p ns2: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ns6:textbox>
              </ns6:shape>
            </w:pict>
          </ns1:Fallback>
        </ns1:AlternateContent>
      </w:r>
      <w:r>
        <w:rPr>
          <w:rFonts w:hint="eastAsia" w:eastAsia="汉仪粗黑简"/>
          <w:lang w:eastAsia="zh-CN"/>
        </w:rPr>
        <w:drawing>
          <ns3:anchor distT="0" distB="0" distL="114300" distR="114300" simplePos="0" relativeHeight="251660288" behindDoc="1" locked="0" layoutInCell="1" allowOverlap="1">
            <ns3:simplePos x="0" y="0"/>
            <ns3:positionH relativeFrom="column">
              <ns3:posOffset>-1176020</ns3:posOffset>
            </ns3:positionH>
            <ns3:positionV relativeFrom="paragraph">
              <ns3:posOffset>-963295</ns3:posOffset>
            </ns3:positionV>
            <ns3:extent cx="7603490" cy="10751820"/>
            <ns3:effectExtent l="0" t="0" r="1270" b="7620"/>
            <ns3:wrapNone/>
            <ns3:docPr id="20" name="图片 20" descr="竖版待修改竖版 7.16"/>
            <ns3:cNvGraphicFramePr>
              <ns4:graphicFrameLocks noChangeAspect="1"/>
            </ns3:cNvGraphicFramePr>
            <ns4:graphic>
              <ns4:graphicData uri="http://schemas.openxmlformats.org/drawingml/2006/picture">
                <ns8:pic>
                  <ns8:nvPicPr>
                    <ns8:cNvPr id="20" name="图片 20" descr="竖版待修改竖版 7.16"/>
                    <ns8:cNvPicPr>
                      <ns4:picLocks noChangeAspect="1"/>
                    </ns8:cNvPicPr>
                  </ns8:nvPicPr>
                  <ns8:blipFill>
                    <ns4:blip ns9:embed="rId8"/>
                    <ns4:stretch>
                      <ns4:fillRect/>
                    </ns4:stretch>
                  </ns8:blipFill>
                  <ns8:spPr>
                    <ns4:xfrm>
                      <ns4:off x="0" y="0"/>
                      <ns4:ext cx="7603490" cy="10751820"/>
                    </ns4:xfrm>
                    <ns4:prstGeom prst="rect">
                      <ns4:avLst/>
                    </ns4:prstGeom>
                  </ns8:spPr>
                </ns8:pic>
              </ns4:graphicData>
            </ns4:graphic>
          </ns3:anchor>
        </w:drawing>
      </w:r>
    </w:p>
    <w:p ns2:paraId="4F3FF417">
      <w:pPr>
        <w:rPr>
          <w:rFonts w:hint="eastAsia"/>
          <w:sz w:val="21"/>
          <w:lang w:eastAsia="zh-CN"/>
        </w:rPr>
        <w:sectPr>
          <w:headerReference ns9: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ns2:paraId="3D0D36C5">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lang w:val="en-US" w:eastAsia="zh-CN"/>
        </w:rPr>
      </w:pPr>
      <w:bookmarkStart w:id="0" w:name="_Toc376"/>
      <w:bookmarkStart w:id="1" w:name="_Toc13682"/>
      <w:bookmarkStart w:id="2" w:name="_Toc27864"/>
      <w:bookmarkStart w:id="3" w:name="_Toc7033"/>
      <w:bookmarkStart w:id="4" w:name="_Toc28049"/>
      <w:bookmarkStart w:id="5" w:name="_Toc29451"/>
      <w:bookmarkStart w:id="6" w:name="_Toc27862"/>
      <w:r>
        <w:rPr>
          <w:rFonts w:hint="eastAsia" w:ascii="汉仪中宋简" w:hAnsi="汉仪中宋简" w:eastAsia="汉仪中宋简" w:cs="汉仪中宋简"/>
          <w:b/>
          <w:bCs/>
          <w:sz w:val="44"/>
          <w:szCs w:val="44"/>
          <w:lang w:val="en-US" w:eastAsia="zh-CN"/>
        </w:rPr>
        <w:t>问卷调研服务结算</w:t>
      </w:r>
      <w:bookmarkEnd w:id="0"/>
      <w:bookmarkEnd w:id="1"/>
      <w:bookmarkEnd w:id="2"/>
    </w:p>
    <w:tbl>
      <w:tblPr>
        <w:tblStyle w:val="10"/>
        <w:tblpPr w:leftFromText="180" w:rightFromText="180" w:vertAnchor="text" w:horzAnchor="page" w:tblpX="1730" w:tblpY="163"/>
        <w:tblOverlap w:val="never"/>
        <w:tblW w:w="892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5"/>
        <w:gridCol w:w="3370"/>
        <w:gridCol w:w="1710"/>
        <w:gridCol w:w="962"/>
        <w:gridCol w:w="1190"/>
      </w:tblGrid>
      <w:tr ns2:paraId="4440D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6" w:hRule="atLeast"/>
          <w:tblHeader/>
          <w:tblCellSpacing w:w="15" w:type="dxa"/>
        </w:trPr>
        <w:tc>
          <w:tcPr>
            <w:tcW w:w="1650" w:type="dxa"/>
            <w:tcBorders>
              <w:top w:val="single" w:color="4874CB" w:themeColor="accent1" w:sz="6" w:space="0"/>
              <w:left w:val="single" w:color="4874CB" w:themeColor="accent1" w:sz="6" w:space="0"/>
              <w:bottom w:val="single" w:color="4874CB" w:themeColor="accent1" w:sz="6" w:space="0"/>
              <w:right w:val="nil"/>
            </w:tcBorders>
            <w:shd w:val="clear" w:color="auto" w:fill="4874CB" w:themeFill="accent1"/>
            <w:vAlign w:val="center"/>
          </w:tcPr>
          <w:p ns2:paraId="2CB7D43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项目</w:t>
            </w:r>
          </w:p>
        </w:tc>
        <w:tc>
          <w:tcPr>
            <w:tcW w:w="3340" w:type="dxa"/>
            <w:tcBorders>
              <w:top w:val="single" w:color="4874CB" w:themeColor="accent1" w:sz="6" w:space="0"/>
              <w:left w:val="nil"/>
              <w:bottom w:val="single" w:color="4874CB" w:themeColor="accent1" w:sz="6" w:space="0"/>
              <w:right w:val="nil"/>
            </w:tcBorders>
            <w:shd w:val="clear" w:color="auto" w:fill="4874CB" w:themeFill="accent1"/>
            <w:vAlign w:val="center"/>
          </w:tcPr>
          <w:p ns2:paraId="18060681">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服务内容</w:t>
            </w:r>
          </w:p>
        </w:tc>
        <w:tc>
          <w:tcPr>
            <w:tcW w:w="1680" w:type="dxa"/>
            <w:tcBorders>
              <w:top w:val="single" w:color="4874CB" w:themeColor="accent1" w:sz="6" w:space="0"/>
              <w:left w:val="nil"/>
              <w:bottom w:val="single" w:color="4874CB" w:themeColor="accent1" w:sz="6" w:space="0"/>
              <w:right w:val="nil"/>
            </w:tcBorders>
            <w:shd w:val="clear" w:color="auto" w:fill="4874CB" w:themeFill="accent1"/>
            <w:vAlign w:val="center"/>
          </w:tcPr>
          <w:p ns2:paraId="25C7FC50">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单价</w:t>
            </w:r>
          </w:p>
        </w:tc>
        <w:tc>
          <w:tcPr>
            <w:tcW w:w="932" w:type="dxa"/>
            <w:tcBorders>
              <w:top w:val="single" w:color="4874CB" w:themeColor="accent1" w:sz="6" w:space="0"/>
              <w:left w:val="nil"/>
              <w:bottom w:val="single" w:color="4874CB" w:themeColor="accent1" w:sz="6" w:space="0"/>
              <w:right w:val="nil"/>
            </w:tcBorders>
            <w:shd w:val="clear" w:color="auto" w:fill="4874CB" w:themeFill="accent1"/>
            <w:vAlign w:val="center"/>
          </w:tcPr>
          <w:p ns2:paraId="044311B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数量</w:t>
            </w:r>
          </w:p>
        </w:tc>
        <w:tc>
          <w:tcPr>
            <w:tcW w:w="1145" w:type="dxa"/>
            <w:tcBorders>
              <w:top w:val="single" w:color="4874CB" w:themeColor="accent1" w:sz="6" w:space="0"/>
              <w:left w:val="nil"/>
              <w:bottom w:val="single" w:color="4874CB" w:themeColor="accent1" w:sz="6" w:space="0"/>
              <w:right w:val="single" w:color="4874CB" w:themeColor="accent1" w:sz="6" w:space="0"/>
            </w:tcBorders>
            <w:shd w:val="clear" w:color="auto" w:fill="4874CB" w:themeFill="accent1"/>
            <w:vAlign w:val="center"/>
          </w:tcPr>
          <w:p ns2:paraId="3E8F70B6">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费用（元）</w:t>
            </w:r>
          </w:p>
        </w:tc>
      </w:tr>
      <w:tr ns2:paraId="4618E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4874CB" w:themeColor="accent1" w:sz="6" w:space="0"/>
              <w:left w:val="single" w:color="4874CB" w:themeColor="accent1" w:sz="6" w:space="0"/>
              <w:bottom w:val="single" w:color="B5C7EA" w:themeColor="accent1" w:themeTint="66" w:sz="6" w:space="0"/>
              <w:right w:val="nil"/>
            </w:tcBorders>
            <w:shd w:val="clear" w:color="auto" w:fill="auto"/>
            <w:vAlign w:val="center"/>
          </w:tcPr>
          <w:p ns2:paraId="48D8340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问卷样本</w:t>
            </w:r>
          </w:p>
        </w:tc>
        <w:tc>
          <w:tcPr>
            <w:tcW w:w="3340" w:type="dxa"/>
            <w:tcBorders>
              <w:top w:val="single" w:color="4874CB" w:themeColor="accent1" w:sz="6" w:space="0"/>
              <w:left w:val="nil"/>
              <w:bottom w:val="single" w:color="B5C7EA" w:themeColor="accent1" w:themeTint="66" w:sz="6" w:space="0"/>
              <w:right w:val="nil"/>
            </w:tcBorders>
            <w:shd w:val="clear" w:color="auto" w:fill="auto"/>
            <w:vAlign w:val="center"/>
          </w:tcPr>
          <w:p ns2:paraId="6CD3BC35">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抽取样本、数据清洗</w:t>
            </w:r>
          </w:p>
        </w:tc>
        <w:tc>
          <w:tcPr>
            <w:tcW w:w="1680" w:type="dxa"/>
            <w:tcBorders>
              <w:top w:val="single" w:color="4874CB" w:themeColor="accent1" w:sz="6" w:space="0"/>
              <w:left w:val="nil"/>
              <w:bottom w:val="single" w:color="B5C7EA" w:themeColor="accent1" w:themeTint="66" w:sz="6" w:space="0"/>
              <w:right w:val="nil"/>
            </w:tcBorders>
            <w:shd w:val="clear" w:color="auto" w:fill="auto"/>
            <w:vAlign w:val="center"/>
          </w:tcPr>
          <w:p ns2:paraId="6FCA8EC7">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100元/例</w:t>
            </w:r>
          </w:p>
        </w:tc>
        <w:tc>
          <w:tcPr>
            <w:tcW w:w="932" w:type="dxa"/>
            <w:tcBorders>
              <w:top w:val="single" w:color="4874CB" w:themeColor="accent1" w:sz="6" w:space="0"/>
              <w:left w:val="nil"/>
              <w:bottom w:val="single" w:color="B5C7EA" w:themeColor="accent1" w:themeTint="66" w:sz="6" w:space="0"/>
              <w:right w:val="nil"/>
            </w:tcBorders>
            <w:shd w:val="clear" w:color="auto" w:fill="auto"/>
            <w:vAlign w:val="center"/>
          </w:tcPr>
          <w:p ns2:paraId="6AB0B7BA">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 xml:space="preserve">{{field.meta.sample_size}}例</w:t>
            </w:r>
          </w:p>
        </w:tc>
        <w:tc>
          <w:tcPr>
            <w:tcW w:w="1145" w:type="dxa"/>
            <w:tcBorders>
              <w:top w:val="single" w:color="4874CB" w:themeColor="accent1" w:sz="6" w:space="0"/>
              <w:left w:val="nil"/>
              <w:bottom w:val="single" w:color="B5C7EA" w:themeColor="accent1" w:themeTint="66" w:sz="6" w:space="0"/>
              <w:right w:val="single" w:color="4874CB" w:themeColor="accent1" w:sz="6" w:space="0"/>
            </w:tcBorders>
            <w:shd w:val="clear" w:color="auto" w:fill="auto"/>
            <w:vAlign w:val="center"/>
          </w:tcPr>
          <w:p ns2:paraId="714AD419">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164,200</w:t>
            </w:r>
          </w:p>
        </w:tc>
      </w:tr>
      <w:tr ns2:paraId="18A00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B5C7EA" w:themeColor="accent1" w:themeTint="66" w:sz="6" w:space="0"/>
              <w:left w:val="single" w:color="4874CB" w:themeColor="accent1" w:sz="6" w:space="0"/>
              <w:bottom w:val="single" w:color="B5C7EA" w:themeColor="accent1" w:themeTint="66" w:sz="6" w:space="0"/>
              <w:right w:val="nil"/>
            </w:tcBorders>
            <w:shd w:val="clear" w:color="auto" w:fill="auto"/>
            <w:vAlign w:val="center"/>
          </w:tcPr>
          <w:p ns2:paraId="4E80343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问卷分析报告</w:t>
            </w:r>
          </w:p>
        </w:tc>
        <w:tc>
          <w:tcPr>
            <w:tcW w:w="3340" w:type="dxa"/>
            <w:tcBorders>
              <w:top w:val="single" w:color="B5C7EA" w:themeColor="accent1" w:themeTint="66" w:sz="6" w:space="0"/>
              <w:left w:val="nil"/>
              <w:bottom w:val="single" w:color="B5C7EA" w:themeColor="accent1" w:themeTint="66" w:sz="6" w:space="0"/>
              <w:right w:val="nil"/>
            </w:tcBorders>
            <w:shd w:val="clear" w:color="auto" w:fill="auto"/>
            <w:vAlign w:val="center"/>
          </w:tcPr>
          <w:p ns2:paraId="2BA889CF">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数据分析、可视化，形成市场分析报告</w:t>
            </w:r>
          </w:p>
        </w:tc>
        <w:tc>
          <w:tcPr>
            <w:tcW w:w="1680" w:type="dxa"/>
            <w:tcBorders>
              <w:top w:val="single" w:color="B5C7EA" w:themeColor="accent1" w:themeTint="66" w:sz="6" w:space="0"/>
              <w:left w:val="nil"/>
              <w:bottom w:val="single" w:color="B5C7EA" w:themeColor="accent1" w:themeTint="66" w:sz="6" w:space="0"/>
              <w:right w:val="nil"/>
            </w:tcBorders>
            <w:shd w:val="clear" w:color="auto" w:fill="auto"/>
            <w:vAlign w:val="center"/>
          </w:tcPr>
          <w:p ns2:paraId="1859385D">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30,000元/篇</w:t>
            </w:r>
          </w:p>
        </w:tc>
        <w:tc>
          <w:tcPr>
            <w:tcW w:w="932" w:type="dxa"/>
            <w:tcBorders>
              <w:top w:val="single" w:color="B5C7EA" w:themeColor="accent1" w:themeTint="66" w:sz="6" w:space="0"/>
              <w:left w:val="nil"/>
              <w:bottom w:val="single" w:color="B5C7EA" w:themeColor="accent1" w:themeTint="66" w:sz="6" w:space="0"/>
              <w:right w:val="nil"/>
            </w:tcBorders>
            <w:shd w:val="clear" w:color="auto" w:fill="auto"/>
            <w:vAlign w:val="center"/>
          </w:tcPr>
          <w:p ns2:paraId="4C5AA2B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1篇</w:t>
            </w:r>
          </w:p>
        </w:tc>
        <w:tc>
          <w:tcPr>
            <w:tcW w:w="1145" w:type="dxa"/>
            <w:tcBorders>
              <w:top w:val="single" w:color="B5C7EA" w:themeColor="accent1" w:themeTint="66" w:sz="6" w:space="0"/>
              <w:left w:val="nil"/>
              <w:bottom w:val="single" w:color="B5C7EA" w:themeColor="accent1" w:themeTint="66" w:sz="6" w:space="0"/>
              <w:right w:val="single" w:color="4874CB" w:themeColor="accent1" w:sz="6" w:space="0"/>
            </w:tcBorders>
            <w:shd w:val="clear" w:color="auto" w:fill="auto"/>
            <w:vAlign w:val="center"/>
          </w:tcPr>
          <w:p ns2:paraId="2E1E07FB">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w:t>
            </w:r>
          </w:p>
        </w:tc>
      </w:tr>
      <w:tr ns2:paraId="28929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B5C7EA" w:themeColor="accent1" w:themeTint="66" w:sz="6" w:space="0"/>
              <w:left w:val="single" w:color="4874CB" w:themeColor="accent1" w:sz="6" w:space="0"/>
              <w:bottom w:val="single" w:color="4874CB" w:themeColor="accent1" w:sz="6" w:space="0"/>
              <w:right w:val="nil"/>
            </w:tcBorders>
            <w:shd w:val="clear" w:color="auto" w:fill="auto"/>
            <w:vAlign w:val="center"/>
          </w:tcPr>
          <w:p ns2:paraId="4279FFE1">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总计</w:t>
            </w:r>
          </w:p>
        </w:tc>
        <w:tc>
          <w:tcPr>
            <w:tcW w:w="3340" w:type="dxa"/>
            <w:tcBorders>
              <w:top w:val="single" w:color="B5C7EA" w:themeColor="accent1" w:themeTint="66" w:sz="6" w:space="0"/>
              <w:left w:val="nil"/>
              <w:bottom w:val="single" w:color="4874CB" w:themeColor="accent1" w:sz="6" w:space="0"/>
              <w:right w:val="nil"/>
            </w:tcBorders>
            <w:shd w:val="clear" w:color="auto" w:fill="auto"/>
            <w:vAlign w:val="center"/>
          </w:tcPr>
          <w:p ns2:paraId="3A1B7D94">
            <w:pPr>
              <w:rPr>
                <w:rFonts w:hint="eastAsia" w:ascii="汉仪中宋简" w:hAnsi="汉仪中宋简" w:eastAsia="汉仪中宋简" w:cs="汉仪中宋简"/>
                <w:b w:val="0"/>
                <w:i w:val="0"/>
                <w:color w:val="000000"/>
                <w:sz w:val="24"/>
                <w:szCs w:val="24"/>
                <w:highlight w:val="none"/>
              </w:rPr>
            </w:pPr>
          </w:p>
        </w:tc>
        <w:tc>
          <w:tcPr>
            <w:tcW w:w="1680" w:type="dxa"/>
            <w:tcBorders>
              <w:top w:val="single" w:color="B5C7EA" w:themeColor="accent1" w:themeTint="66" w:sz="6" w:space="0"/>
              <w:left w:val="nil"/>
              <w:bottom w:val="single" w:color="4874CB" w:themeColor="accent1" w:sz="6" w:space="0"/>
              <w:right w:val="nil"/>
            </w:tcBorders>
            <w:shd w:val="clear" w:color="auto" w:fill="auto"/>
            <w:vAlign w:val="center"/>
          </w:tcPr>
          <w:p ns2:paraId="553A0E1F">
            <w:pPr>
              <w:rPr>
                <w:rFonts w:hint="eastAsia" w:ascii="汉仪中宋简" w:hAnsi="汉仪中宋简" w:eastAsia="汉仪中宋简" w:cs="汉仪中宋简"/>
                <w:b w:val="0"/>
                <w:i w:val="0"/>
                <w:color w:val="000000"/>
                <w:sz w:val="24"/>
                <w:szCs w:val="24"/>
                <w:highlight w:val="none"/>
              </w:rPr>
            </w:pPr>
          </w:p>
        </w:tc>
        <w:tc>
          <w:tcPr>
            <w:tcW w:w="932" w:type="dxa"/>
            <w:tcBorders>
              <w:top w:val="single" w:color="B5C7EA" w:themeColor="accent1" w:themeTint="66" w:sz="6" w:space="0"/>
              <w:left w:val="nil"/>
              <w:bottom w:val="single" w:color="4874CB" w:themeColor="accent1" w:sz="6" w:space="0"/>
              <w:right w:val="nil"/>
            </w:tcBorders>
            <w:shd w:val="clear" w:color="auto" w:fill="auto"/>
            <w:vAlign w:val="center"/>
          </w:tcPr>
          <w:p ns2:paraId="6AE98FA0">
            <w:pPr>
              <w:rPr>
                <w:rFonts w:hint="eastAsia" w:ascii="汉仪中宋简" w:hAnsi="汉仪中宋简" w:eastAsia="汉仪中宋简" w:cs="汉仪中宋简"/>
                <w:b w:val="0"/>
                <w:i w:val="0"/>
                <w:color w:val="000000"/>
                <w:sz w:val="24"/>
                <w:szCs w:val="24"/>
                <w:highlight w:val="none"/>
              </w:rPr>
            </w:pPr>
          </w:p>
        </w:tc>
        <w:tc>
          <w:tcPr>
            <w:tcW w:w="1145" w:type="dxa"/>
            <w:tcBorders>
              <w:top w:val="single" w:color="B5C7EA" w:themeColor="accent1" w:themeTint="66" w:sz="6" w:space="0"/>
              <w:left w:val="nil"/>
              <w:bottom w:val="single" w:color="4874CB" w:themeColor="accent1" w:sz="6" w:space="0"/>
              <w:right w:val="single" w:color="4874CB" w:themeColor="accent1" w:sz="6" w:space="0"/>
            </w:tcBorders>
            <w:shd w:val="clear" w:color="auto" w:fill="auto"/>
            <w:vAlign w:val="center"/>
          </w:tcPr>
          <w:p ns2:paraId="5F1E672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194,200</w:t>
            </w:r>
          </w:p>
        </w:tc>
      </w:tr>
    </w:tbl>
    <w:p ns2:paraId="4886E5A3">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服务承诺：确保数据真实可靠，分析专业严谨，提供有价值的市场洞察，保持与客户的密切沟通，确保项目高质量完成。</w:t>
      </w:r>
    </w:p>
    <w:p ns2:paraId="450101E3">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jc w:val="right"/>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br w:type="textWrapping"/>
        <w:t xml:space="preserve">服务单位：{{field.service.unit}}</w:t>
      </w:r>
      <w:r>
        <w:rPr>
          <w:rFonts w:hint="eastAsia" w:ascii="汉仪中宋简" w:hAnsi="汉仪中宋简" w:eastAsia="汉仪中宋简" w:cs="汉仪中宋简"/>
          <w:sz w:val="24"/>
          <w:szCs w:val="32"/>
          <w:lang w:val="en-US" w:eastAsia="zh-CN"/>
        </w:rPr>
        <w:t xml:space="preserve"/>
      </w:r>
      <w:r>
        <w:rPr>
          <w:rFonts w:hint="eastAsia" w:ascii="汉仪中宋简" w:hAnsi="汉仪中宋简" w:eastAsia="汉仪中宋简" w:cs="汉仪中宋简"/>
          <w:sz w:val="24"/>
          <w:szCs w:val="32"/>
          <w:lang w:val="en-US" w:eastAsia="zh-CN"/>
        </w:rPr>
        <w:br w:type="textWrapping"/>
      </w:r>
      <w:r>
        <w:rPr>
          <w:rFonts w:hint="eastAsia" w:ascii="汉仪中宋简" w:hAnsi="汉仪中宋简" w:eastAsia="汉仪中宋简" w:cs="汉仪中宋简"/>
          <w:sz w:val="24"/>
          <w:szCs w:val="32"/>
          <w:lang w:val="en-US" w:eastAsia="zh-CN"/>
        </w:rPr>
        <w:t/>
      </w:r>
    </w:p>
    <w:p ns2:paraId="450101E3">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jc w:val="right"/>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br w:type="textWrapping"/>
        <w:t xml:space="preserve">日期：{{field.service.date}}</w:t>
      </w:r>
      <w:r>
        <w:rPr>
          <w:rFonts w:hint="eastAsia" w:ascii="汉仪中宋简" w:hAnsi="汉仪中宋简" w:eastAsia="汉仪中宋简" w:cs="汉仪中宋简"/>
          <w:sz w:val="24"/>
          <w:szCs w:val="32"/>
          <w:lang w:val="en-US" w:eastAsia="zh-CN"/>
        </w:rPr>
        <w:t xml:space="preserve"/>
      </w:r>
      <w:r>
        <w:rPr>
          <w:rFonts w:hint="eastAsia" w:ascii="汉仪中宋简" w:hAnsi="汉仪中宋简" w:eastAsia="汉仪中宋简" w:cs="汉仪中宋简"/>
          <w:sz w:val="24"/>
          <w:szCs w:val="32"/>
          <w:lang w:val="en-US" w:eastAsia="zh-CN"/>
        </w:rPr>
        <w:br w:type="textWrapping"/>
      </w:r>
      <w:r>
        <w:rPr>
          <w:rFonts w:hint="eastAsia" w:ascii="汉仪中宋简" w:hAnsi="汉仪中宋简" w:eastAsia="汉仪中宋简" w:cs="汉仪中宋简"/>
          <w:sz w:val="24"/>
          <w:szCs w:val="32"/>
          <w:lang w:val="en-US" w:eastAsia="zh-CN"/>
        </w:rPr>
        <w:t/>
      </w:r>
    </w:p>
    <w:bookmarkEnd w:id="3"/>
    <w:bookmarkEnd w:id="4"/>
    <w:bookmarkEnd w:id="5"/>
    <w:bookmarkEnd w:id="6"/>
    <w:p ns2:paraId="363E8080">
      <w:pPr>
        <w:rPr>
          <w:rFonts w:hint="eastAsia" w:ascii="汉仪中宋简" w:hAnsi="汉仪中宋简" w:eastAsia="汉仪中宋简" w:cs="汉仪中宋简"/>
          <w:b/>
          <w:lang w:val="en-US" w:eastAsia="zh-CN"/>
        </w:rPr>
        <w:sectPr>
          <w:footerReference ns9: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ns2:paraId="2FEDE721">
      <w:pPr>
        <w:rPr>
          <w:rFonts w:hint="eastAsia" w:ascii="汉仪中宋简" w:hAnsi="汉仪中宋简" w:eastAsia="汉仪中宋简" w:cs="汉仪中宋简"/>
          <w:b/>
          <w:lang w:val="en-US" w:eastAsia="zh-CN"/>
        </w:rPr>
      </w:pPr>
    </w:p>
    <w:sdt>
      <w:sdtPr>
        <w:rPr>
          <w:rFonts w:hint="eastAsia" w:ascii="汉仪中宋简" w:hAnsi="汉仪中宋简" w:eastAsia="汉仪中宋简" w:cs="汉仪中宋简"/>
          <w:b/>
          <w:bCs/>
          <w:kern w:val="2"/>
          <w:sz w:val="21"/>
          <w:szCs w:val="24"/>
          <w:lang w:val="en-US" w:eastAsia="zh-CN" w:bidi="ar-SA"/>
        </w:rPr>
        <w:id w:val="147466021"/>
        <ns10:color w:val="DBDBDB"/>
        <w:docPartObj>
          <w:docPartGallery w:val="Table of Contents"/>
          <w:docPartUnique/>
        </w:docPartObj>
      </w:sdtPr>
      <w:sdtEndPr>
        <w:rPr>
          <w:rFonts w:hint="eastAsia" w:ascii="汉仪中宋简" w:hAnsi="汉仪中宋简" w:eastAsia="汉仪中宋简" w:cs="汉仪中宋简"/>
          <w:b/>
          <w:bCs/>
          <w:kern w:val="2"/>
          <w:sz w:val="21"/>
          <w:szCs w:val="24"/>
          <w:lang w:val="en-US" w:eastAsia="zh-CN" w:bidi="ar-SA"/>
        </w:rPr>
      </w:sdtEndPr>
      <w:sdtContent>
        <w:p ns2:paraId="40F87C1A">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ind w:left="0" w:leftChars="0" w:right="0" w:rightChars="0" w:firstLine="0" w:firstLineChars="0"/>
            <w:jc w:val="center"/>
            <w:textAlignment w:val="auto"/>
            <w:rPr>
              <w:rFonts w:hint="eastAsia" w:ascii="汉仪中宋简" w:hAnsi="汉仪中宋简" w:eastAsia="汉仪中宋简" w:cs="汉仪中宋简"/>
              <w:kern w:val="2"/>
              <w:sz w:val="21"/>
              <w:szCs w:val="24"/>
              <w:lang w:val="en-US" w:eastAsia="zh-CN" w:bidi="ar-SA"/>
            </w:rPr>
          </w:pPr>
          <w:r>
            <w:rPr>
              <w:rFonts w:hint="eastAsia" w:ascii="汉仪中宋简" w:hAnsi="汉仪中宋简" w:eastAsia="汉仪中宋简" w:cs="汉仪中宋简"/>
              <w:b/>
              <w:bCs/>
              <w:sz w:val="40"/>
              <w:szCs w:val="40"/>
            </w:rPr>
            <w:t>目录</w:t>
          </w:r>
          <w:r>
            <w:rPr>
              <w:rFonts w:hint="eastAsia" w:ascii="汉仪中宋简" w:hAnsi="汉仪中宋简" w:eastAsia="汉仪中宋简" w:cs="汉仪中宋简"/>
            </w:rPr>
            <w:fldChar w:fldCharType="begin"/>
          </w:r>
          <w:r>
            <w:rPr>
              <w:rFonts w:hint="eastAsia" w:ascii="汉仪中宋简" w:hAnsi="汉仪中宋简" w:eastAsia="汉仪中宋简" w:cs="汉仪中宋简"/>
            </w:rPr>
            <w:instrText xml:space="preserve">TOC \o "1-2" \h \u </w:instrText>
          </w:r>
          <w:r>
            <w:rPr>
              <w:rFonts w:hint="eastAsia" w:ascii="汉仪中宋简" w:hAnsi="汉仪中宋简" w:eastAsia="汉仪中宋简" w:cs="汉仪中宋简"/>
            </w:rPr>
            <w:fldChar w:fldCharType="separate"/>
          </w:r>
        </w:p>
        <w:p ns2:paraId="3E960E78">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_Toc2436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前言</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_Toc2436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7AA5F2FB">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_Toc29577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 xml:space="preserve">一、 </w:t>
          </w:r>
          <w:r>
            <w:rPr>
              <w:rFonts w:hint="eastAsia" w:ascii="汉仪中宋简" w:hAnsi="汉仪中宋简" w:eastAsia="汉仪中宋简" w:cs="汉仪中宋简"/>
              <w:sz w:val="28"/>
              <w:szCs w:val="28"/>
              <w:highlight w:val="none"/>
              <w:lang w:val="en-US" w:eastAsia="zh-CN"/>
            </w:rPr>
            <w:t>项目背景</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_Toc29577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40A67AD7">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_Toc26883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 xml:space="preserve">二、 </w:t>
          </w:r>
          <w:r>
            <w:rPr>
              <w:rFonts w:hint="eastAsia" w:ascii="汉仪中宋简" w:hAnsi="汉仪中宋简" w:eastAsia="汉仪中宋简" w:cs="汉仪中宋简"/>
              <w:sz w:val="28"/>
              <w:szCs w:val="28"/>
              <w:highlight w:val="none"/>
              <w:lang w:val="en-US" w:eastAsia="zh-CN"/>
            </w:rPr>
            <w:t>项目开展情况</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_Toc26883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65E8BCBD">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_Toc17641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 xml:space="preserve">三、 </w:t>
          </w:r>
          <w:r>
            <w:rPr>
              <w:rFonts w:hint="eastAsia" w:ascii="汉仪中宋简" w:hAnsi="汉仪中宋简" w:eastAsia="汉仪中宋简" w:cs="汉仪中宋简"/>
              <w:sz w:val="28"/>
              <w:szCs w:val="28"/>
              <w:highlight w:val="none"/>
              <w:lang w:val="en-US" w:eastAsia="zh-CN"/>
            </w:rPr>
            <w:t>问卷说明</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_Toc17641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3</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13AE118E">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_Toc14182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四、 问卷结果分析</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_Toc14182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4</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3CB82E87">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_Toc23502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4.1药品疗效</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_Toc23502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5</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45DE5ED2">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_Toc4015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highlight w:val="none"/>
              <w:lang w:val="en-US" w:eastAsia="zh-CN"/>
            </w:rPr>
            <w:t>4.2药品安全性</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_Toc4015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6</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5F8A7B92">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_Toc4788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4.3用药行为与习惯​</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_Toc4788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7</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33D4F51E">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_Toc26585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4.4用药便利性</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_Toc26585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10</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1A49DB67">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_Toc24377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4.5药品经济性</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_Toc24377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12</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69C28F1E">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_Toc8285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4.6药品可及性</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_Toc8285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13</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35ADE83F">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_Toc1050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4.7用药指导信息评价</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_Toc1050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14</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2942BE44">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_Toc19608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五、 调研结果</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_Toc19608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16</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7F1F4112">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_Toc7275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5.1问卷重点问题分析</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_Toc7275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16</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06EB4282">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_Toc25533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highlight w:val="none"/>
              <w:lang w:val="en-US" w:eastAsia="zh-CN"/>
            </w:rPr>
            <w:t>5.2调研结果分析</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_Toc25533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18</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59359071">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_Toc4442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highlight w:val="none"/>
              <w:lang w:val="en-US" w:eastAsia="zh-CN"/>
            </w:rPr>
            <w:t>5.3建议</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_Toc4442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19</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7BF03D17">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_Toc17910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附件1：厄贝沙坦氢氯噻嗪片用药体验与疗效反馈患者调查问卷</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_Toc17910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21</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284CEFBC">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_Toc22330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highlight w:val="none"/>
              <w:lang w:val="en-US" w:eastAsia="zh-CN"/>
            </w:rPr>
            <w:t>附件2：问卷调查明细表</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_Toc22330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25</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2DE77654">
          <w:pPr>
            <w:pStyle w:val="7"/>
            <w:tabs>
              <w:tab w:val="right" w:leader="dot" w:pos="8306"/>
            </w:tabs>
            <w:rPr>
              <w:rFonts w:hint="eastAsia" w:ascii="汉仪中宋简" w:hAnsi="汉仪中宋简" w:eastAsia="汉仪中宋简" w:cs="汉仪中宋简"/>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_Toc8154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免责申明</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_Toc8154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26</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ns2:paraId="324C758E">
          <w:pPr>
            <w:keepNext w:val="0"/>
            <w:keepLines w:val="0"/>
            <w:pageBreakBefore w:val="0"/>
            <w:widowControl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rPr>
              <w:rFonts w:hint="eastAsia" w:ascii="汉仪中宋简" w:hAnsi="汉仪中宋简" w:eastAsia="汉仪中宋简" w:cs="汉仪中宋简"/>
            </w:rPr>
          </w:pPr>
          <w:r>
            <w:rPr>
              <w:rFonts w:hint="eastAsia" w:ascii="汉仪中宋简" w:hAnsi="汉仪中宋简" w:eastAsia="汉仪中宋简" w:cs="汉仪中宋简"/>
            </w:rPr>
            <w:fldChar w:fldCharType="end"/>
          </w:r>
        </w:p>
      </w:sdtContent>
    </w:sdt>
    <w:p ns2:paraId="2F7C28CF">
      <w:pPr>
        <w:pStyle w:val="2"/>
        <w:bidi w:val="0"/>
        <w:jc w:val="center"/>
        <w:rPr>
          <w:rFonts w:hint="eastAsia" w:ascii="汉仪中宋简" w:hAnsi="汉仪中宋简" w:eastAsia="汉仪中宋简" w:cs="汉仪中宋简"/>
          <w:lang w:val="en-US" w:eastAsia="zh-CN"/>
        </w:rPr>
        <w:sectPr>
          <w:footerReference ns9: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bookmarkStart w:id="7" w:name="_Toc2436"/>
    </w:p>
    <w:p ns2:paraId="6C8E94F9">
      <w:pPr>
        <w:pStyle w:val="2"/>
        <w:bidi w:val="0"/>
        <w:jc w:val="center"/>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rPr>
        <w:t>前言</w:t>
      </w:r>
      <w:bookmarkEnd w:id="7"/>
    </w:p>
    <w:p ns2:paraId="7D65B80C">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 xml:space="preserve">{{block.preface}}</w:t>
      </w:r>
    </w:p>
    <w:p ns2:paraId="3B61949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sectPr>
          <w:footerReference ns9: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ns2:paraId="041B3149">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bCs/>
          <w:sz w:val="44"/>
          <w:szCs w:val="44"/>
          <w:lang w:val="en-US" w:eastAsia="zh-CN"/>
        </w:rPr>
      </w:pPr>
      <w:bookmarkStart w:id="8" w:name="_Toc31976"/>
      <w:bookmarkStart w:id="9" w:name="_Toc6219"/>
      <w:bookmarkStart w:id="10" w:name="_Toc18642"/>
      <w:r>
        <w:rPr>
          <w:rFonts w:hint="eastAsia" w:ascii="汉仪中宋简" w:hAnsi="汉仪中宋简" w:eastAsia="汉仪中宋简" w:cs="汉仪中宋简"/>
          <w:b/>
          <w:bCs/>
          <w:sz w:val="44"/>
          <w:szCs w:val="44"/>
          <w:lang w:val="en-US" w:eastAsia="zh-CN"/>
        </w:rPr>
        <w:t xml:space="preserve">{{field.report_title}}</w:t>
      </w:r>
      <w:bookmarkEnd w:id="8"/>
      <w:bookmarkEnd w:id="9"/>
      <w:bookmarkEnd w:id="10"/>
    </w:p>
    <w:p ns2:paraId="20E32FAB">
      <w:pPr>
        <w:pStyle w:val="3"/>
        <w:numPr>
          <w:ilvl w:val="0"/>
          <w:numId w:val="1"/>
        </w:numPr>
        <w:bidi w:val="0"/>
        <w:outlineLvl w:val="0"/>
        <w:rPr>
          <w:rFonts w:hint="eastAsia" w:ascii="汉仪中宋简" w:hAnsi="汉仪中宋简" w:eastAsia="汉仪中宋简" w:cs="汉仪中宋简"/>
          <w:b/>
          <w:highlight w:val="none"/>
          <w:lang w:val="en-US" w:eastAsia="zh-CN"/>
        </w:rPr>
      </w:pPr>
      <w:bookmarkStart w:id="11" w:name="_Toc29577"/>
      <w:r>
        <w:rPr>
          <w:rFonts w:hint="eastAsia" w:ascii="汉仪中宋简" w:hAnsi="汉仪中宋简" w:eastAsia="汉仪中宋简" w:cs="汉仪中宋简"/>
          <w:b/>
          <w:highlight w:val="none"/>
          <w:lang w:val="en-US" w:eastAsia="zh-CN"/>
        </w:rPr>
        <w:t>项目背景</w:t>
      </w:r>
      <w:bookmarkEnd w:id="11"/>
    </w:p>
    <w:p ns2:paraId="33023550">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24"/>
          <w:highlight w:val="none"/>
          <w:lang w:val="en-US" w:eastAsia="zh-CN"/>
        </w:rPr>
      </w:pPr>
      <w:r>
        <w:rPr>
          <w:rFonts w:hint="eastAsia" w:ascii="汉仪中宋简" w:hAnsi="汉仪中宋简" w:eastAsia="汉仪中宋简" w:cs="汉仪中宋简"/>
          <w:sz w:val="24"/>
          <w:szCs w:val="24"/>
          <w:highlight w:val="none"/>
          <w:lang w:val="en-US" w:eastAsia="zh-CN"/>
        </w:rPr>
        <w:t xml:space="preserve">{{block.project_background}}</w:t>
      </w:r>
    </w:p>
    <w:p ns2:paraId="5BFBAEDB">
      <w:pPr>
        <w:pStyle w:val="3"/>
        <w:numPr>
          <w:ilvl w:val="0"/>
          <w:numId w:val="1"/>
        </w:numPr>
        <w:bidi w:val="0"/>
        <w:outlineLvl w:val="0"/>
        <w:rPr>
          <w:rFonts w:hint="eastAsia" w:ascii="汉仪中宋简" w:hAnsi="汉仪中宋简" w:eastAsia="汉仪中宋简" w:cs="汉仪中宋简"/>
          <w:b/>
          <w:highlight w:val="none"/>
          <w:lang w:val="en-US" w:eastAsia="zh-CN"/>
        </w:rPr>
      </w:pPr>
      <w:bookmarkStart w:id="12" w:name="_Toc26883"/>
      <w:r>
        <w:rPr>
          <w:rFonts w:hint="eastAsia" w:ascii="汉仪中宋简" w:hAnsi="汉仪中宋简" w:eastAsia="汉仪中宋简" w:cs="汉仪中宋简"/>
          <w:b/>
          <w:highlight w:val="none"/>
          <w:lang w:val="en-US" w:eastAsia="zh-CN"/>
        </w:rPr>
        <w:t>项目开展情况</w:t>
      </w:r>
      <w:bookmarkEnd w:id="12"/>
    </w:p>
    <w:p ns2:paraId="1BBB4EDB">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 xml:space="preserve">{{block.project_execution}}</w:t>
      </w:r>
    </w:p>
    <w:p ns2:paraId="45E0F945">
      <w:pPr>
        <w:pStyle w:val="3"/>
        <w:numPr>
          <w:ilvl w:val="0"/>
          <w:numId w:val="1"/>
        </w:numPr>
        <w:bidi w:val="0"/>
        <w:outlineLvl w:val="0"/>
        <w:rPr>
          <w:rFonts w:hint="eastAsia" w:ascii="汉仪中宋简" w:hAnsi="汉仪中宋简" w:eastAsia="汉仪中宋简" w:cs="汉仪中宋简"/>
          <w:b/>
          <w:highlight w:val="none"/>
          <w:lang w:val="en-US" w:eastAsia="zh-CN"/>
        </w:rPr>
      </w:pPr>
      <w:bookmarkStart w:id="13" w:name="_Toc17641"/>
      <w:r>
        <w:rPr>
          <w:rFonts w:hint="eastAsia" w:ascii="汉仪中宋简" w:hAnsi="汉仪中宋简" w:eastAsia="汉仪中宋简" w:cs="汉仪中宋简"/>
          <w:b/>
          <w:highlight w:val="none"/>
          <w:lang w:val="en-US" w:eastAsia="zh-CN"/>
        </w:rPr>
        <w:t>问卷说明</w:t>
      </w:r>
      <w:bookmarkEnd w:id="13"/>
    </w:p>
    <w:p ns2:paraId="709CC835">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highlight w:val="none"/>
          <w:lang w:val="en-US" w:eastAsia="zh-CN"/>
        </w:rPr>
      </w:pPr>
      <w:r>
        <w:rPr>
          <w:rFonts w:hint="eastAsia" w:ascii="汉仪中宋简" w:hAnsi="汉仪中宋简" w:eastAsia="汉仪中宋简" w:cs="汉仪中宋简"/>
          <w:sz w:val="24"/>
          <w:szCs w:val="32"/>
          <w:highlight w:val="none"/>
          <w:lang w:val="en-US" w:eastAsia="zh-CN"/>
        </w:rPr>
        <w:t xml:space="preserve">{{block.questionnaire_note}}</w:t>
      </w:r>
    </w:p>
    <w:p ns2:paraId="00BB390D">
      <w:pPr>
        <w:pStyle w:val="3"/>
        <w:numPr>
          <w:ilvl w:val="0"/>
          <w:numId w:val="1"/>
        </w:numPr>
        <w:bidi w:val="0"/>
        <w:outlineLvl w:val="0"/>
        <w:rPr>
          <w:rFonts w:hint="eastAsia" w:ascii="汉仪中宋简" w:hAnsi="汉仪中宋简" w:eastAsia="汉仪中宋简" w:cs="汉仪中宋简"/>
          <w:b/>
          <w:lang w:val="en-US" w:eastAsia="zh-CN"/>
        </w:rPr>
      </w:pPr>
      <w:bookmarkStart w:id="14" w:name="_Toc14182"/>
      <w:r>
        <w:rPr>
          <w:rFonts w:hint="eastAsia" w:ascii="汉仪中宋简" w:hAnsi="汉仪中宋简" w:eastAsia="汉仪中宋简" w:cs="汉仪中宋简"/>
          <w:b/>
          <w:lang w:val="en-US" w:eastAsia="zh-CN"/>
        </w:rPr>
        <w:t>问卷结果分析</w:t>
      </w:r>
      <w:bookmarkEnd w:id="14"/>
    </w:p>
    <w:p ns2:paraId="795A2C94">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 xml:space="preserve">{{block.result_analysis.intro}}</w:t>
      </w:r>
    </w:p>
    <w:p ns2:paraId="12FB187E">
      <w:pPr>
        <w:keepNext w:val="0"/>
        <w:keepLines w:val="0"/>
        <w:pageBreakBefore w:val="0"/>
        <w:widowControl w:val="0"/>
        <w:numPr>
          <w:ilvl w:val="0"/>
          <w:numId w:val="0"/>
        </w:numPr>
        <w:kinsoku/>
        <w:wordWrap/>
        <w:overflowPunct/>
        <w:topLinePunct w:val="0"/>
        <w:autoSpaceDE/>
        <w:autoSpaceDN/>
        <w:bidi w:val="0"/>
        <w:adjustRightInd/>
        <w:snapToGrid/>
        <w:spacing w:line="600" w:lineRule="auto"/>
        <w:textAlignment w:val="auto"/>
        <w:rPr>
          <w:rFonts w:hint="eastAsia" w:ascii="汉仪中宋简" w:hAnsi="汉仪中宋简" w:eastAsia="汉仪中宋简" w:cs="汉仪中宋简"/>
        </w:rPr>
      </w:pPr>
      <w:r>
        <w:rPr>
          <w:rFonts w:hint="eastAsia" w:ascii="汉仪中宋简" w:hAnsi="汉仪中宋简" w:eastAsia="汉仪中宋简" w:cs="汉仪中宋简"/>
          <w:sz w:val="24"/>
          <w:szCs w:val="32"/>
          <w:lang w:val="en-US" w:eastAsia="zh-CN"/>
        </w:rPr>
        <w:drawing>
          <ns3:inline distT="0" distB="0" distL="114300" distR="114300">
            <ns3:extent cx="5238750" cy="4293235"/>
            <ns3:effectExtent l="9525" t="9525" r="9525" b="15240"/>
            <ns3:docPr id="7" name="图片 7"/>
            <ns3:cNvGraphicFramePr/>
            <ns4:graphic>
              <ns4:graphicData uri="http://schemas.openxmlformats.org/drawingml/2006/picture">
                <ns8:pic>
                  <ns8:nvPicPr>
                    <ns8:cNvPr id="7" name="图片 7"/>
                    <ns8:cNvPicPr/>
                  </ns8:nvPicPr>
                  <ns8:blipFill>
                    <ns4:blip ns9:embed="rId10"/>
                    <ns4:stretch>
                      <ns4:fillRect/>
                    </ns4:stretch>
                  </ns8:blipFill>
                  <ns8:spPr>
                    <ns4:xfrm>
                      <ns4:off x="0" y="0"/>
                      <ns4:ext cx="5238750" cy="4293235"/>
                    </ns4:xfrm>
                    <ns4:prstGeom prst="rect">
                      <ns4:avLst/>
                    </ns4:prstGeom>
                    <ns4:ln>
                      <ns4:solidFill>
                        <ns4:srgbClr val="FFFFFF"/>
                      </ns4:solidFill>
                    </ns4:ln>
                    <ns4:extLst>
                      <ns4:ext uri="{8CAD56D8-0F58-4FB8-B24C-77498146470C}">
                        <ns11:webExtensionRef ns9:id="rId9"/>
                      </ns4:ext>
                      <ns11:webExtensionRef ns9:id="rId9"/>
                    </ns4:extLst>
                  </ns8:spPr>
                </ns8:pic>
              </ns4:graphicData>
            </ns4:graphic>
          </ns3:inline>
        </w:drawing>
      </w:r>
      <w:r>
        <w:t xml:space="preserve">{{media.overview_pie}}</w:t>
      </w:r>
    </w:p>
    <w:p ns2:paraId="2A8B3975">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center"/>
        <w:textAlignment w:val="auto"/>
        <w:rPr>
          <w:rFonts w:hint="eastAsia" w:ascii="汉仪中宋简" w:hAnsi="汉仪中宋简" w:eastAsia="汉仪中宋简" w:cs="汉仪中宋简"/>
          <w:b w:val="0"/>
          <w:bCs w:val="0"/>
          <w:color w:val="000000" w:themeColor="text1"/>
          <w:sz w:val="24"/>
          <w:szCs w:val="24"/>
          <w:lang w:val="en-US" w:eastAsia="zh-CN"/>
          <ns2:textFill>
            <ns2:solidFill>
              <ns2:schemeClr ns2:val="tx1"/>
            </ns2:solidFill>
          </ns2:textFill>
        </w:rPr>
      </w:pPr>
      <w:r>
        <w:rPr>
          <w:rFonts w:hint="eastAsia" w:ascii="汉仪中宋简" w:hAnsi="汉仪中宋简" w:eastAsia="汉仪中宋简" w:cs="汉仪中宋简"/>
          <w:lang w:eastAsia="zh-CN"/>
        </w:rPr>
        <w:drawing>
          <ns3:inline distT="0" distB="0" distL="114300" distR="114300">
            <ns3:extent cx="5234305" cy="2489835"/>
            <ns3:effectExtent l="4445" t="4445" r="6350" b="45720"/>
            <ns3:docPr id="14" name="图表 14" descr="7b0a202020202263686172745265734964223a20223230343735383430220a7d0a"/>
            <ns3:cNvGraphicFramePr/>
            <ns4:graphic>
              <ns4:graphicData uri="http://schemas.openxmlformats.org/drawingml/2006/chart">
                <ns12:chart ns9:id="rId11"/>
              </ns4:graphicData>
            </ns4:graphic>
          </ns3:inline>
        </w:drawing>
      </w:r>
      <w:r>
        <w:rPr>
          <w:rFonts w:hint="eastAsia" w:ascii="汉仪中宋简" w:hAnsi="汉仪中宋简" w:eastAsia="汉仪中宋简" w:cs="汉仪中宋简"/>
          <w:lang w:eastAsia="zh-CN"/>
        </w:rPr>
        <w:drawing>
          <ns3:inline distT="0" distB="0" distL="114300" distR="114300">
            <ns3:extent cx="5240020" cy="2601595"/>
            <ns3:effectExtent l="4445" t="4445" r="13335" b="35560"/>
            <ns3:docPr id="11" name="图表 11" descr="7b0a202020202263686172745265734964223a20223230343735383430220a7d0a"/>
            <ns3:cNvGraphicFramePr/>
            <ns4:graphic>
              <ns4:graphicData uri="http://schemas.openxmlformats.org/drawingml/2006/chart">
                <ns12:chart ns9:id="rId12"/>
              </ns4:graphicData>
            </ns4:graphic>
          </ns3:inline>
        </w:drawing>
      </w:r>
      <w:r>
        <w:t xml:space="preserve">{{media.overview_bar}}</w:t>
      </w:r>
    </w:p>
    <w:p ns2:paraId="6FEF9D0C">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both"/>
        <w:textAlignment w:val="auto"/>
        <w:rPr>
          <w:rFonts w:hint="eastAsia" w:ascii="汉仪中宋简" w:hAnsi="汉仪中宋简" w:eastAsia="汉仪中宋简" w:cs="汉仪中宋简"/>
          <w:lang w:val="en-US" w:eastAsia="zh-CN"/>
        </w:rPr>
      </w:pPr>
    </w:p>
    <w:p ns2:paraId="062BDC27">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502" w:name="tpl_result_sections"/>
      <w:bookmarkStart w:id="15" w:name="_Toc23502"/>
      <w:r>
        <w:rPr>
          <w:rFonts w:hint="eastAsia" w:ascii="汉仪中宋简" w:hAnsi="汉仪中宋简" w:eastAsia="汉仪中宋简" w:cs="汉仪中宋简"/>
          <w:lang w:val="en-US" w:eastAsia="zh-CN"/>
        </w:rPr>
        <w:t xml:space="preserve">{{repeat.result_sections}}</w:t>
      </w:r>
      <w:bookmarkEnd w:id="15"/>
    </w:p>
    <w:p ns2:paraId="062BDC27">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5" w:name="_Toc23502"/>
      <w:r>
        <w:rPr>
          <w:rFonts w:hint="eastAsia" w:ascii="汉仪中宋简" w:hAnsi="汉仪中宋简" w:eastAsia="汉仪中宋简" w:cs="汉仪中宋简"/>
          <w:lang w:val="en-US" w:eastAsia="zh-CN"/>
        </w:rPr>
        <w:t>4.1药品疗效</w:t>
      </w:r>
      <w:bookmarkEnd w:id="15"/>
    </w:p>
    <w:p ns2:paraId="309B9A6C">
      <w:pPr>
        <w:pStyle w:val="4"/>
        <w:keepNext/>
        <w:keepLines/>
        <w:pageBreakBefore w:val="0"/>
        <w:widowControl w:val="0"/>
        <w:numPr>
          <w:ilvl w:val="0"/>
          <w:numId w:val="2"/>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血压控制效果分析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24"/>
        <w:gridCol w:w="896"/>
        <w:gridCol w:w="1494"/>
        <w:gridCol w:w="1494"/>
        <w:gridCol w:w="1494"/>
        <w:gridCol w:w="1496"/>
      </w:tblGrid>
      <w:tr ns2:paraId="7EA3F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8AD6E1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1.您服用厄贝沙坦氢氯噻嗪片后，血压控制效果如何？</w:t>
            </w:r>
          </w:p>
        </w:tc>
        <w:tc>
          <w:tcPr>
            <w:tcW w:w="8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B2E7BC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36A4CE8">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A.血压稳定在正常范围</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D226F51">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B.血压多数时间在正常范围</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1F85F2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C.血压偶尔超出正常范围</w:t>
            </w:r>
          </w:p>
        </w:tc>
        <w:tc>
          <w:tcPr>
            <w:tcW w:w="14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76F4B2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D.血压持续超出正常范围</w:t>
            </w:r>
          </w:p>
        </w:tc>
      </w:tr>
      <w:tr ns2:paraId="24BA0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7E325A1">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70A805CD">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8889C9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738</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8265E9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804</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7328D7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100</w:t>
            </w:r>
          </w:p>
        </w:tc>
        <w:tc>
          <w:tcPr>
            <w:tcW w:w="14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B4C423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r>
      <w:tr ns2:paraId="7DBF7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BB08899">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742B84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F47C4A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44.95%</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B0BF7C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48.96%</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4B33F6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6.09%</w:t>
            </w:r>
          </w:p>
        </w:tc>
        <w:tc>
          <w:tcPr>
            <w:tcW w:w="14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3F1392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r>
    </w:tbl>
    <w:p ns2:paraId="0107EF0C">
      <w:pPr>
        <w:rPr>
          <w:rFonts w:hint="eastAsia" w:ascii="汉仪中宋简" w:hAnsi="汉仪中宋简" w:eastAsia="汉仪中宋简" w:cs="汉仪中宋简"/>
          <w:lang w:val="en-US" w:eastAsia="zh-CN"/>
        </w:rPr>
      </w:pPr>
    </w:p>
    <w:p ns2:paraId="7DEDD867">
      <w:pPr>
        <w:keepNext w:val="0"/>
        <w:keepLines w:val="0"/>
        <w:pageBreakBefore w:val="0"/>
        <w:widowControl w:val="0"/>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调研结果呈现出极高的正向反馈比例。具体来看，44.95%的患者反馈血压能够稳定在正常范围，该部分患者通过规律服药实现了血压的精准管控，这是药物疗效达标的核心体现；48.96%的患者表示血压多数时间在正常范围，说明药物对该群体的血压调节具备持续有效性，仅在特殊生理状态或生活习惯波动时可能出现短暂波动，整体仍处于可控区间。两者合计占比高达93.91%，充分印证了厄贝沙坦氢氯噻嗪片作为复方降压药物的临床优势，其通过厄贝沙坦与氢氯噻嗪的协同作用，能够有效覆盖多数高血压患者的降压需求。此外，仅6.09%的患者存在血压偶尔超出正常范围的情况，无患者反馈血压持续失控，结合临床经验推测，该部分患者的血压波动可能与个体代谢差异、用药依从性细节偏差或生活方式干预不足相关，而非药物本身疗效不足，进一步说明该药物的整体疗效稳定性和可靠性。​</w:t>
      </w:r>
    </w:p>
    <w:p ns2:paraId="095C7902">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highlight w:val="none"/>
          <w:lang w:val="en-US" w:eastAsia="zh-CN"/>
        </w:rPr>
      </w:pPr>
      <w:bookmarkStart w:id="16" w:name="_Toc4015"/>
      <w:r>
        <w:rPr>
          <w:rFonts w:hint="eastAsia" w:ascii="汉仪中宋简" w:hAnsi="汉仪中宋简" w:eastAsia="汉仪中宋简" w:cs="汉仪中宋简"/>
          <w:highlight w:val="none"/>
          <w:lang w:val="en-US" w:eastAsia="zh-CN"/>
        </w:rPr>
        <w:t>4.2药品安全性</w:t>
      </w:r>
      <w:bookmarkEnd w:id="16"/>
    </w:p>
    <w:p ns2:paraId="24CF4E33">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头晕头痛不良反应分析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853"/>
        <w:gridCol w:w="1434"/>
        <w:gridCol w:w="1434"/>
        <w:gridCol w:w="1434"/>
        <w:gridCol w:w="1435"/>
      </w:tblGrid>
      <w:tr ns2:paraId="4DC8D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665E77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2.您服用厄贝沙坦氢氯噻嗪片期间，是否出现过头晕、头痛症状？</w:t>
            </w:r>
          </w:p>
        </w:tc>
        <w:tc>
          <w:tcPr>
            <w:tcW w:w="85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657401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F953B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A.经常出现，症状严重</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4203C6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B.偶尔出现，症状轻微可忍受</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12A77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C.很少出现，几乎无感觉</w:t>
            </w:r>
          </w:p>
        </w:tc>
        <w:tc>
          <w:tcPr>
            <w:tcW w:w="143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FDF4EA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D.从未出现过</w:t>
            </w:r>
          </w:p>
        </w:tc>
      </w:tr>
      <w:tr ns2:paraId="1BFA2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8B34AA1">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5E9F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23C697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B9E0C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100</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E0274C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679</w:t>
            </w:r>
          </w:p>
        </w:tc>
        <w:tc>
          <w:tcPr>
            <w:tcW w:w="143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3BC79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863</w:t>
            </w:r>
          </w:p>
        </w:tc>
      </w:tr>
      <w:tr ns2:paraId="0F99E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6F4FD79">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BB906B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C7C7E1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44DC1ED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6.09%</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7D4D82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41.35%</w:t>
            </w:r>
          </w:p>
        </w:tc>
        <w:tc>
          <w:tcPr>
            <w:tcW w:w="143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747184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52.56%</w:t>
            </w:r>
          </w:p>
        </w:tc>
      </w:tr>
    </w:tbl>
    <w:p ns2:paraId="67BFDFB0">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头晕、头痛是降压药物初期常见的不良反应，与血管扩张带来的脑部供血变化相关，其发生情况直接反映药物的安全性与患者耐受性。本次调研显示，52.56%的患者明确表示从未出现该症状，41.35%的患者反馈很少出现且几乎无感觉，两者合计占比93.91%，表明该药物对患者脑血管调节功能的影响极小，多数患者可快速适应药物作用。仅6.09%的患者出现偶尔轻微且可耐受的症状，无任何严重症状案例，说明即便出现不良反应，程度也较为轻微，不会对患者正常工作与生活造成干扰，进一步验证了该药物的安全性优势，为患者长期规律用药奠定了基础。​</w:t>
      </w:r>
    </w:p>
    <w:p ns2:paraId="08B2DF8A">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口渴多尿不良反应分析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1318"/>
        <w:gridCol w:w="1417"/>
        <w:gridCol w:w="1219"/>
        <w:gridCol w:w="1318"/>
        <w:gridCol w:w="1318"/>
      </w:tblGrid>
      <w:tr ns2:paraId="59E1E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E25056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3.您服用厄贝沙坦氢氯噻嗪片期间，是否出现过口渴、多尿情况？</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3CC8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1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CC7B0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A.经常出现，影响正常生活</w:t>
            </w:r>
          </w:p>
        </w:tc>
        <w:tc>
          <w:tcPr>
            <w:tcW w:w="12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2572A3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B.偶尔出现，无明显影响</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605CE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C.很少出现，几乎不察觉</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246F8F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D.从未出现过</w:t>
            </w:r>
          </w:p>
        </w:tc>
      </w:tr>
      <w:tr ns2:paraId="3460A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CA8FA64">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D270A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1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22D6F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2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88CF36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100</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B51B84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789</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C7DC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753</w:t>
            </w:r>
          </w:p>
        </w:tc>
      </w:tr>
      <w:tr ns2:paraId="3750A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B5335A8">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321346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1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35B410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2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AEA5F0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6.09%</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10A6EE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48.05%</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CC7C9F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45.86%</w:t>
            </w:r>
          </w:p>
        </w:tc>
      </w:tr>
    </w:tbl>
    <w:p ns2:paraId="22E10E77">
      <w:pPr>
        <w:rPr>
          <w:rFonts w:hint="eastAsia" w:ascii="汉仪中宋简" w:hAnsi="汉仪中宋简" w:eastAsia="汉仪中宋简" w:cs="汉仪中宋简"/>
          <w:lang w:val="en-US" w:eastAsia="zh-CN"/>
        </w:rPr>
      </w:pPr>
    </w:p>
    <w:p ns2:paraId="692990EB">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氢氯噻嗪作为利尿剂，其作用机制可能导致尿量增加，进而引发口渴感，这是该类成分常见的潜在不良反应，也是评估药物剂量配比科学性的重要指标。本次调研结果显示，45.86%的患者从未出现口渴、多尿情况，48.05%的患者很少出现且几乎不察觉，合计占比达93.91%，说明该药物的剂量配比经过科学优化，能够在充分发挥利尿剂降压作用的同时，最大限度降低其对患者水电解质平衡的影响，减少不良反应发生。仅6.09%的患者偶尔出现相关症状且无明显影响，进一步佐证了患者对该药物的良好耐受性，也体现了复方制剂协同作用的优势，兼顾疗效与安全性。</w:t>
      </w:r>
    </w:p>
    <w:p ns2:paraId="12A7EA35">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7" w:name="_Toc4788"/>
      <w:r>
        <w:rPr>
          <w:rFonts w:hint="eastAsia" w:ascii="汉仪中宋简" w:hAnsi="汉仪中宋简" w:eastAsia="汉仪中宋简" w:cs="汉仪中宋简"/>
          <w:lang w:val="en-US" w:eastAsia="zh-CN"/>
        </w:rPr>
        <w:t>4.3用药行为与习惯​</w:t>
      </w:r>
      <w:bookmarkEnd w:id="17"/>
    </w:p>
    <w:p ns2:paraId="6C112BBD">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购药渠道分析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16"/>
        <w:gridCol w:w="1087"/>
        <w:gridCol w:w="1429"/>
        <w:gridCol w:w="1429"/>
        <w:gridCol w:w="1429"/>
        <w:gridCol w:w="1429"/>
      </w:tblGrid>
      <w:tr ns2:paraId="50E9C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3" w:hRule="atLeast"/>
        </w:trPr>
        <w:tc>
          <w:tcPr>
            <w:tcW w:w="1716"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9F6B614">
            <w:pPr>
              <w:keepNext w:val="0"/>
              <w:keepLines w:val="0"/>
              <w:widowControl/>
              <w:suppressLineNumbers w:val="0"/>
              <w:jc w:val="center"/>
              <w:textAlignment w:val="center"/>
              <w:rPr>
                <w:rFonts w:hint="eastAsia" w:ascii="汉仪中宋简" w:hAnsi="汉仪中宋简" w:eastAsia="汉仪中宋简" w:cs="汉仪中宋简"/>
                <w:lang w:val="en-US" w:eastAsia="zh-CN"/>
              </w:rPr>
            </w:pPr>
            <w:r>
              <w:rPr>
                <w:rFonts w:hint="default" w:ascii="Calibri" w:hAnsi="Calibri" w:eastAsia="宋体" w:cs="Calibri"/>
                <w:i w:val="0"/>
                <w:iCs w:val="0"/>
                <w:color w:val="000000"/>
                <w:kern w:val="0"/>
                <w:sz w:val="20"/>
                <w:szCs w:val="20"/>
                <w:u w:val="none"/>
                <w:lang w:val="en-US" w:eastAsia="zh-CN" w:bidi="ar"/>
              </w:rPr>
              <w:t>4.您通常通过什么渠道购买厄贝沙坦氢氯噻嗪片？</w:t>
            </w:r>
          </w:p>
        </w:tc>
        <w:tc>
          <w:tcPr>
            <w:tcW w:w="108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21EDF5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558B0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A.医院药房</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5A255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B.线下连锁药店</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6C4E1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C.正规网上药店</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F424DC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D.其他渠道</w:t>
            </w:r>
          </w:p>
        </w:tc>
      </w:tr>
      <w:tr ns2:paraId="2065D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1716"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BF9FA66">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0DAEBA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2DE441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607</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064E03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476</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11174C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197</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BAA0E3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362</w:t>
            </w:r>
          </w:p>
        </w:tc>
      </w:tr>
      <w:tr ns2:paraId="6C684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1716"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B56F8C2">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8A9F67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B27F4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36.97%</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1FC47C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28.99%</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861DC8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12.00%</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CFC469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22.04%</w:t>
            </w:r>
          </w:p>
        </w:tc>
      </w:tr>
    </w:tbl>
    <w:p ns2:paraId="084DF76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购药渠道的选择直接关系到药品质量与用药安全，是反映患者用药认知的重要维度。本次调研显示，36.97%的患者通过医院药房购买，28.99%通过线下连锁药店购买，两者合计占比65.96%，体现了多数患者对正规购药渠道的信任，能够通过可靠渠道获取药品，有效规避非正规药品的质量风险；12.00%的患者选择正规网上药店，反映出部分患者对购药便利性、时效性的需求，契合当前数字化购药的发展趋势；而22.04%的患者通过其他渠道购买，该部分渠道信息不明确，存在购买到假冒伪劣药品的潜在风险，需重点关注并引导。</w:t>
      </w:r>
    </w:p>
    <w:p ns2:paraId="613F0823">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剂量遵循情况分析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3"/>
        <w:gridCol w:w="1000"/>
        <w:gridCol w:w="1426"/>
        <w:gridCol w:w="1426"/>
        <w:gridCol w:w="1426"/>
        <w:gridCol w:w="1428"/>
      </w:tblGrid>
      <w:tr ns2:paraId="536F8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93" w:hRule="atLeast"/>
        </w:trPr>
        <w:tc>
          <w:tcPr>
            <w:tcW w:w="181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392A41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6.您服用厄贝沙坦氢氯噻嗪片的剂量是否严格按照医嘱？</w:t>
            </w:r>
          </w:p>
        </w:tc>
        <w:tc>
          <w:tcPr>
            <w:tcW w:w="10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968C0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31873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A.始终严格遵守</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5489B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B.大部分时间遵守，偶尔微调</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BFF562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C.经常根据自身感觉调整</w:t>
            </w:r>
          </w:p>
        </w:tc>
        <w:tc>
          <w:tcPr>
            <w:tcW w:w="142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E7F13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D.从未按规定剂量服用</w:t>
            </w:r>
          </w:p>
        </w:tc>
      </w:tr>
      <w:tr ns2:paraId="24D7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181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895E5C4">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63DF4F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C3554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771</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B2094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525</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9D8CF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262</w:t>
            </w:r>
          </w:p>
        </w:tc>
        <w:tc>
          <w:tcPr>
            <w:tcW w:w="142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D9BD7E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84</w:t>
            </w:r>
          </w:p>
        </w:tc>
      </w:tr>
      <w:tr ns2:paraId="530FC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181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69FC243">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C1071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0A01A1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46.95%</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4C0825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31.97%</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0A93EB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15.96%</w:t>
            </w:r>
          </w:p>
        </w:tc>
        <w:tc>
          <w:tcPr>
            <w:tcW w:w="142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C890DC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5.12%</w:t>
            </w:r>
          </w:p>
        </w:tc>
      </w:tr>
    </w:tbl>
    <w:p ns2:paraId="7A23ED7B">
      <w:pPr>
        <w:rPr>
          <w:rFonts w:hint="eastAsia" w:ascii="汉仪中宋简" w:hAnsi="汉仪中宋简" w:eastAsia="汉仪中宋简" w:cs="汉仪中宋简"/>
          <w:lang w:val="en-US" w:eastAsia="zh-CN"/>
        </w:rPr>
      </w:pPr>
    </w:p>
    <w:p ns2:paraId="5022CDFD">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剂量遵医嘱情况是影响高血压治疗效果的关键因素，擅自调整剂量易导致血压波动，增加心脑血管并发症风险。调研结果显示，46.95%的患者能够始终严格遵守医嘱用药，31.97%的患者大部分时间遵守、仅偶尔微调，两者合计占比78.92%，说明多数患者具备基本的规范用药意识。但仍有21.08%的患者存在不规范用药情况，其中15.96%的患者经常根据自身感觉调整剂量，5.12%的患者从未按规定剂量服用，这类行为可能导致血压控制不佳或出现不良反应，是后续用药指导干预的重点群体。​</w:t>
      </w:r>
    </w:p>
    <w:p ns2:paraId="2EA2B37B">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78"/>
        <w:gridCol w:w="1403"/>
        <w:gridCol w:w="1403"/>
        <w:gridCol w:w="1548"/>
        <w:gridCol w:w="1258"/>
      </w:tblGrid>
      <w:tr ns2:paraId="32996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F303C4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8.您服用厄贝沙坦氢氯噻嗪片期间，是否同时服用其他降压药物？</w:t>
            </w:r>
          </w:p>
        </w:tc>
        <w:tc>
          <w:tcPr>
            <w:tcW w:w="9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2C8440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04871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A.同时服用 1 种其他降压药</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A10D4E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B.同时服用 2 种及以上其他降压药</w:t>
            </w:r>
          </w:p>
        </w:tc>
        <w:tc>
          <w:tcPr>
            <w:tcW w:w="154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217FE3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C.同时服用降压药及其他疾病治疗药物</w:t>
            </w:r>
          </w:p>
        </w:tc>
        <w:tc>
          <w:tcPr>
            <w:tcW w:w="125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5CBCF2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D.仅服用该药物</w:t>
            </w:r>
          </w:p>
        </w:tc>
      </w:tr>
      <w:tr ns2:paraId="68E8A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838B876">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68AA9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78C7277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93ED2EE">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180</w:t>
            </w:r>
          </w:p>
        </w:tc>
        <w:tc>
          <w:tcPr>
            <w:tcW w:w="154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12F88E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25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11F76F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806</w:t>
            </w:r>
          </w:p>
        </w:tc>
      </w:tr>
      <w:tr ns2:paraId="79024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2D10F13">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DA2ECD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5D2EF8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263536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10.96%</w:t>
            </w:r>
          </w:p>
        </w:tc>
        <w:tc>
          <w:tcPr>
            <w:tcW w:w="154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282FC8F">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25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10981D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49.09%</w:t>
            </w:r>
          </w:p>
        </w:tc>
      </w:tr>
    </w:tbl>
    <w:p ns2:paraId="756D313A">
      <w:pPr>
        <w:rPr>
          <w:rFonts w:hint="eastAsia" w:ascii="汉仪中宋简" w:hAnsi="汉仪中宋简" w:eastAsia="汉仪中宋简" w:cs="汉仪中宋简"/>
          <w:lang w:val="en-US" w:eastAsia="zh-CN"/>
        </w:rPr>
      </w:pPr>
    </w:p>
    <w:p ns2:paraId="020B70D7">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联合用药情况反映了患者病情复杂程度与药物适用范围。调研显示，49.09%的患者仅服用该药物即可实现血压控制，说明该药物对近半数高血压患者具备足够的降压效能，无需联合其他药物；14.98%的患者同时服用1种其他降压药，10.96%的患者同时服用2种及以上其他降压药，表明部分患者病情相对复杂，单一复方制剂无法满足降压需求；24.97%的患者同时服用降压药及其他疾病治疗药物，提示该部分患者可能合并糖尿病、冠心病等其他慢性疾病，用药方案需兼顾多疾病治疗需求，避免药物相互作用风险。</w:t>
      </w:r>
    </w:p>
    <w:p ns2:paraId="24B14632">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联合用药咨询情况分析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99"/>
        <w:gridCol w:w="1397"/>
        <w:gridCol w:w="1397"/>
        <w:gridCol w:w="1397"/>
        <w:gridCol w:w="1400"/>
      </w:tblGrid>
      <w:tr ns2:paraId="563C6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7BB59F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9.您是否咨询过医生，确认厄贝沙坦氢氯噻嗪片与其他药物可同时服用？</w:t>
            </w:r>
          </w:p>
        </w:tc>
        <w:tc>
          <w:tcPr>
            <w:tcW w:w="99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F3BD21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82AF12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A.专门咨询过，确认无冲突</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B133FB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B.简单询问过，大致了解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4B7028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C.没咨询过，但认为无问题</w:t>
            </w:r>
          </w:p>
        </w:tc>
        <w:tc>
          <w:tcPr>
            <w:tcW w:w="14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88A1E47">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D.没咨询过，不清楚是否有冲突</w:t>
            </w:r>
          </w:p>
        </w:tc>
      </w:tr>
      <w:tr ns2:paraId="6CE5E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3B23E4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D04F4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C4FDD0D">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421</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7F015C0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93E7444">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471</w:t>
            </w:r>
          </w:p>
        </w:tc>
        <w:tc>
          <w:tcPr>
            <w:tcW w:w="14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494A1DA">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335</w:t>
            </w:r>
          </w:p>
        </w:tc>
      </w:tr>
      <w:tr ns2:paraId="0D806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CCF6ED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4265DD2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558B28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25.64%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4D0B406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25.27%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DF975E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28.68%</w:t>
            </w:r>
          </w:p>
        </w:tc>
        <w:tc>
          <w:tcPr>
            <w:tcW w:w="14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74D1E88">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20.41%</w:t>
            </w:r>
          </w:p>
        </w:tc>
      </w:tr>
    </w:tbl>
    <w:p ns2:paraId="4FB33A41">
      <w:pPr>
        <w:rPr>
          <w:rFonts w:hint="eastAsia" w:ascii="汉仪中宋简" w:hAnsi="汉仪中宋简" w:eastAsia="汉仪中宋简" w:cs="汉仪中宋简"/>
          <w:lang w:val="en-US" w:eastAsia="zh-CN"/>
        </w:rPr>
      </w:pPr>
    </w:p>
    <w:p ns2:paraId="4B5CE04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药物相互作用是联合用药安全的核心关注点，咨询医生是规避该风险的关键途径。调研结果显示，仅25.64%的患者专门咨询过医生并确认无冲突，25.27%的患者简单询问过并大致了解，两者合计仅50.91%的患者对联合用药安全性进行过主动确认。而28.68%的患者未咨询过但主观认为无问题，20.41%的患者未咨询过且不清楚是否存在冲突，近半数患者对药物相互作用的关注度不足，存在潜在用药安全隐患，需通过强化用药指导予以纠正。</w:t>
      </w:r>
    </w:p>
    <w:p ns2:paraId="74646D95">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血压监测频率分析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61"/>
        <w:gridCol w:w="1052"/>
        <w:gridCol w:w="1426"/>
        <w:gridCol w:w="1502"/>
        <w:gridCol w:w="1500"/>
        <w:gridCol w:w="1278"/>
      </w:tblGrid>
      <w:tr ns2:paraId="77D00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1307BB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11.您服用厄贝沙坦氢氯噻嗪片期间，是否定期监测血压？</w:t>
            </w:r>
          </w:p>
        </w:tc>
        <w:tc>
          <w:tcPr>
            <w:tcW w:w="105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E53C28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B8BCD8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A.每天监测，记录详细数据</w:t>
            </w:r>
          </w:p>
        </w:tc>
        <w:tc>
          <w:tcPr>
            <w:tcW w:w="150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DC4402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B.每周监测 2-3 次，了解大致情况</w:t>
            </w:r>
          </w:p>
        </w:tc>
        <w:tc>
          <w:tcPr>
            <w:tcW w:w="15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4B91EB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C.偶尔监测，无固定频率</w:t>
            </w:r>
          </w:p>
        </w:tc>
        <w:tc>
          <w:tcPr>
            <w:tcW w:w="12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C6411A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D.从未监测</w:t>
            </w:r>
          </w:p>
        </w:tc>
      </w:tr>
      <w:tr ns2:paraId="613F6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2191697">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36AE02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169A65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50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F609813">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607</w:t>
            </w:r>
          </w:p>
        </w:tc>
        <w:tc>
          <w:tcPr>
            <w:tcW w:w="15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481E65A">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2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094C87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379</w:t>
            </w:r>
          </w:p>
        </w:tc>
      </w:tr>
      <w:tr ns2:paraId="73A17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BEEE492">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38761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CE3402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50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79CC8D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36.97%</w:t>
            </w:r>
          </w:p>
        </w:tc>
        <w:tc>
          <w:tcPr>
            <w:tcW w:w="15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A518B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2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E1266F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23.08%</w:t>
            </w:r>
          </w:p>
        </w:tc>
      </w:tr>
    </w:tbl>
    <w:p ns2:paraId="131B88BA">
      <w:pPr>
        <w:rPr>
          <w:rFonts w:hint="eastAsia" w:ascii="汉仪中宋简" w:hAnsi="汉仪中宋简" w:eastAsia="汉仪中宋简" w:cs="汉仪中宋简"/>
          <w:lang w:val="en-US" w:eastAsia="zh-CN"/>
        </w:rPr>
      </w:pPr>
    </w:p>
    <w:p ns2:paraId="65C60A08">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定期监测血压是评估用药效果、及时调整治疗方案的重要依据。调研显示，24.97%的患者每天监测并记录详细数据，36.97%的患者每周监测2-3次以了解大致情况，两者合计61.94%的患者能够定期监测血压，为治疗方案优化提供了数据支撑。但仍有38.06%的患者监测频率不足，其中14.98%的患者偶尔监测、无固定频率，23.08%的患者从未监测，这类患者无法及时掌握血压控制情况，难以发现潜在的血压波动风险，不利于治疗方案的精准调整。</w:t>
      </w:r>
    </w:p>
    <w:p ns2:paraId="210ED651">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8" w:name="_Toc26585"/>
      <w:r>
        <w:rPr>
          <w:rFonts w:hint="eastAsia" w:ascii="汉仪中宋简" w:hAnsi="汉仪中宋简" w:eastAsia="汉仪中宋简" w:cs="汉仪中宋简"/>
          <w:lang w:val="en-US" w:eastAsia="zh-CN"/>
        </w:rPr>
        <w:t>4.4用药便利性</w:t>
      </w:r>
      <w:bookmarkEnd w:id="18"/>
    </w:p>
    <w:p ns2:paraId="590C4B7E">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服药频率满意度分析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9"/>
        <w:gridCol w:w="929"/>
        <w:gridCol w:w="1519"/>
        <w:gridCol w:w="1519"/>
        <w:gridCol w:w="1519"/>
        <w:gridCol w:w="1522"/>
      </w:tblGrid>
      <w:tr ns2:paraId="2FF0F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3FA9A1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7.您对厄贝沙坦氢氯噻嗪片的服药频率满意度如何？</w:t>
            </w:r>
          </w:p>
        </w:tc>
        <w:tc>
          <w:tcPr>
            <w:tcW w:w="9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AFFE8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E531A4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A.频率很合适，按要求吃很轻松</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8DC7C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B.频率还可以，没对生活造成困扰</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0DA63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C.频率稍微有点高，偶尔会记不清</w:t>
            </w:r>
          </w:p>
        </w:tc>
        <w:tc>
          <w:tcPr>
            <w:tcW w:w="152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E426A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D.频率不太适应，想过调整一下</w:t>
            </w:r>
          </w:p>
        </w:tc>
      </w:tr>
      <w:tr ns2:paraId="5DD4E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3DE3481">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C6A1E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6F5FE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899</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E334D9F">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643</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2F4A9C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100</w:t>
            </w:r>
          </w:p>
        </w:tc>
        <w:tc>
          <w:tcPr>
            <w:tcW w:w="152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DDF4D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r>
      <w:tr ns2:paraId="10C32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1B25B9A">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753A51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0B416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54.75%</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13893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39.16%</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5F6A9C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52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7A8DA9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ns2:paraId="3A81E758">
      <w:pPr>
        <w:rPr>
          <w:rFonts w:hint="eastAsia" w:ascii="汉仪中宋简" w:hAnsi="汉仪中宋简" w:eastAsia="汉仪中宋简" w:cs="汉仪中宋简"/>
          <w:lang w:val="en-US" w:eastAsia="zh-CN"/>
        </w:rPr>
      </w:pPr>
    </w:p>
    <w:p ns2:paraId="379417FC">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服药频率直接影响患者用药依从性，尤其对于需长期用药的高血压患者，科学的服药频率应与患者生活节奏相契合。调研结果显示，54.75%的患者认为服药频率很合适，能够轻松按要求服药，反馈该频率与自身作息安排高度适配，不会因服药打乱日常规划；39.16%的患者认为频率还可以，未对生活造成困扰，说明即使部分患者对服药频率有轻微感知，但未形成实际负担。两者合计占比93.91%，仅6.09%的患者认为频率稍高、偶尔记不清，无患者反馈无法适应，充分说明该药物的服药频率设计科学合理，符合绝大多数患者的生活习惯，能够有效提升用药依从性。</w:t>
      </w:r>
    </w:p>
    <w:p ns2:paraId="75165838">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药品包装便利性分析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51"/>
        <w:gridCol w:w="1493"/>
        <w:gridCol w:w="1493"/>
        <w:gridCol w:w="1493"/>
        <w:gridCol w:w="1495"/>
      </w:tblGrid>
      <w:tr ns2:paraId="4DA3B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DF85B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12.您对厄贝沙坦氢氯噻嗪片药品包装的便利性评价如何？</w:t>
            </w:r>
          </w:p>
        </w:tc>
        <w:tc>
          <w:tcPr>
            <w:tcW w:w="951"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189332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57EB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A.储存、取用都方便</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E1F826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B.基本满足需求</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1E0D50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C.存在取用麻烦等问题</w:t>
            </w:r>
          </w:p>
        </w:tc>
        <w:tc>
          <w:tcPr>
            <w:tcW w:w="149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3DA89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D.非常不便利，严重影响使用</w:t>
            </w:r>
          </w:p>
        </w:tc>
      </w:tr>
      <w:tr ns2:paraId="51478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37585F5">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5E23B6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D56AE2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748</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998BC3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794</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48E083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9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196A03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ns2:paraId="15767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55A41D4">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4FB409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D697EA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45.55%</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0B7D2F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48.36%</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D985BB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9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3F6AA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ns2:paraId="4095A103">
      <w:pPr>
        <w:rPr>
          <w:rFonts w:hint="eastAsia" w:ascii="汉仪中宋简" w:hAnsi="汉仪中宋简" w:eastAsia="汉仪中宋简" w:cs="汉仪中宋简"/>
          <w:sz w:val="24"/>
          <w:szCs w:val="32"/>
          <w:lang w:val="en-US" w:eastAsia="zh-CN"/>
        </w:rPr>
      </w:pPr>
    </w:p>
    <w:p ns2:paraId="55A08AEF">
      <w:pPr>
        <w:keepNext w:val="0"/>
        <w:keepLines w:val="0"/>
        <w:pageBreakBefore w:val="0"/>
        <w:widowControl w:val="0"/>
        <w:kinsoku/>
        <w:wordWrap/>
        <w:overflowPunct/>
        <w:topLinePunct w:val="0"/>
        <w:autoSpaceDE/>
        <w:autoSpaceDN/>
        <w:bidi w:val="0"/>
        <w:adjustRightInd/>
        <w:snapToGrid/>
        <w:spacing w:line="600" w:lineRule="auto"/>
        <w:ind w:firstLine="420"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sz w:val="24"/>
          <w:szCs w:val="32"/>
          <w:lang w:val="en-US" w:eastAsia="zh-CN"/>
        </w:rPr>
        <w:t>药品包装的便利性直接影响患者日常取用与外出携带体验，是用药便利性的重要组成部分。调研显示，45.55%的患者认为包装储存、取用都方便，反馈包装设计人性化，无论是居家储存还是外出携带都便捷高效，取用过程无需复杂操作；48.36%的患者认为包装基本满足需求，说明包装核心功能完备，能够覆盖日常用药的基础需求，虽无突出亮点，但未存在明显缺陷。两者合计占比93.91%，仅6.09%的患者认为存在取用麻烦问题，无患者反馈严重不便利，表明该药物包装设计符合大众使用习惯，为患者长期用药提供了便利保障。</w:t>
      </w:r>
    </w:p>
    <w:p ns2:paraId="597E3376">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9" w:name="_Toc24377"/>
      <w:r>
        <w:rPr>
          <w:rFonts w:hint="eastAsia" w:ascii="汉仪中宋简" w:hAnsi="汉仪中宋简" w:eastAsia="汉仪中宋简" w:cs="汉仪中宋简"/>
          <w:lang w:val="en-US" w:eastAsia="zh-CN"/>
        </w:rPr>
        <w:t>4.5药品经济性</w:t>
      </w:r>
      <w:bookmarkEnd w:id="19"/>
    </w:p>
    <w:p ns2:paraId="48960627">
      <w:pPr>
        <w:pStyle w:val="4"/>
        <w:keepNext/>
        <w:keepLines/>
        <w:pageBreakBefore w:val="0"/>
        <w:widowControl w:val="0"/>
        <w:numPr>
          <w:ilvl w:val="0"/>
          <w:numId w:val="6"/>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价格负担影响分析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93"/>
        <w:gridCol w:w="1437"/>
        <w:gridCol w:w="1367"/>
        <w:gridCol w:w="1367"/>
        <w:gridCol w:w="1367"/>
        <w:gridCol w:w="1367"/>
      </w:tblGrid>
      <w:tr ns2:paraId="22DC0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54C5ED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5.您认为厄贝沙坦氢氯噻嗪片的价格对您的用药负担影响如何？</w:t>
            </w:r>
          </w:p>
        </w:tc>
        <w:tc>
          <w:tcPr>
            <w:tcW w:w="143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5BB9BC0">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26E0E5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A.难以承受</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D7375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B.勉强承受</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2A196D7">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C.在可接受范围</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837C0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D.无压力</w:t>
            </w:r>
          </w:p>
        </w:tc>
      </w:tr>
      <w:tr ns2:paraId="014E1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85EA96B">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132148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1194D3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0</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3DAA08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56</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2DF4FE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819</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703ADE7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767</w:t>
            </w:r>
          </w:p>
        </w:tc>
      </w:tr>
      <w:tr ns2:paraId="36AFC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B903C86">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DA5CDC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55047D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0.00%</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940DCE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3.41%</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87D2D3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49.88%</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104F41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46.71%</w:t>
            </w:r>
          </w:p>
        </w:tc>
      </w:tr>
    </w:tbl>
    <w:p ns2:paraId="0D7C2D97">
      <w:pPr>
        <w:rPr>
          <w:rFonts w:hint="eastAsia" w:ascii="汉仪中宋简" w:hAnsi="汉仪中宋简" w:eastAsia="汉仪中宋简" w:cs="汉仪中宋简"/>
          <w:lang w:val="en-US" w:eastAsia="zh-CN"/>
        </w:rPr>
      </w:pPr>
    </w:p>
    <w:p ns2:paraId="4EA4F767">
      <w:pPr>
        <w:keepNext w:val="0"/>
        <w:keepLines w:val="0"/>
        <w:pageBreakBefore w:val="0"/>
        <w:widowControl w:val="0"/>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经济性是影响高血压患者长期用药依从性的核心因素之一，尤其对于需终身服药的患者，合理的药品价格是保障治疗连续性的关键。本次调研结果显示，患者对该药物价格的接受度极高，96.59%的患者认为价格在可承受范围内或无压力，充分印证了该药物价格定位的合理性与亲民性。其中，46.71%的患者明确表示价格无压力，该部分患者无论是经济收入水平较高，还是认可药物价格与治疗价值的匹配度，均未因价格产生用药顾虑，能够保障长期规律购药；49.88%的患者认为价格在可接受范围，说明该药物价格虽可能对其日常开支产生轻微影响，但影响程度完全在可承受边界内，不会因此中断治疗。值得注意的是，仅3.41%的患者认为价格勉强承受，无患者反馈难以承受，该部分患者大概率属于低收入群体或需同时承担多种慢性疾病用药费用，整体占比极低，说明药物价格未对多数患者的用药可及性造成阻碍。从长期治疗视角来看，合理的价格定位有效降低了患者的长期用药负担，为提升整体治疗依从性、实现血压长期控制提供了重要支撑，也为后续是否需要针对特殊困难群体推出医保倾斜政策提供了精准的数据参考。</w:t>
      </w:r>
    </w:p>
    <w:p ns2:paraId="07DCD09F">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20" w:name="_Toc8285"/>
      <w:r>
        <w:rPr>
          <w:rFonts w:hint="eastAsia" w:ascii="汉仪中宋简" w:hAnsi="汉仪中宋简" w:eastAsia="汉仪中宋简" w:cs="汉仪中宋简"/>
          <w:lang w:val="en-US" w:eastAsia="zh-CN"/>
        </w:rPr>
        <w:t>4.6药品可及性</w:t>
      </w:r>
      <w:bookmarkEnd w:id="20"/>
    </w:p>
    <w:p ns2:paraId="4705B5D2">
      <w:pPr>
        <w:pStyle w:val="4"/>
        <w:keepNext/>
        <w:keepLines/>
        <w:pageBreakBefore w:val="0"/>
        <w:widowControl w:val="0"/>
        <w:numPr>
          <w:ilvl w:val="0"/>
          <w:numId w:val="7"/>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药品供应稳定性分析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34"/>
        <w:gridCol w:w="969"/>
        <w:gridCol w:w="1575"/>
        <w:gridCol w:w="1440"/>
        <w:gridCol w:w="1440"/>
        <w:gridCol w:w="1440"/>
      </w:tblGrid>
      <w:tr ns2:paraId="02A87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67" w:hRule="atLeast"/>
        </w:trPr>
        <w:tc>
          <w:tcPr>
            <w:tcW w:w="183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0D4155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10.您所在地区的厄贝沙坦氢氯噻嗪片供应是否稳定？</w:t>
            </w:r>
          </w:p>
        </w:tc>
        <w:tc>
          <w:tcPr>
            <w:tcW w:w="96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024700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7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2A29FE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A.随时能买到</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E8F41A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B.偶尔缺货但不影响用药</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1610E6F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C.经常缺货</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AF67FB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D.严重影响用药</w:t>
            </w:r>
          </w:p>
        </w:tc>
      </w:tr>
      <w:tr ns2:paraId="60F99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3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2DA3E33">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1D55144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57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F52E845">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1138</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FEEC11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504</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0501062">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5935DBDA">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r>
      <w:tr ns2:paraId="16862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3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D765746">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5268F1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57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129FAC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69.31%</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C29DBA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30.69%</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04AE41C">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760A08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r>
    </w:tbl>
    <w:p ns2:paraId="0453E8DB">
      <w:pPr>
        <w:rPr>
          <w:rFonts w:hint="eastAsia" w:ascii="汉仪中宋简" w:hAnsi="汉仪中宋简" w:eastAsia="汉仪中宋简" w:cs="汉仪中宋简"/>
          <w:lang w:val="en-US" w:eastAsia="zh-CN"/>
        </w:rPr>
      </w:pPr>
    </w:p>
    <w:p ns2:paraId="41CBA2BB">
      <w:pPr>
        <w:keepNext w:val="0"/>
        <w:keepLines w:val="0"/>
        <w:pageBreakBefore w:val="0"/>
        <w:widowControl w:val="0"/>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供应稳定性是保障高血压患者长期规律治疗的前提，断药可能导致血压反弹，增加心脑血管并发症风险。本次调研显示，100%的患者用药供应得到有效保障，无患者因缺货影响治疗。具体来看，69.31%的患者表示随时能买到该药物，反映出其所在地区药品流通渠道畅通，医院药房、连锁药店、线上平台等多渠道均能稳定供应，充分满足日常用药需求；30.69%的患者表示偶尔缺货但不影响用药，说明该部分地区可能存在短期的供应链波动，但患者可通过提前储备药品、更换购药渠道等方式规避影响，未对治疗连续性造成实质干扰。无患者反馈经常缺货或严重影响用药，充分体现了该药物的供应保障体系完善，制药企业生产产能规划合理，药品流通环节管理规范，能够精准匹配不同地区患者的用药需求。​</w:t>
      </w:r>
    </w:p>
    <w:p ns2:paraId="04889787">
      <w:pPr>
        <w:pStyle w:val="3"/>
        <w:pageBreakBefore w:val="0"/>
        <w:kinsoku/>
        <w:wordWrap/>
        <w:overflowPunct/>
        <w:topLinePunct w:val="0"/>
        <w:autoSpaceDE/>
        <w:autoSpaceDN/>
        <w:bidi w:val="0"/>
        <w:adjustRightInd/>
        <w:snapToGrid/>
        <w:spacing w:line="480" w:lineRule="auto"/>
        <w:rPr>
          <w:rFonts w:hint="eastAsia"/>
          <w:lang w:val="en-US" w:eastAsia="zh-CN"/>
        </w:rPr>
      </w:pPr>
      <w:bookmarkStart w:id="21" w:name="_Toc1050"/>
      <w:r>
        <w:rPr>
          <w:rFonts w:hint="eastAsia" w:ascii="汉仪中宋简" w:hAnsi="汉仪中宋简" w:eastAsia="汉仪中宋简" w:cs="汉仪中宋简"/>
          <w:lang w:val="en-US" w:eastAsia="zh-CN"/>
        </w:rPr>
        <w:t>4.7用药指导信息评价</w:t>
      </w:r>
      <w:bookmarkEnd w:id="21"/>
    </w:p>
    <w:p ns2:paraId="11EE232C">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说明书信息清晰度分析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49"/>
        <w:gridCol w:w="979"/>
        <w:gridCol w:w="1397"/>
        <w:gridCol w:w="1397"/>
        <w:gridCol w:w="1397"/>
        <w:gridCol w:w="1398"/>
      </w:tblGrid>
      <w:tr ns2:paraId="24759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DF43C8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13.您对厄贝沙坦氢氯噻嗪片说明书中 “用法用量”“不良反应” 的标注清晰度评价如何？</w:t>
            </w:r>
          </w:p>
        </w:tc>
        <w:tc>
          <w:tcPr>
            <w:tcW w:w="97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EF8C9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852641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A.一目了然</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772002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B.容易理解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53559B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C.部分内容不够明确</w:t>
            </w:r>
          </w:p>
        </w:tc>
        <w:tc>
          <w:tcPr>
            <w:tcW w:w="139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0748A8C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D.难以分辨</w:t>
            </w:r>
          </w:p>
        </w:tc>
      </w:tr>
      <w:tr ns2:paraId="109D9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7AB13150">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77405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9814BE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827</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06601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D07C9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100</w:t>
            </w:r>
          </w:p>
        </w:tc>
        <w:tc>
          <w:tcPr>
            <w:tcW w:w="139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383B57E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r>
      <w:tr ns2:paraId="05DD7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FB7945C">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5DFD98A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056B5B7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50.37%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2FBDC5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43.54%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3195E85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39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DF50BE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ns2:paraId="04453DAE">
      <w:pPr>
        <w:rPr>
          <w:rFonts w:hint="eastAsia" w:ascii="汉仪中宋简" w:hAnsi="汉仪中宋简" w:eastAsia="汉仪中宋简" w:cs="汉仪中宋简"/>
          <w:lang w:val="en-US" w:eastAsia="zh-CN"/>
        </w:rPr>
      </w:pPr>
    </w:p>
    <w:p ns2:paraId="73E1EAED">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药品说明书是患者获取用药信息的核心载体，其清晰度直接影响患者用药安全性。调研结果显示，50.37%的患者认为说明书中“用法用量”“不良反应”等关键信息一目了然，反馈说明书语言表述通俗易懂、排版逻辑清晰，能够快速定位并理解核心用药信息，无需借助专业知识；43.54%的患者认为容易理解，说明即使部分患者对少数专业术语存在轻微困惑，但结合上下文或简单思考后仍能准确把握核心内容。两者合计占比93.91%，仅6.09%的患者认为部分内容不够明确，无患者反馈难以分辨，表明说明书的信息呈现方式符合大众认知习惯，信息传递效率高，能够为患者安全用药提供基础指导。​</w:t>
      </w:r>
    </w:p>
    <w:p ns2:paraId="79F7EE2D">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用药指导详细准确性分析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82"/>
        <w:gridCol w:w="1485"/>
        <w:gridCol w:w="1485"/>
        <w:gridCol w:w="1485"/>
        <w:gridCol w:w="1488"/>
      </w:tblGrid>
      <w:tr ns2:paraId="48A9C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A9A3C9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14.您认为当前获取的用药指导是否足够详细准确？</w:t>
            </w:r>
          </w:p>
        </w:tc>
        <w:tc>
          <w:tcPr>
            <w:tcW w:w="98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4377CDD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5BB40ED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A.非常详细准确，能解决所有疑问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682938E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B.比较详细准确，能解决大部分疑问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3130A1D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C.一般，部分疑问无法解答</w:t>
            </w:r>
          </w:p>
        </w:tc>
        <w:tc>
          <w:tcPr>
            <w:tcW w:w="148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ns2:paraId="254CB17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D.不够详细准确，存在很多困惑</w:t>
            </w:r>
          </w:p>
        </w:tc>
      </w:tr>
      <w:tr ns2:paraId="2C27C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35C9E8B">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4679FA8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7515069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817</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68EF142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725</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2CD03AC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8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ns2:paraId="0FDC580E">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ns2:paraId="1647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FA9030D">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FE33FF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637BD82C">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49.76%</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7A8F15A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44.15%</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19F2ED0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8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ns2:paraId="23FE445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ns2:paraId="63D4734D">
      <w:pPr>
        <w:rPr>
          <w:rFonts w:hint="eastAsia" w:ascii="汉仪中宋简" w:hAnsi="汉仪中宋简" w:eastAsia="汉仪中宋简" w:cs="汉仪中宋简"/>
          <w:sz w:val="24"/>
          <w:szCs w:val="32"/>
          <w:lang w:val="en-US" w:eastAsia="zh-CN"/>
        </w:rPr>
      </w:pPr>
    </w:p>
    <w:p ns2:paraId="71D7FAEB">
      <w:pPr>
        <w:keepNext w:val="0"/>
        <w:keepLines w:val="0"/>
        <w:pageBreakBefore w:val="0"/>
        <w:widowControl w:val="0"/>
        <w:kinsoku/>
        <w:wordWrap/>
        <w:overflowPunct/>
        <w:topLinePunct w:val="0"/>
        <w:autoSpaceDE/>
        <w:autoSpaceDN/>
        <w:bidi w:val="0"/>
        <w:adjustRightInd/>
        <w:snapToGrid/>
        <w:spacing w:line="600" w:lineRule="auto"/>
        <w:ind w:firstLine="420"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sz w:val="24"/>
          <w:szCs w:val="32"/>
          <w:lang w:val="en-US" w:eastAsia="zh-CN"/>
        </w:rPr>
        <w:t>专业的用药指导是保障患者安全用药的重要支撑，其详细准确性直接影响用药效果与安全性。调研显示，49.76%的患者认为当前获取的用药指导非常详细准确，能够解决所有用药疑问，说明医疗机构、药店等渠道提供的用药指导服务专业且全面，涵盖了服药时间、注意事项、不良反应应对措施等关键内容；44.15%的患者认为指导比较详细准确，能够解决大部分疑问，说明指导服务基本满足核心用药需求，仅存在少量细节问题未完全覆盖。两者合计占比93.91%，仅6.09%的患者认为部分疑问无法解答，整体反映出当前用药指导服务体系较为完善，能够为患者安全用药提供有效支撑。</w:t>
      </w:r>
      <w:bookmarkEnd w:id="502"/>
    </w:p>
    <w:p ns2:paraId="4E07A1E7">
      <w:pPr>
        <w:pStyle w:val="3"/>
        <w:keepNext/>
        <w:keepLines/>
        <w:pageBreakBefore w:val="0"/>
        <w:widowControl w:val="0"/>
        <w:numPr>
          <w:ilvl w:val="0"/>
          <w:numId w:val="1"/>
        </w:numPr>
        <w:kinsoku/>
        <w:wordWrap/>
        <w:overflowPunct/>
        <w:topLinePunct w:val="0"/>
        <w:autoSpaceDE/>
        <w:autoSpaceDN/>
        <w:bidi w:val="0"/>
        <w:adjustRightInd/>
        <w:snapToGrid/>
        <w:spacing w:line="720" w:lineRule="auto"/>
        <w:textAlignment w:val="auto"/>
        <w:outlineLvl w:val="0"/>
        <w:rPr>
          <w:rFonts w:hint="eastAsia" w:ascii="汉仪中宋简" w:hAnsi="汉仪中宋简" w:eastAsia="汉仪中宋简" w:cs="汉仪中宋简"/>
          <w:b/>
          <w:lang w:val="en-US" w:eastAsia="zh-CN"/>
        </w:rPr>
      </w:pPr>
      <w:bookmarkStart w:id="22" w:name="_Toc19608"/>
      <w:bookmarkStart w:id="30" w:name="_GoBack"/>
      <w:bookmarkEnd w:id="30"/>
      <w:r>
        <w:rPr>
          <w:rFonts w:hint="eastAsia" w:ascii="汉仪中宋简" w:hAnsi="汉仪中宋简" w:eastAsia="汉仪中宋简" w:cs="汉仪中宋简"/>
          <w:b/>
          <w:lang w:val="en-US" w:eastAsia="zh-CN"/>
        </w:rPr>
        <w:t>调研结果</w:t>
      </w:r>
      <w:bookmarkEnd w:id="22"/>
    </w:p>
    <w:p ns2:paraId="038E1764">
      <w:pPr>
        <w:pStyle w:val="3"/>
        <w:bidi w:val="0"/>
        <w:rPr>
          <w:rFonts w:hint="eastAsia" w:ascii="汉仪中宋简" w:hAnsi="汉仪中宋简" w:eastAsia="汉仪中宋简" w:cs="汉仪中宋简"/>
          <w:lang w:val="en-US" w:eastAsia="zh-CN"/>
        </w:rPr>
      </w:pPr>
      <w:bookmarkStart w:id="23" w:name="_Toc7275"/>
      <w:r>
        <w:rPr>
          <w:rFonts w:hint="eastAsia" w:ascii="汉仪中宋简" w:hAnsi="汉仪中宋简" w:eastAsia="汉仪中宋简" w:cs="汉仪中宋简"/>
          <w:lang w:val="en-US" w:eastAsia="zh-CN"/>
        </w:rPr>
        <w:t>5.1问卷重点问题分析</w:t>
      </w:r>
      <w:bookmarkEnd w:id="23"/>
    </w:p>
    <w:p ns2:paraId="435FF72E">
      <w:pPr>
        <w:keepNext w:val="0"/>
        <w:keepLines w:val="0"/>
        <w:pageBreakBefore w:val="0"/>
        <w:widowControl w:val="0"/>
        <w:numPr>
          <w:ilvl w:val="0"/>
          <w:numId w:val="0"/>
        </w:numPr>
        <w:kinsoku/>
        <w:wordWrap/>
        <w:overflowPunct/>
        <w:topLinePunct w:val="0"/>
        <w:autoSpaceDE/>
        <w:autoSpaceDN/>
        <w:bidi w:val="0"/>
        <w:adjustRightInd/>
        <w:snapToGrid/>
        <w:spacing w:line="600" w:lineRule="auto"/>
        <w:ind w:left="0" w:leftChars="0" w:firstLine="480" w:firstLineChars="20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pPr>
      <w:bookmarkStart w:id="500" w:name="tpl_key_issue_items"/>
      <w:r>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t xml:space="preserve">{{repeat.key_issue_items}}</w:t>
      </w:r>
    </w:p>
    <w:p ns2:paraId="435FF72E">
      <w:pPr>
        <w:keepNext w:val="0"/>
        <w:keepLines w:val="0"/>
        <w:pageBreakBefore w:val="0"/>
        <w:widowControl w:val="0"/>
        <w:numPr>
          <w:ilvl w:val="0"/>
          <w:numId w:val="0"/>
        </w:numPr>
        <w:kinsoku/>
        <w:wordWrap/>
        <w:overflowPunct/>
        <w:topLinePunct w:val="0"/>
        <w:autoSpaceDE/>
        <w:autoSpaceDN/>
        <w:bidi w:val="0"/>
        <w:adjustRightInd/>
        <w:snapToGrid/>
        <w:spacing w:line="600" w:lineRule="auto"/>
        <w:ind w:left="0" w:leftChars="0" w:firstLine="480" w:firstLineChars="20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pPr>
      <w:r>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t>药品疗效与经济性是影响高血压患者长期治疗依从性和疾病控制效果的核心维度，两者并非孤立存在，而是存在显著的协同关联。结合本次调研核心数据，对两个维度开展交叉联合分析，结果如下：</w:t>
      </w:r>
      <w:bookmarkEnd w:id="500"/>
    </w:p>
    <w:p ns2:paraId="472857A5">
      <w:pPr>
        <w:pStyle w:val="3"/>
        <w:bidi w:val="0"/>
        <w:rPr>
          <w:rFonts w:hint="eastAsia" w:ascii="汉仪中宋简" w:hAnsi="汉仪中宋简" w:eastAsia="汉仪中宋简" w:cs="汉仪中宋简"/>
          <w:b w:val="0"/>
          <w:bCs w:val="0"/>
          <w:color w:val="000000" w:themeColor="text1"/>
          <w:sz w:val="24"/>
          <w:szCs w:val="24"/>
          <w:highlight w:val="none"/>
          <w:lang w:val="en-US" w:eastAsia="zh-CN"/>
          <ns2:textFill>
            <ns2:solidFill>
              <ns2:schemeClr ns2:val="tx1"/>
            </ns2:solidFill>
          </ns2:textFill>
        </w:rPr>
      </w:pPr>
      <w:bookmarkStart w:id="24" w:name="_Toc25533"/>
      <w:r>
        <w:rPr>
          <w:rFonts w:hint="eastAsia" w:ascii="汉仪中宋简" w:hAnsi="汉仪中宋简" w:eastAsia="汉仪中宋简" w:cs="汉仪中宋简"/>
          <w:highlight w:val="none"/>
          <w:lang w:val="en-US" w:eastAsia="zh-CN"/>
        </w:rPr>
        <w:t xml:space="preserve">5.2调研结果总结</w:t>
      </w:r>
      <w:bookmarkEnd w:id="24"/>
    </w:p>
    <w:p ns2:paraId="40A1FD76">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t xml:space="preserve">{{block.summary.overall_analysis}}</w:t>
      </w:r>
    </w:p>
    <w:p ns2:paraId="352EFD12">
      <w:pPr>
        <w:pStyle w:val="3"/>
        <w:bidi w:val="0"/>
        <w:rPr>
          <w:rFonts w:hint="eastAsia" w:ascii="汉仪中宋简" w:hAnsi="汉仪中宋简" w:eastAsia="汉仪中宋简" w:cs="汉仪中宋简"/>
          <w:sz w:val="24"/>
          <w:szCs w:val="24"/>
          <w:highlight w:val="none"/>
          <w:lang w:val="en-US" w:eastAsia="zh-CN"/>
        </w:rPr>
      </w:pPr>
      <w:bookmarkStart w:id="25" w:name="_Toc4442"/>
      <w:r>
        <w:rPr>
          <w:rFonts w:hint="eastAsia" w:ascii="汉仪中宋简" w:hAnsi="汉仪中宋简" w:eastAsia="汉仪中宋简" w:cs="汉仪中宋简"/>
          <w:highlight w:val="none"/>
          <w:lang w:val="en-US" w:eastAsia="zh-CN"/>
        </w:rPr>
        <w:t>5.3建议</w:t>
      </w:r>
      <w:bookmarkEnd w:id="25"/>
    </w:p>
    <w:p ns2:paraId="1B2E2CF6">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ns2:textFill>
            <ns2:solidFill>
              <ns2:schemeClr ns2:val="tx1"/>
            </ns2:solidFill>
          </ns2:textFill>
        </w:rPr>
        <w:t xml:space="preserve">{{block.summary.recommendations}}</w:t>
      </w:r>
    </w:p>
    <w:p ns2:paraId="4272D18C">
      <w:pPr>
        <w:pStyle w:val="2"/>
        <w:bidi w:val="0"/>
        <w:jc w:val="left"/>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rPr>
        <w:t xml:space="preserve">附件1：{{field.attachments.attachment1_name}}</w:t>
      </w:r>
      <w:bookmarkEnd w:id="26"/>
    </w:p>
    <w:p ns2:paraId="1FEC2CC2">
      <w:pPr>
        <w:ind w:left="0" w:leftChars="0" w:firstLine="0" w:firstLineChars="0"/>
        <w:jc w:val="both"/>
        <w:rPr>
          <w:rFonts w:hint="eastAsia" w:ascii="汉仪中宋简" w:hAnsi="汉仪中宋简" w:eastAsia="汉仪中宋简" w:cs="汉仪中宋简"/>
          <w:lang w:val="en-US" w:eastAsia="zh-CN"/>
        </w:rPr>
      </w:pPr>
    </w:p>
    <w:p ns2:paraId="6CCA3D18">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bookmarkStart w:id="501" w:name="tpl_attachment_questions"/>
      <w:r>
        <w:rPr>
          <w:rFonts w:hint="default" w:ascii="汉仪中宋简" w:hAnsi="汉仪中宋简" w:eastAsia="汉仪中宋简" w:cs="汉仪中宋简"/>
          <w:snapToGrid/>
          <w:kern w:val="2"/>
          <w:sz w:val="24"/>
          <w:szCs w:val="24"/>
          <w:lang w:val="en-US" w:eastAsia="zh-CN"/>
        </w:rPr>
        <w:t xml:space="preserve">{{repeat.attachment_questions}}</w:t>
      </w:r>
    </w:p>
    <w:p ns2:paraId="6CCA3D18">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您服用厄贝沙坦氢氯噻嗪片后，血压控制效果如何？</w:t>
      </w:r>
    </w:p>
    <w:p ns2:paraId="66C0D4C3">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血压稳定在正常范围</w:t>
      </w:r>
      <w:bookmarkEnd w:id="501"/>
    </w:p>
    <w:p ns2:paraId="2E498182">
      <w:pPr>
        <w:rPr>
          <w:rFonts w:hint="eastAsia" w:ascii="汉仪中宋简" w:hAnsi="汉仪中宋简" w:eastAsia="汉仪中宋简" w:cs="汉仪中宋简"/>
          <w:lang w:val="en-US" w:eastAsia="zh-CN"/>
        </w:rPr>
      </w:pPr>
    </w:p>
    <w:p ns2:paraId="769D578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420" w:firstLineChars="200"/>
        <w:jc w:val="left"/>
        <w:textAlignment w:val="auto"/>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rPr>
        <w:br w:type="page"/>
      </w:r>
    </w:p>
    <w:p ns2:paraId="683C6AC0">
      <w:pPr>
        <w:pStyle w:val="2"/>
        <w:bidi w:val="0"/>
        <w:rPr>
          <w:rFonts w:hint="eastAsia" w:ascii="汉仪中宋简" w:hAnsi="汉仪中宋简" w:eastAsia="汉仪中宋简" w:cs="汉仪中宋简"/>
          <w:highlight w:val="none"/>
          <w:lang w:val="en-US" w:eastAsia="zh-CN"/>
        </w:rPr>
      </w:pPr>
      <w:bookmarkStart w:id="27" w:name="_Toc22330"/>
      <w:r>
        <w:rPr>
          <w:rFonts w:hint="eastAsia" w:ascii="汉仪中宋简" w:hAnsi="汉仪中宋简" w:eastAsia="汉仪中宋简" w:cs="汉仪中宋简"/>
          <w:highlight w:val="none"/>
          <w:lang w:val="en-US" w:eastAsia="zh-CN"/>
        </w:rPr>
        <w:t xml:space="preserve">附件2：{{field.attachments.attachment2_name}}</w:t>
      </w:r>
      <w:bookmarkEnd w:id="27"/>
    </w:p>
    <w:p ns2:paraId="6CD34407">
      <w:pPr>
        <w:bidi w:val="0"/>
        <w:rPr>
          <w:rFonts w:hint="eastAsia" w:ascii="汉仪中宋简" w:hAnsi="汉仪中宋简" w:eastAsia="汉仪中宋简" w:cs="汉仪中宋简"/>
          <w:highlight w:val="none"/>
        </w:rPr>
      </w:pPr>
      <w:r>
        <w:rPr>
          <w:rFonts w:hint="eastAsia" w:ascii="汉仪中宋简" w:hAnsi="汉仪中宋简" w:eastAsia="汉仪中宋简" w:cs="汉仪中宋简"/>
          <w:sz w:val="24"/>
          <w:szCs w:val="32"/>
          <w:highlight w:val="none"/>
          <w:lang w:val="en-US" w:eastAsia="zh-CN"/>
        </w:rPr>
        <w:t xml:space="preserve">{{field.attachments.attachment2_filename}}</w:t>
      </w:r>
    </w:p>
    <w:p ns2:paraId="6A33FBAA">
      <w:pPr>
        <w:rPr>
          <w:rFonts w:hint="eastAsia" w:ascii="汉仪中宋简" w:hAnsi="汉仪中宋简" w:eastAsia="汉仪中宋简" w:cs="汉仪中宋简"/>
        </w:rPr>
      </w:pPr>
    </w:p>
    <w:p ns2:paraId="61B638CE">
      <w:pPr>
        <w:rPr>
          <w:rFonts w:hint="eastAsia" w:ascii="汉仪中宋简" w:hAnsi="汉仪中宋简" w:eastAsia="汉仪中宋简" w:cs="汉仪中宋简"/>
        </w:rPr>
      </w:pPr>
    </w:p>
    <w:p ns2:paraId="544422C2">
      <w:pPr>
        <w:rPr>
          <w:rFonts w:hint="eastAsia" w:ascii="汉仪中宋简" w:hAnsi="汉仪中宋简" w:eastAsia="汉仪中宋简" w:cs="汉仪中宋简"/>
        </w:rPr>
      </w:pPr>
      <w:r>
        <w:rPr>
          <w:rFonts w:hint="eastAsia" w:ascii="汉仪中宋简" w:hAnsi="汉仪中宋简" w:eastAsia="汉仪中宋简" w:cs="汉仪中宋简"/>
        </w:rPr>
        <w:br w:type="page"/>
      </w:r>
    </w:p>
    <w:p ns2:paraId="6101B089">
      <w:pPr>
        <w:pStyle w:val="2"/>
        <w:bidi w:val="0"/>
        <w:jc w:val="center"/>
        <w:rPr>
          <w:rFonts w:hint="eastAsia" w:ascii="汉仪中宋简" w:hAnsi="汉仪中宋简" w:eastAsia="汉仪中宋简" w:cs="汉仪中宋简"/>
        </w:rPr>
      </w:pPr>
      <w:bookmarkStart w:id="28" w:name="_Toc30276"/>
      <w:bookmarkStart w:id="29" w:name="_Toc8154"/>
      <w:r>
        <w:rPr>
          <w:rFonts w:hint="eastAsia" w:ascii="汉仪中宋简" w:hAnsi="汉仪中宋简" w:eastAsia="汉仪中宋简" w:cs="汉仪中宋简"/>
        </w:rPr>
        <w:t>免责申明</w:t>
      </w:r>
      <w:bookmarkEnd w:id="28"/>
      <w:bookmarkEnd w:id="29"/>
    </w:p>
    <w:p ns2:paraId="5D943D93">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汉仪中宋简" w:hAnsi="汉仪中宋简" w:eastAsia="汉仪中宋简" w:cs="汉仪中宋简"/>
          <w:sz w:val="24"/>
          <w:szCs w:val="24"/>
        </w:rPr>
      </w:pPr>
      <w:r>
        <w:rPr>
          <w:rFonts w:hint="eastAsia" w:ascii="汉仪中宋简" w:hAnsi="汉仪中宋简" w:eastAsia="汉仪中宋简" w:cs="汉仪中宋简"/>
          <w:sz w:val="24"/>
          <w:szCs w:val="24"/>
        </w:rPr>
        <w:t xml:space="preserve">{{block.disclaimer.items}}</w:t>
      </w:r>
    </w:p>
    <w:p ns2:paraId="2B71D7B4">
      <w:pPr>
        <w:keepNext w:val="0"/>
        <w:keepLines w:val="0"/>
        <w:pageBreakBefore w:val="0"/>
        <w:widowControl w:val="0"/>
        <w:kinsoku/>
        <w:wordWrap/>
        <w:overflowPunct/>
        <w:topLinePunct w:val="0"/>
        <w:autoSpaceDE/>
        <w:autoSpaceDN/>
        <w:bidi w:val="0"/>
        <w:adjustRightInd/>
        <w:snapToGrid/>
        <w:spacing w:line="480" w:lineRule="auto"/>
        <w:jc w:val="right"/>
        <w:textAlignment w:val="auto"/>
        <w:rPr>
          <w:rFonts w:hint="eastAsia" w:ascii="汉仪中宋简" w:hAnsi="汉仪中宋简" w:eastAsia="汉仪中宋简" w:cs="汉仪中宋简"/>
          <w:sz w:val="24"/>
          <w:szCs w:val="24"/>
        </w:rPr>
      </w:pPr>
      <w:r>
        <w:rPr>
          <w:rFonts w:hint="eastAsia" w:ascii="汉仪中宋简" w:hAnsi="汉仪中宋简" w:eastAsia="汉仪中宋简" w:cs="汉仪中宋简"/>
          <w:sz w:val="24"/>
          <w:szCs w:val="24"/>
        </w:rPr>
        <w:t xml:space="preserve">服务提供单位:{{field.service.unit}}</w:t>
      </w:r>
      <w:r>
        <w:rPr>
          <w:rFonts w:hint="eastAsia" w:ascii="汉仪中宋简" w:hAnsi="汉仪中宋简" w:eastAsia="汉仪中宋简" w:cs="汉仪中宋简"/>
          <w:sz w:val="24"/>
          <w:szCs w:val="24"/>
          <w:lang w:val="en-US" w:eastAsia="zh-CN"/>
        </w:rPr>
        <w:t/>
      </w:r>
    </w:p>
    <w:p ns2:paraId="1D60D8EB">
      <w:pPr>
        <w:keepNext w:val="0"/>
        <w:keepLines w:val="0"/>
        <w:pageBreakBefore w:val="0"/>
        <w:widowControl w:val="0"/>
        <w:kinsoku/>
        <w:wordWrap/>
        <w:overflowPunct/>
        <w:topLinePunct w:val="0"/>
        <w:autoSpaceDE/>
        <w:autoSpaceDN/>
        <w:bidi w:val="0"/>
        <w:adjustRightInd/>
        <w:snapToGrid/>
        <w:spacing w:line="480" w:lineRule="auto"/>
        <w:jc w:val="right"/>
        <w:textAlignment w:val="auto"/>
        <w:rPr>
          <w:rFonts w:hint="eastAsia" w:ascii="汉仪中宋简" w:hAnsi="汉仪中宋简" w:eastAsia="汉仪中宋简" w:cs="汉仪中宋简"/>
          <w:lang w:val="en-US" w:eastAsia="zh-CN"/>
        </w:rPr>
      </w:pPr>
      <w:r>
        <w:rPr>
          <w:rFonts w:hint="eastAsia" w:ascii="汉仪中宋简" w:hAnsi="汉仪中宋简" w:eastAsia="汉仪中宋简" w:cs="汉仪中宋简"/>
          <w:sz w:val="24"/>
          <w:szCs w:val="24"/>
          <w:lang w:eastAsia="zh-CN"/>
        </w:rPr>
        <w:t xml:space="preserve">{{field.service.date}}</w:t>
      </w:r>
      <w:r>
        <w:rPr>
          <w:rFonts w:hint="eastAsia" w:ascii="汉仪中宋简" w:hAnsi="汉仪中宋简" w:eastAsia="汉仪中宋简" w:cs="汉仪中宋简"/>
          <w:sz w:val="24"/>
          <w:szCs w:val="24"/>
        </w:rPr>
        <w:t/>
      </w:r>
      <w:r>
        <w:rPr>
          <w:rFonts w:hint="eastAsia" w:ascii="汉仪中宋简" w:hAnsi="汉仪中宋简" w:eastAsia="汉仪中宋简" w:cs="汉仪中宋简"/>
          <w:sz w:val="24"/>
          <w:szCs w:val="24"/>
          <w:lang w:val="en-US" w:eastAsia="zh-CN"/>
        </w:rPr>
        <w:t/>
      </w:r>
      <w:r>
        <w:rPr>
          <w:rFonts w:hint="eastAsia" w:ascii="汉仪中宋简" w:hAnsi="汉仪中宋简" w:eastAsia="汉仪中宋简" w:cs="汉仪中宋简"/>
          <w:sz w:val="24"/>
          <w:szCs w:val="24"/>
        </w:rPr>
        <w:t/>
      </w:r>
      <w:r>
        <w:rPr>
          <w:rFonts w:hint="eastAsia" w:ascii="汉仪中宋简" w:hAnsi="汉仪中宋简" w:eastAsia="汉仪中宋简" w:cs="汉仪中宋简"/>
          <w:sz w:val="24"/>
          <w:szCs w:val="24"/>
          <w:lang w:val="en-US" w:eastAsia="zh-CN"/>
        </w:rPr>
        <w:t/>
      </w:r>
      <w:r>
        <w:rPr>
          <w:rFonts w:hint="eastAsia" w:ascii="汉仪中宋简" w:hAnsi="汉仪中宋简" w:eastAsia="汉仪中宋简" w:cs="汉仪中宋简"/>
          <w:sz w:val="24"/>
          <w:szCs w:val="24"/>
        </w:rPr>
        <w:t/>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916C5615-01DB-4827-BD4E-F8610F5BD1FE}"/>
  </w:font>
  <w:font w:name="汉仪粗黑简">
    <w:panose1 w:val="02010600000101010101"/>
    <w:charset w:val="86"/>
    <w:family w:val="auto"/>
    <w:pitch w:val="default"/>
    <w:sig w:usb0="00000001" w:usb1="080E0800" w:usb2="00000002" w:usb3="00000000" w:csb0="00040000" w:csb1="00000000"/>
    <w:embedRegular r:id="rId2" w:fontKey="{D3E379EE-1C2C-4E0F-A61E-0A5D4F1DDB05}"/>
  </w:font>
  <w:font w:name="汉仪中宋简">
    <w:panose1 w:val="02010600000101010101"/>
    <w:charset w:val="80"/>
    <w:family w:val="auto"/>
    <w:pitch w:val="default"/>
    <w:sig w:usb0="800002BF" w:usb1="184F6CF8" w:usb2="00000012" w:usb3="00000000" w:csb0="00020001" w:csb1="00000000"/>
    <w:embedRegular r:id="rId3" w:fontKey="{E49E4BB4-9C54-44F1-84D6-2CCB9BE61129}"/>
  </w:font>
  <w:font w:name="汉仪元隆黑-105简">
    <w:panose1 w:val="00020600040101010101"/>
    <w:charset w:val="86"/>
    <w:family w:val="auto"/>
    <w:pitch w:val="default"/>
    <w:sig w:usb0="8000003F" w:usb1="1AC17CFA" w:usb2="00000016" w:usb3="00000000" w:csb0="0004009F" w:csb1="00000000"/>
    <w:embedRegular r:id="rId4" w:fontKey="{40560A2B-C648-4B1B-B617-701B83EC873A}"/>
  </w:font>
  <w:font w:name="WPSEMBED14">
    <w:panose1 w:val="02010600000101010101"/>
    <w:charset w:val="86"/>
    <w:family w:val="auto"/>
    <w:pitch w:val="default"/>
    <w:sig w:usb0="00000001" w:usb1="080E0800" w:usb2="00000002" w:usb3="00000000" w:csb0="00040000" w:csb1="00000000"/>
  </w:font>
  <w:font w:name="WPSEMBED15">
    <w:panose1 w:val="00020600040101010101"/>
    <w:charset w:val="86"/>
    <w:family w:val="auto"/>
    <w:pitch w:val="default"/>
    <w:sig w:usb0="8000003F" w:usb1="1AC17CFA" w:usb2="00000016" w:usb3="00000000" w:csb0="0004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88EBE">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CE882">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A4DAF">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5D9F86">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55D9F86">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BE0B2">
    <w:pPr>
      <w:pStyle w:val="6"/>
      <w:pBdr>
        <w:bottom w:val="single" w:color="auto" w:sz="4" w:space="1"/>
      </w:pBdr>
      <w:rPr>
        <w:rFonts w:hint="default"/>
        <w:lang w:val="en-US" w:eastAsia="zh-CN"/>
      </w:rPr>
    </w:pPr>
    <w:r>
      <w:rPr>
        <w:rFonts w:hint="eastAsia"/>
        <w:lang w:val="en-US" w:eastAsia="zh-CN"/>
      </w:rPr>
      <w:t xml:space="preserve">{{field.header_text}}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128A2"/>
    <w:multiLevelType w:val="singleLevel"/>
    <w:tmpl w:val="BAA128A2"/>
    <w:lvl w:ilvl="0" w:tentative="0">
      <w:start w:val="1"/>
      <w:numFmt w:val="decimal"/>
      <w:lvlText w:val="(%1)"/>
      <w:lvlJc w:val="left"/>
      <w:pPr>
        <w:ind w:left="425" w:hanging="425"/>
      </w:pPr>
      <w:rPr>
        <w:rFonts w:hint="default"/>
      </w:rPr>
    </w:lvl>
  </w:abstractNum>
  <w:abstractNum w:abstractNumId="1">
    <w:nsid w:val="C8B9116B"/>
    <w:multiLevelType w:val="singleLevel"/>
    <w:tmpl w:val="C8B9116B"/>
    <w:lvl w:ilvl="0" w:tentative="0">
      <w:start w:val="1"/>
      <w:numFmt w:val="decimal"/>
      <w:lvlText w:val="(%1)"/>
      <w:lvlJc w:val="left"/>
      <w:pPr>
        <w:ind w:left="425" w:hanging="425"/>
      </w:pPr>
      <w:rPr>
        <w:rFonts w:hint="default"/>
      </w:rPr>
    </w:lvl>
  </w:abstractNum>
  <w:abstractNum w:abstractNumId="2">
    <w:nsid w:val="036A05D1"/>
    <w:multiLevelType w:val="singleLevel"/>
    <w:tmpl w:val="036A05D1"/>
    <w:lvl w:ilvl="0" w:tentative="0">
      <w:start w:val="1"/>
      <w:numFmt w:val="upperLetter"/>
      <w:suff w:val="space"/>
      <w:lvlText w:val="%1."/>
      <w:lvlJc w:val="left"/>
    </w:lvl>
  </w:abstractNum>
  <w:abstractNum w:abstractNumId="3">
    <w:nsid w:val="072B0078"/>
    <w:multiLevelType w:val="singleLevel"/>
    <w:tmpl w:val="072B0078"/>
    <w:lvl w:ilvl="0" w:tentative="0">
      <w:start w:val="1"/>
      <w:numFmt w:val="decimal"/>
      <w:lvlText w:val="(%1)"/>
      <w:lvlJc w:val="left"/>
      <w:pPr>
        <w:ind w:left="425" w:hanging="425"/>
      </w:pPr>
      <w:rPr>
        <w:rFonts w:hint="default"/>
      </w:rPr>
    </w:lvl>
  </w:abstractNum>
  <w:abstractNum w:abstractNumId="4">
    <w:nsid w:val="1108D3A0"/>
    <w:multiLevelType w:val="singleLevel"/>
    <w:tmpl w:val="1108D3A0"/>
    <w:lvl w:ilvl="0" w:tentative="0">
      <w:start w:val="1"/>
      <w:numFmt w:val="decimal"/>
      <w:lvlText w:val="(%1)"/>
      <w:lvlJc w:val="left"/>
      <w:pPr>
        <w:ind w:left="425" w:hanging="425"/>
      </w:pPr>
      <w:rPr>
        <w:rFonts w:hint="default"/>
      </w:rPr>
    </w:lvl>
  </w:abstractNum>
  <w:abstractNum w:abstractNumId="5">
    <w:nsid w:val="2D9BC5AA"/>
    <w:multiLevelType w:val="singleLevel"/>
    <w:tmpl w:val="2D9BC5AA"/>
    <w:lvl w:ilvl="0" w:tentative="0">
      <w:start w:val="1"/>
      <w:numFmt w:val="chineseCounting"/>
      <w:suff w:val="nothing"/>
      <w:lvlText w:val="%1、"/>
      <w:lvlJc w:val="left"/>
      <w:rPr>
        <w:rFonts w:hint="eastAsia"/>
      </w:rPr>
    </w:lvl>
  </w:abstractNum>
  <w:abstractNum w:abstractNumId="6">
    <w:nsid w:val="30E93D70"/>
    <w:multiLevelType w:val="singleLevel"/>
    <w:tmpl w:val="30E93D70"/>
    <w:lvl w:ilvl="0" w:tentative="0">
      <w:start w:val="1"/>
      <w:numFmt w:val="decimal"/>
      <w:lvlText w:val="(%1)"/>
      <w:lvlJc w:val="left"/>
      <w:pPr>
        <w:ind w:left="425" w:hanging="425"/>
      </w:pPr>
      <w:rPr>
        <w:rFonts w:hint="default"/>
      </w:rPr>
    </w:lvl>
  </w:abstractNum>
  <w:abstractNum w:abstractNumId="7">
    <w:nsid w:val="364EF7CF"/>
    <w:multiLevelType w:val="singleLevel"/>
    <w:tmpl w:val="364EF7CF"/>
    <w:lvl w:ilvl="0" w:tentative="0">
      <w:start w:val="1"/>
      <w:numFmt w:val="decimal"/>
      <w:lvlText w:val="(%1)"/>
      <w:lvlJc w:val="left"/>
      <w:pPr>
        <w:ind w:left="425" w:hanging="425"/>
      </w:pPr>
      <w:rPr>
        <w:rFonts w:hint="default"/>
      </w:rPr>
    </w:lvl>
  </w:abstractNum>
  <w:abstractNum w:abstractNumId="8">
    <w:nsid w:val="4CC8A90B"/>
    <w:multiLevelType w:val="singleLevel"/>
    <w:tmpl w:val="4CC8A90B"/>
    <w:lvl w:ilvl="0" w:tentative="0">
      <w:start w:val="1"/>
      <w:numFmt w:val="decimal"/>
      <w:lvlText w:val="(%1)"/>
      <w:lvlJc w:val="left"/>
      <w:pPr>
        <w:ind w:left="425" w:hanging="425"/>
      </w:pPr>
      <w:rPr>
        <w:rFonts w:hint="default"/>
      </w:rPr>
    </w:lvl>
  </w:abstractNum>
  <w:abstractNum w:abstractNumId="9">
    <w:nsid w:val="514C377C"/>
    <w:multiLevelType w:val="singleLevel"/>
    <w:tmpl w:val="514C377C"/>
    <w:lvl w:ilvl="0" w:tentative="0">
      <w:start w:val="1"/>
      <w:numFmt w:val="upperLetter"/>
      <w:suff w:val="space"/>
      <w:lvlText w:val="%1."/>
      <w:lvlJc w:val="left"/>
    </w:lvl>
  </w:abstractNum>
  <w:abstractNum w:abstractNumId="10">
    <w:nsid w:val="76A2585A"/>
    <w:multiLevelType w:val="singleLevel"/>
    <w:tmpl w:val="76A2585A"/>
    <w:lvl w:ilvl="0" w:tentative="0">
      <w:start w:val="1"/>
      <w:numFmt w:val="decimal"/>
      <w:lvlText w:val="(%1)"/>
      <w:lvlJc w:val="left"/>
      <w:pPr>
        <w:ind w:left="425" w:hanging="425"/>
      </w:pPr>
      <w:rPr>
        <w:rFonts w:hint="default"/>
      </w:rPr>
    </w:lvl>
  </w:abstractNum>
  <w:num w:numId="1">
    <w:abstractNumId w:val="5"/>
  </w:num>
  <w:num w:numId="2">
    <w:abstractNumId w:val="7"/>
  </w:num>
  <w:num w:numId="3">
    <w:abstractNumId w:val="0"/>
  </w:num>
  <w:num w:numId="4">
    <w:abstractNumId w:val="10"/>
  </w:num>
  <w:num w:numId="5">
    <w:abstractNumId w:val="1"/>
  </w:num>
  <w:num w:numId="6">
    <w:abstractNumId w:val="8"/>
  </w:num>
  <w:num w:numId="7">
    <w:abstractNumId w:val="4"/>
  </w:num>
  <w:num w:numId="8">
    <w:abstractNumId w:val="6"/>
  </w:num>
  <w:num w:numId="9">
    <w:abstractNumId w:val="3"/>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5ZGQ5ZWQ1MmJhMGZkNmYwMjg3MjM4MGI4MGE3YjQifQ=="/>
  </w:docVars>
  <w:rsids>
    <w:rsidRoot w:val="00172A27"/>
    <w:rsid w:val="00115AC3"/>
    <w:rsid w:val="003A6B66"/>
    <w:rsid w:val="006E0802"/>
    <w:rsid w:val="00870763"/>
    <w:rsid w:val="00A566D5"/>
    <w:rsid w:val="00A80AAC"/>
    <w:rsid w:val="00B87A8B"/>
    <w:rsid w:val="00D5688F"/>
    <w:rsid w:val="00DF3269"/>
    <w:rsid w:val="00F143F4"/>
    <w:rsid w:val="011473B7"/>
    <w:rsid w:val="014E5AB0"/>
    <w:rsid w:val="015D278A"/>
    <w:rsid w:val="01761E20"/>
    <w:rsid w:val="01921BA8"/>
    <w:rsid w:val="01B071AF"/>
    <w:rsid w:val="01F9628B"/>
    <w:rsid w:val="0224362A"/>
    <w:rsid w:val="022D1E3A"/>
    <w:rsid w:val="023451DC"/>
    <w:rsid w:val="028D7F54"/>
    <w:rsid w:val="02A1111E"/>
    <w:rsid w:val="02A14C7A"/>
    <w:rsid w:val="02A66735"/>
    <w:rsid w:val="02C44BAF"/>
    <w:rsid w:val="034E3B00"/>
    <w:rsid w:val="03A91663"/>
    <w:rsid w:val="04511E3D"/>
    <w:rsid w:val="04DF7CDC"/>
    <w:rsid w:val="04E92909"/>
    <w:rsid w:val="04F068B8"/>
    <w:rsid w:val="050339CA"/>
    <w:rsid w:val="051C1B5A"/>
    <w:rsid w:val="05322502"/>
    <w:rsid w:val="0559183C"/>
    <w:rsid w:val="055F2BCB"/>
    <w:rsid w:val="056B3129"/>
    <w:rsid w:val="058F34B0"/>
    <w:rsid w:val="05C018BB"/>
    <w:rsid w:val="05E90CD0"/>
    <w:rsid w:val="05EA06E6"/>
    <w:rsid w:val="0616772D"/>
    <w:rsid w:val="06484524"/>
    <w:rsid w:val="06512D33"/>
    <w:rsid w:val="067A14B5"/>
    <w:rsid w:val="0680104B"/>
    <w:rsid w:val="06A37841"/>
    <w:rsid w:val="07234289"/>
    <w:rsid w:val="0768220B"/>
    <w:rsid w:val="07D94EB6"/>
    <w:rsid w:val="081E2791"/>
    <w:rsid w:val="08455529"/>
    <w:rsid w:val="08471B07"/>
    <w:rsid w:val="0893471C"/>
    <w:rsid w:val="08A019CA"/>
    <w:rsid w:val="08A116F6"/>
    <w:rsid w:val="08C81683"/>
    <w:rsid w:val="08D97F17"/>
    <w:rsid w:val="08F71A98"/>
    <w:rsid w:val="09185D37"/>
    <w:rsid w:val="091E6200"/>
    <w:rsid w:val="09291197"/>
    <w:rsid w:val="09772BD9"/>
    <w:rsid w:val="09DC6722"/>
    <w:rsid w:val="0A0F696E"/>
    <w:rsid w:val="0A576E8B"/>
    <w:rsid w:val="0A5B0B52"/>
    <w:rsid w:val="0AB63A17"/>
    <w:rsid w:val="0B1F33EE"/>
    <w:rsid w:val="0B494101"/>
    <w:rsid w:val="0B500BE0"/>
    <w:rsid w:val="0B767ABF"/>
    <w:rsid w:val="0B8F622A"/>
    <w:rsid w:val="0B9124F0"/>
    <w:rsid w:val="0BA17A09"/>
    <w:rsid w:val="0C0A7D34"/>
    <w:rsid w:val="0C3B4EC0"/>
    <w:rsid w:val="0C4C20FB"/>
    <w:rsid w:val="0C6831D4"/>
    <w:rsid w:val="0C935725"/>
    <w:rsid w:val="0CB06EE6"/>
    <w:rsid w:val="0CB84064"/>
    <w:rsid w:val="0CE05F94"/>
    <w:rsid w:val="0CE642FD"/>
    <w:rsid w:val="0D305579"/>
    <w:rsid w:val="0D642486"/>
    <w:rsid w:val="0D8B6C53"/>
    <w:rsid w:val="0D9E5A21"/>
    <w:rsid w:val="0DE60CCA"/>
    <w:rsid w:val="0E1327A4"/>
    <w:rsid w:val="0E2A1FC8"/>
    <w:rsid w:val="0E353822"/>
    <w:rsid w:val="0E7B6CC7"/>
    <w:rsid w:val="0E937761"/>
    <w:rsid w:val="0EA855E3"/>
    <w:rsid w:val="0EBB1744"/>
    <w:rsid w:val="0EC37DD2"/>
    <w:rsid w:val="0F120ABD"/>
    <w:rsid w:val="0F1D3EC4"/>
    <w:rsid w:val="0F24110D"/>
    <w:rsid w:val="0F7F00F1"/>
    <w:rsid w:val="0FCB3337"/>
    <w:rsid w:val="0FDD21EC"/>
    <w:rsid w:val="0FDF6DE2"/>
    <w:rsid w:val="10366FB9"/>
    <w:rsid w:val="103C5FE2"/>
    <w:rsid w:val="107F04D7"/>
    <w:rsid w:val="10B36F25"/>
    <w:rsid w:val="10BD5D42"/>
    <w:rsid w:val="10CB381A"/>
    <w:rsid w:val="10E0013B"/>
    <w:rsid w:val="115577AF"/>
    <w:rsid w:val="116636F0"/>
    <w:rsid w:val="116C28F7"/>
    <w:rsid w:val="11765524"/>
    <w:rsid w:val="118F39F0"/>
    <w:rsid w:val="11923F5B"/>
    <w:rsid w:val="11FD79F3"/>
    <w:rsid w:val="12217B86"/>
    <w:rsid w:val="12A7643B"/>
    <w:rsid w:val="12E865C3"/>
    <w:rsid w:val="12F9379A"/>
    <w:rsid w:val="130A686C"/>
    <w:rsid w:val="132F1E2E"/>
    <w:rsid w:val="139A199E"/>
    <w:rsid w:val="13AB5686"/>
    <w:rsid w:val="13F24D75"/>
    <w:rsid w:val="14184FB8"/>
    <w:rsid w:val="1495298C"/>
    <w:rsid w:val="14B71CD0"/>
    <w:rsid w:val="14C376F9"/>
    <w:rsid w:val="14F450DE"/>
    <w:rsid w:val="150F1F18"/>
    <w:rsid w:val="15183504"/>
    <w:rsid w:val="1574621E"/>
    <w:rsid w:val="15BC31A1"/>
    <w:rsid w:val="15C50828"/>
    <w:rsid w:val="15CF16A7"/>
    <w:rsid w:val="15D46CBD"/>
    <w:rsid w:val="15F10C2F"/>
    <w:rsid w:val="160F1869"/>
    <w:rsid w:val="165C118C"/>
    <w:rsid w:val="165D2B8A"/>
    <w:rsid w:val="16751C00"/>
    <w:rsid w:val="16CA259A"/>
    <w:rsid w:val="16D90A2F"/>
    <w:rsid w:val="16E3365C"/>
    <w:rsid w:val="1731510D"/>
    <w:rsid w:val="177E552D"/>
    <w:rsid w:val="17852965"/>
    <w:rsid w:val="17930E82"/>
    <w:rsid w:val="17E56F60"/>
    <w:rsid w:val="17F15FAE"/>
    <w:rsid w:val="1816180F"/>
    <w:rsid w:val="18165BC0"/>
    <w:rsid w:val="181F19E3"/>
    <w:rsid w:val="18277578"/>
    <w:rsid w:val="18512847"/>
    <w:rsid w:val="185A0482"/>
    <w:rsid w:val="186C7681"/>
    <w:rsid w:val="187A7FF0"/>
    <w:rsid w:val="188A386F"/>
    <w:rsid w:val="18A87A9A"/>
    <w:rsid w:val="18DA45EA"/>
    <w:rsid w:val="18F17B89"/>
    <w:rsid w:val="190175E5"/>
    <w:rsid w:val="194B7296"/>
    <w:rsid w:val="195920A9"/>
    <w:rsid w:val="19B906A4"/>
    <w:rsid w:val="19F94F44"/>
    <w:rsid w:val="1A813C91"/>
    <w:rsid w:val="1ACC5A4B"/>
    <w:rsid w:val="1AFB72AE"/>
    <w:rsid w:val="1B0D514B"/>
    <w:rsid w:val="1B281F85"/>
    <w:rsid w:val="1B652C55"/>
    <w:rsid w:val="1B8847D2"/>
    <w:rsid w:val="1BDE4794"/>
    <w:rsid w:val="1BE13EE2"/>
    <w:rsid w:val="1BE67E80"/>
    <w:rsid w:val="1BF26033"/>
    <w:rsid w:val="1C1F7144"/>
    <w:rsid w:val="1C2002B7"/>
    <w:rsid w:val="1C33298F"/>
    <w:rsid w:val="1C636C39"/>
    <w:rsid w:val="1C7106F0"/>
    <w:rsid w:val="1CA53161"/>
    <w:rsid w:val="1CB533A4"/>
    <w:rsid w:val="1CEF446B"/>
    <w:rsid w:val="1CF531D1"/>
    <w:rsid w:val="1D3544E5"/>
    <w:rsid w:val="1D945A3B"/>
    <w:rsid w:val="1DAB29F9"/>
    <w:rsid w:val="1DBA5174"/>
    <w:rsid w:val="1DC046F7"/>
    <w:rsid w:val="1DF61EC7"/>
    <w:rsid w:val="1E116D00"/>
    <w:rsid w:val="1E124D0F"/>
    <w:rsid w:val="1E15334A"/>
    <w:rsid w:val="1E6E1383"/>
    <w:rsid w:val="1E6E272B"/>
    <w:rsid w:val="1E814709"/>
    <w:rsid w:val="1EA01E32"/>
    <w:rsid w:val="1EAC5247"/>
    <w:rsid w:val="1EDC730E"/>
    <w:rsid w:val="1F370A48"/>
    <w:rsid w:val="1F4367BC"/>
    <w:rsid w:val="1FBA3134"/>
    <w:rsid w:val="1FE951F7"/>
    <w:rsid w:val="203A6774"/>
    <w:rsid w:val="208A1A2D"/>
    <w:rsid w:val="208F215E"/>
    <w:rsid w:val="209C2AB0"/>
    <w:rsid w:val="20A83220"/>
    <w:rsid w:val="20E57FD0"/>
    <w:rsid w:val="215E4EE8"/>
    <w:rsid w:val="21B463FC"/>
    <w:rsid w:val="21DD6EFA"/>
    <w:rsid w:val="21DF298D"/>
    <w:rsid w:val="21E45038"/>
    <w:rsid w:val="225418B2"/>
    <w:rsid w:val="225F0C79"/>
    <w:rsid w:val="22761828"/>
    <w:rsid w:val="229E48DB"/>
    <w:rsid w:val="22B97967"/>
    <w:rsid w:val="22D36C7A"/>
    <w:rsid w:val="22FD5AA5"/>
    <w:rsid w:val="232272BA"/>
    <w:rsid w:val="233B6F8E"/>
    <w:rsid w:val="236D16F9"/>
    <w:rsid w:val="23767606"/>
    <w:rsid w:val="23A70B19"/>
    <w:rsid w:val="23B4085A"/>
    <w:rsid w:val="23CD191B"/>
    <w:rsid w:val="23DE7F31"/>
    <w:rsid w:val="23E80503"/>
    <w:rsid w:val="23EB1DA2"/>
    <w:rsid w:val="24343749"/>
    <w:rsid w:val="243451F1"/>
    <w:rsid w:val="24637B8A"/>
    <w:rsid w:val="247D37DD"/>
    <w:rsid w:val="24816262"/>
    <w:rsid w:val="24AD5661"/>
    <w:rsid w:val="24BB1774"/>
    <w:rsid w:val="24FF3D57"/>
    <w:rsid w:val="25501043"/>
    <w:rsid w:val="2572277A"/>
    <w:rsid w:val="259E22CD"/>
    <w:rsid w:val="25C32FD6"/>
    <w:rsid w:val="25F61A23"/>
    <w:rsid w:val="264B4D7A"/>
    <w:rsid w:val="267F0A80"/>
    <w:rsid w:val="267F462A"/>
    <w:rsid w:val="26914DED"/>
    <w:rsid w:val="26D60AE7"/>
    <w:rsid w:val="26FE3B9A"/>
    <w:rsid w:val="27BF157B"/>
    <w:rsid w:val="28100433"/>
    <w:rsid w:val="281236EF"/>
    <w:rsid w:val="2818512F"/>
    <w:rsid w:val="284B1152"/>
    <w:rsid w:val="28547D0B"/>
    <w:rsid w:val="285642D5"/>
    <w:rsid w:val="286F399E"/>
    <w:rsid w:val="28956780"/>
    <w:rsid w:val="289A78F2"/>
    <w:rsid w:val="28B9246E"/>
    <w:rsid w:val="28E42C08"/>
    <w:rsid w:val="2901038D"/>
    <w:rsid w:val="29115675"/>
    <w:rsid w:val="299762DC"/>
    <w:rsid w:val="29CB0601"/>
    <w:rsid w:val="2A14048F"/>
    <w:rsid w:val="2A2B5E5C"/>
    <w:rsid w:val="2A3049B2"/>
    <w:rsid w:val="2A451994"/>
    <w:rsid w:val="2A522B7B"/>
    <w:rsid w:val="2A6E1037"/>
    <w:rsid w:val="2A8B3997"/>
    <w:rsid w:val="2AAB7789"/>
    <w:rsid w:val="2ABE3D6C"/>
    <w:rsid w:val="2ADA00F5"/>
    <w:rsid w:val="2AEC6B2B"/>
    <w:rsid w:val="2B1E7CFB"/>
    <w:rsid w:val="2B282108"/>
    <w:rsid w:val="2B2B291F"/>
    <w:rsid w:val="2B413AB8"/>
    <w:rsid w:val="2B6052C0"/>
    <w:rsid w:val="2B65243A"/>
    <w:rsid w:val="2BA54F2C"/>
    <w:rsid w:val="2BC1575F"/>
    <w:rsid w:val="2BF04D49"/>
    <w:rsid w:val="2C277C1E"/>
    <w:rsid w:val="2C2E0A7D"/>
    <w:rsid w:val="2C686611"/>
    <w:rsid w:val="2C691F08"/>
    <w:rsid w:val="2C752B50"/>
    <w:rsid w:val="2CBC6463"/>
    <w:rsid w:val="2CC11743"/>
    <w:rsid w:val="2CD2650A"/>
    <w:rsid w:val="2CD51B1F"/>
    <w:rsid w:val="2D1F65F8"/>
    <w:rsid w:val="2D5E1836"/>
    <w:rsid w:val="2D67693D"/>
    <w:rsid w:val="2D821BBD"/>
    <w:rsid w:val="2D8F19F0"/>
    <w:rsid w:val="2DBA2F11"/>
    <w:rsid w:val="2DD218DC"/>
    <w:rsid w:val="2DD647D7"/>
    <w:rsid w:val="2DF4043C"/>
    <w:rsid w:val="2E2204B6"/>
    <w:rsid w:val="2E4E18AB"/>
    <w:rsid w:val="2E7A61FC"/>
    <w:rsid w:val="2E8762A6"/>
    <w:rsid w:val="2E882855"/>
    <w:rsid w:val="2E9F64F2"/>
    <w:rsid w:val="2EC102CF"/>
    <w:rsid w:val="2EC90F31"/>
    <w:rsid w:val="2ED3341D"/>
    <w:rsid w:val="2ED3590C"/>
    <w:rsid w:val="2EED10C4"/>
    <w:rsid w:val="2F0361F1"/>
    <w:rsid w:val="2F4F58DB"/>
    <w:rsid w:val="2FA15A0A"/>
    <w:rsid w:val="2FAA1469"/>
    <w:rsid w:val="301A16BC"/>
    <w:rsid w:val="3034105F"/>
    <w:rsid w:val="303F76FD"/>
    <w:rsid w:val="308A4FF7"/>
    <w:rsid w:val="30A27C8C"/>
    <w:rsid w:val="30EC0F07"/>
    <w:rsid w:val="3135465C"/>
    <w:rsid w:val="315E4CA9"/>
    <w:rsid w:val="31692558"/>
    <w:rsid w:val="31807FCD"/>
    <w:rsid w:val="318501E2"/>
    <w:rsid w:val="31945827"/>
    <w:rsid w:val="31D64091"/>
    <w:rsid w:val="31EA69B8"/>
    <w:rsid w:val="32220A03"/>
    <w:rsid w:val="3244724D"/>
    <w:rsid w:val="3281224F"/>
    <w:rsid w:val="32B029E9"/>
    <w:rsid w:val="32DA2ABE"/>
    <w:rsid w:val="32E93950"/>
    <w:rsid w:val="32FD11AA"/>
    <w:rsid w:val="33114C55"/>
    <w:rsid w:val="33153347"/>
    <w:rsid w:val="332E1CAB"/>
    <w:rsid w:val="33963E2B"/>
    <w:rsid w:val="33A04957"/>
    <w:rsid w:val="33A1247D"/>
    <w:rsid w:val="33AB32FB"/>
    <w:rsid w:val="33F14D68"/>
    <w:rsid w:val="33FE78CF"/>
    <w:rsid w:val="34362F96"/>
    <w:rsid w:val="346A2C09"/>
    <w:rsid w:val="346D235F"/>
    <w:rsid w:val="346F60D7"/>
    <w:rsid w:val="34B260C8"/>
    <w:rsid w:val="34BF705E"/>
    <w:rsid w:val="34D523DE"/>
    <w:rsid w:val="34D80120"/>
    <w:rsid w:val="34E22D4D"/>
    <w:rsid w:val="354B26A0"/>
    <w:rsid w:val="359A460D"/>
    <w:rsid w:val="35BF4E3C"/>
    <w:rsid w:val="35E84393"/>
    <w:rsid w:val="363B2715"/>
    <w:rsid w:val="36606EC6"/>
    <w:rsid w:val="368247AC"/>
    <w:rsid w:val="37184804"/>
    <w:rsid w:val="371E0070"/>
    <w:rsid w:val="372E4027"/>
    <w:rsid w:val="376734F4"/>
    <w:rsid w:val="379921C2"/>
    <w:rsid w:val="37EA4306"/>
    <w:rsid w:val="384D672F"/>
    <w:rsid w:val="39002FB3"/>
    <w:rsid w:val="390C0398"/>
    <w:rsid w:val="390E2362"/>
    <w:rsid w:val="390E2462"/>
    <w:rsid w:val="39170C92"/>
    <w:rsid w:val="391D4354"/>
    <w:rsid w:val="392E47B3"/>
    <w:rsid w:val="395466E3"/>
    <w:rsid w:val="39921705"/>
    <w:rsid w:val="39A678B1"/>
    <w:rsid w:val="39DC77C9"/>
    <w:rsid w:val="39EC1AC0"/>
    <w:rsid w:val="3A0F5F29"/>
    <w:rsid w:val="3A1F5EA9"/>
    <w:rsid w:val="3A295F9B"/>
    <w:rsid w:val="3A2C3979"/>
    <w:rsid w:val="3A4B6C9E"/>
    <w:rsid w:val="3A5C70FE"/>
    <w:rsid w:val="3A7D5381"/>
    <w:rsid w:val="3ACA5A0A"/>
    <w:rsid w:val="3AEC66D3"/>
    <w:rsid w:val="3AFA0DF0"/>
    <w:rsid w:val="3B4D0803"/>
    <w:rsid w:val="3B64626A"/>
    <w:rsid w:val="3BDE6803"/>
    <w:rsid w:val="3C08753D"/>
    <w:rsid w:val="3C495460"/>
    <w:rsid w:val="3C5502A8"/>
    <w:rsid w:val="3C5E2583"/>
    <w:rsid w:val="3C687FDC"/>
    <w:rsid w:val="3C6E6982"/>
    <w:rsid w:val="3C862FBA"/>
    <w:rsid w:val="3C991F43"/>
    <w:rsid w:val="3D381350"/>
    <w:rsid w:val="3D780336"/>
    <w:rsid w:val="3D803103"/>
    <w:rsid w:val="3D8A5D30"/>
    <w:rsid w:val="3DA825AF"/>
    <w:rsid w:val="3DC47C3F"/>
    <w:rsid w:val="3DEB4A20"/>
    <w:rsid w:val="3DF257B2"/>
    <w:rsid w:val="3DF77869"/>
    <w:rsid w:val="3E086884"/>
    <w:rsid w:val="3E734A16"/>
    <w:rsid w:val="3EA82911"/>
    <w:rsid w:val="3F0965F9"/>
    <w:rsid w:val="3F0E5A67"/>
    <w:rsid w:val="3F2C09B1"/>
    <w:rsid w:val="3F740A45"/>
    <w:rsid w:val="3F8B219C"/>
    <w:rsid w:val="3FB456CB"/>
    <w:rsid w:val="407C4056"/>
    <w:rsid w:val="40D02F9B"/>
    <w:rsid w:val="40EE08A2"/>
    <w:rsid w:val="40EF4858"/>
    <w:rsid w:val="40F1696F"/>
    <w:rsid w:val="40F2256A"/>
    <w:rsid w:val="40FE0993"/>
    <w:rsid w:val="412224FD"/>
    <w:rsid w:val="41362456"/>
    <w:rsid w:val="41384420"/>
    <w:rsid w:val="41A53138"/>
    <w:rsid w:val="41B132F0"/>
    <w:rsid w:val="41F540C0"/>
    <w:rsid w:val="41F8593B"/>
    <w:rsid w:val="4230130C"/>
    <w:rsid w:val="424F183F"/>
    <w:rsid w:val="42636F27"/>
    <w:rsid w:val="42664FBD"/>
    <w:rsid w:val="426B5FFB"/>
    <w:rsid w:val="42772A73"/>
    <w:rsid w:val="42A65516"/>
    <w:rsid w:val="42C910A8"/>
    <w:rsid w:val="42F9198D"/>
    <w:rsid w:val="42FC167C"/>
    <w:rsid w:val="43217136"/>
    <w:rsid w:val="433F7758"/>
    <w:rsid w:val="439B2A45"/>
    <w:rsid w:val="43A54F96"/>
    <w:rsid w:val="43CC0E50"/>
    <w:rsid w:val="44590106"/>
    <w:rsid w:val="44625310"/>
    <w:rsid w:val="44831180"/>
    <w:rsid w:val="44C8711D"/>
    <w:rsid w:val="45151F83"/>
    <w:rsid w:val="453E18DA"/>
    <w:rsid w:val="455235D7"/>
    <w:rsid w:val="460743C1"/>
    <w:rsid w:val="46380A1F"/>
    <w:rsid w:val="463827CD"/>
    <w:rsid w:val="469228C4"/>
    <w:rsid w:val="46965745"/>
    <w:rsid w:val="46EA1201"/>
    <w:rsid w:val="471274C2"/>
    <w:rsid w:val="47AD0F98"/>
    <w:rsid w:val="47B0504B"/>
    <w:rsid w:val="47EF74AA"/>
    <w:rsid w:val="48233009"/>
    <w:rsid w:val="486309CF"/>
    <w:rsid w:val="48735D3E"/>
    <w:rsid w:val="488B0FC5"/>
    <w:rsid w:val="488C6E00"/>
    <w:rsid w:val="48950BDB"/>
    <w:rsid w:val="48A92658"/>
    <w:rsid w:val="48CB154A"/>
    <w:rsid w:val="48E82B89"/>
    <w:rsid w:val="48F350D1"/>
    <w:rsid w:val="49115557"/>
    <w:rsid w:val="49155047"/>
    <w:rsid w:val="49254325"/>
    <w:rsid w:val="49675177"/>
    <w:rsid w:val="49A01D61"/>
    <w:rsid w:val="49EB2377"/>
    <w:rsid w:val="4A1277D9"/>
    <w:rsid w:val="4A26699A"/>
    <w:rsid w:val="4A8A4B54"/>
    <w:rsid w:val="4ACC3E2B"/>
    <w:rsid w:val="4ACC47A3"/>
    <w:rsid w:val="4B052E99"/>
    <w:rsid w:val="4B1E132F"/>
    <w:rsid w:val="4B27776C"/>
    <w:rsid w:val="4B3519D1"/>
    <w:rsid w:val="4B35552D"/>
    <w:rsid w:val="4B9A5CD8"/>
    <w:rsid w:val="4BA64CEC"/>
    <w:rsid w:val="4BBB5B68"/>
    <w:rsid w:val="4BBE6EC5"/>
    <w:rsid w:val="4BC25D7D"/>
    <w:rsid w:val="4BC74433"/>
    <w:rsid w:val="4BDE7972"/>
    <w:rsid w:val="4BE8259F"/>
    <w:rsid w:val="4C0516D1"/>
    <w:rsid w:val="4C194E4E"/>
    <w:rsid w:val="4C2757BD"/>
    <w:rsid w:val="4C4F3C91"/>
    <w:rsid w:val="4C5A2FDC"/>
    <w:rsid w:val="4C680B4F"/>
    <w:rsid w:val="4C7347DE"/>
    <w:rsid w:val="4C8F6EBF"/>
    <w:rsid w:val="4CA30308"/>
    <w:rsid w:val="4CB67BF1"/>
    <w:rsid w:val="4CE622C3"/>
    <w:rsid w:val="4D1A2C2C"/>
    <w:rsid w:val="4D2C6110"/>
    <w:rsid w:val="4D357A66"/>
    <w:rsid w:val="4D7560B4"/>
    <w:rsid w:val="4D8E53C8"/>
    <w:rsid w:val="4DA92202"/>
    <w:rsid w:val="4DD51249"/>
    <w:rsid w:val="4E6E7AAD"/>
    <w:rsid w:val="4E946A0E"/>
    <w:rsid w:val="4EB81536"/>
    <w:rsid w:val="4EBB2485"/>
    <w:rsid w:val="4ECA19FE"/>
    <w:rsid w:val="4EE21425"/>
    <w:rsid w:val="4EEF1E97"/>
    <w:rsid w:val="4F1870FF"/>
    <w:rsid w:val="4F801EFF"/>
    <w:rsid w:val="4FAE58AE"/>
    <w:rsid w:val="4FC77E70"/>
    <w:rsid w:val="5019366F"/>
    <w:rsid w:val="5019541D"/>
    <w:rsid w:val="50266224"/>
    <w:rsid w:val="5031074C"/>
    <w:rsid w:val="504E6532"/>
    <w:rsid w:val="506A793C"/>
    <w:rsid w:val="50AC6075"/>
    <w:rsid w:val="50FD0F68"/>
    <w:rsid w:val="511B6F73"/>
    <w:rsid w:val="512E185C"/>
    <w:rsid w:val="514C730E"/>
    <w:rsid w:val="518670D6"/>
    <w:rsid w:val="51A46F68"/>
    <w:rsid w:val="51D535C6"/>
    <w:rsid w:val="51EA18B0"/>
    <w:rsid w:val="52197E96"/>
    <w:rsid w:val="52224331"/>
    <w:rsid w:val="522B7478"/>
    <w:rsid w:val="523A78CD"/>
    <w:rsid w:val="52616BAE"/>
    <w:rsid w:val="52A01E26"/>
    <w:rsid w:val="52AF16AD"/>
    <w:rsid w:val="52B72CCB"/>
    <w:rsid w:val="52B9474D"/>
    <w:rsid w:val="52FB3500"/>
    <w:rsid w:val="530879CB"/>
    <w:rsid w:val="53702DD7"/>
    <w:rsid w:val="538C6936"/>
    <w:rsid w:val="53A6376C"/>
    <w:rsid w:val="543C16DA"/>
    <w:rsid w:val="54BD27CE"/>
    <w:rsid w:val="54D943F6"/>
    <w:rsid w:val="55452810"/>
    <w:rsid w:val="55FC3817"/>
    <w:rsid w:val="562C1C22"/>
    <w:rsid w:val="56777156"/>
    <w:rsid w:val="568F4D4F"/>
    <w:rsid w:val="56927CD7"/>
    <w:rsid w:val="56AB0D99"/>
    <w:rsid w:val="56B75990"/>
    <w:rsid w:val="56C105BC"/>
    <w:rsid w:val="56C43C09"/>
    <w:rsid w:val="56D02B61"/>
    <w:rsid w:val="56D6406E"/>
    <w:rsid w:val="570A1F63"/>
    <w:rsid w:val="571C7539"/>
    <w:rsid w:val="572B1EDA"/>
    <w:rsid w:val="578A6C00"/>
    <w:rsid w:val="5797131D"/>
    <w:rsid w:val="57997088"/>
    <w:rsid w:val="57B819BF"/>
    <w:rsid w:val="57EA3B43"/>
    <w:rsid w:val="58022C3B"/>
    <w:rsid w:val="58490869"/>
    <w:rsid w:val="58690AF4"/>
    <w:rsid w:val="58920462"/>
    <w:rsid w:val="589917F1"/>
    <w:rsid w:val="58D63E23"/>
    <w:rsid w:val="59082C0D"/>
    <w:rsid w:val="59142C25"/>
    <w:rsid w:val="59367D0E"/>
    <w:rsid w:val="596E218B"/>
    <w:rsid w:val="59BB284B"/>
    <w:rsid w:val="59D03FE9"/>
    <w:rsid w:val="5A0802B0"/>
    <w:rsid w:val="5A647BDD"/>
    <w:rsid w:val="5A820063"/>
    <w:rsid w:val="5AAC3332"/>
    <w:rsid w:val="5AB242ED"/>
    <w:rsid w:val="5AD3266C"/>
    <w:rsid w:val="5AD84127"/>
    <w:rsid w:val="5AF01470"/>
    <w:rsid w:val="5B0E7B48"/>
    <w:rsid w:val="5B172023"/>
    <w:rsid w:val="5BCA2D15"/>
    <w:rsid w:val="5BD60CC0"/>
    <w:rsid w:val="5C1019F3"/>
    <w:rsid w:val="5C1A6503"/>
    <w:rsid w:val="5C3F41AF"/>
    <w:rsid w:val="5CB12E81"/>
    <w:rsid w:val="5CB62246"/>
    <w:rsid w:val="5CF547EA"/>
    <w:rsid w:val="5CF8285E"/>
    <w:rsid w:val="5D37510F"/>
    <w:rsid w:val="5DD111E4"/>
    <w:rsid w:val="5E0E058B"/>
    <w:rsid w:val="5E17280A"/>
    <w:rsid w:val="5E4F2952"/>
    <w:rsid w:val="5E7B54F5"/>
    <w:rsid w:val="5EA80B24"/>
    <w:rsid w:val="5F5D4BFA"/>
    <w:rsid w:val="5F97635E"/>
    <w:rsid w:val="5FA06419"/>
    <w:rsid w:val="5FCC55B0"/>
    <w:rsid w:val="5FD72BFF"/>
    <w:rsid w:val="5FE74F09"/>
    <w:rsid w:val="5FF3766A"/>
    <w:rsid w:val="601C5F42"/>
    <w:rsid w:val="60363DC9"/>
    <w:rsid w:val="60483AFC"/>
    <w:rsid w:val="60966616"/>
    <w:rsid w:val="60A254D6"/>
    <w:rsid w:val="60A50A50"/>
    <w:rsid w:val="60D158A0"/>
    <w:rsid w:val="60D66C28"/>
    <w:rsid w:val="611413BC"/>
    <w:rsid w:val="61706E67"/>
    <w:rsid w:val="61717761"/>
    <w:rsid w:val="619E09FC"/>
    <w:rsid w:val="61BE4076"/>
    <w:rsid w:val="61EA5B50"/>
    <w:rsid w:val="623460E6"/>
    <w:rsid w:val="62DA46B0"/>
    <w:rsid w:val="62F87114"/>
    <w:rsid w:val="630006BE"/>
    <w:rsid w:val="634E142A"/>
    <w:rsid w:val="636522D0"/>
    <w:rsid w:val="636C365E"/>
    <w:rsid w:val="637349EC"/>
    <w:rsid w:val="63814E23"/>
    <w:rsid w:val="63846BFA"/>
    <w:rsid w:val="638E7A78"/>
    <w:rsid w:val="63B868A3"/>
    <w:rsid w:val="63CE0DB5"/>
    <w:rsid w:val="63D80CF3"/>
    <w:rsid w:val="63DD630A"/>
    <w:rsid w:val="63DE39EA"/>
    <w:rsid w:val="63F278A5"/>
    <w:rsid w:val="64656A2B"/>
    <w:rsid w:val="64A70DF2"/>
    <w:rsid w:val="651D5558"/>
    <w:rsid w:val="65646CE3"/>
    <w:rsid w:val="65E34872"/>
    <w:rsid w:val="65E73470"/>
    <w:rsid w:val="65ED067A"/>
    <w:rsid w:val="662621EA"/>
    <w:rsid w:val="66383CCB"/>
    <w:rsid w:val="669E0B88"/>
    <w:rsid w:val="670F6369"/>
    <w:rsid w:val="674072DB"/>
    <w:rsid w:val="674E7C4A"/>
    <w:rsid w:val="675039C2"/>
    <w:rsid w:val="676239C8"/>
    <w:rsid w:val="681349F0"/>
    <w:rsid w:val="681C5653"/>
    <w:rsid w:val="68AA0BDE"/>
    <w:rsid w:val="68D91796"/>
    <w:rsid w:val="68ED3493"/>
    <w:rsid w:val="68F04A29"/>
    <w:rsid w:val="690031C6"/>
    <w:rsid w:val="6904760A"/>
    <w:rsid w:val="69146D78"/>
    <w:rsid w:val="6984366B"/>
    <w:rsid w:val="69A71894"/>
    <w:rsid w:val="69CE6E20"/>
    <w:rsid w:val="69D361E5"/>
    <w:rsid w:val="69E72CD3"/>
    <w:rsid w:val="69F10D61"/>
    <w:rsid w:val="6A186A78"/>
    <w:rsid w:val="6A253BE6"/>
    <w:rsid w:val="6A2931E3"/>
    <w:rsid w:val="6A505A87"/>
    <w:rsid w:val="6A660130"/>
    <w:rsid w:val="6A891E90"/>
    <w:rsid w:val="6A9E228F"/>
    <w:rsid w:val="6B2F7D93"/>
    <w:rsid w:val="6B347157"/>
    <w:rsid w:val="6B6317EA"/>
    <w:rsid w:val="6B637901"/>
    <w:rsid w:val="6B8C0A69"/>
    <w:rsid w:val="6B8E1A00"/>
    <w:rsid w:val="6BE7241B"/>
    <w:rsid w:val="6C18484A"/>
    <w:rsid w:val="6C5555D7"/>
    <w:rsid w:val="6C72358B"/>
    <w:rsid w:val="6CA566B8"/>
    <w:rsid w:val="6CC4275D"/>
    <w:rsid w:val="6CDE2113"/>
    <w:rsid w:val="6CF941B4"/>
    <w:rsid w:val="6D0A2D4D"/>
    <w:rsid w:val="6D490B0E"/>
    <w:rsid w:val="6D633D24"/>
    <w:rsid w:val="6D934572"/>
    <w:rsid w:val="6DEC3D19"/>
    <w:rsid w:val="6DF36E56"/>
    <w:rsid w:val="6E0472B5"/>
    <w:rsid w:val="6E206F36"/>
    <w:rsid w:val="6E531FEA"/>
    <w:rsid w:val="6E7C07ED"/>
    <w:rsid w:val="6EAC0452"/>
    <w:rsid w:val="6ECD3B4B"/>
    <w:rsid w:val="6ECD58F9"/>
    <w:rsid w:val="6F343BCA"/>
    <w:rsid w:val="6FE3114C"/>
    <w:rsid w:val="70195673"/>
    <w:rsid w:val="702A0B29"/>
    <w:rsid w:val="703A6FBE"/>
    <w:rsid w:val="706202C3"/>
    <w:rsid w:val="70742EB9"/>
    <w:rsid w:val="70A97C9F"/>
    <w:rsid w:val="70AB1C6A"/>
    <w:rsid w:val="70B84386"/>
    <w:rsid w:val="70DC13F2"/>
    <w:rsid w:val="712612F0"/>
    <w:rsid w:val="712A2783"/>
    <w:rsid w:val="71687B5B"/>
    <w:rsid w:val="717C1858"/>
    <w:rsid w:val="719C3171"/>
    <w:rsid w:val="71C56D5B"/>
    <w:rsid w:val="71CB12E6"/>
    <w:rsid w:val="71E01DE7"/>
    <w:rsid w:val="71EF192C"/>
    <w:rsid w:val="72226E67"/>
    <w:rsid w:val="723D0FE7"/>
    <w:rsid w:val="72926649"/>
    <w:rsid w:val="72C00BD6"/>
    <w:rsid w:val="72C07522"/>
    <w:rsid w:val="737347AD"/>
    <w:rsid w:val="73B46F4E"/>
    <w:rsid w:val="73C92407"/>
    <w:rsid w:val="73D370C8"/>
    <w:rsid w:val="74510D7A"/>
    <w:rsid w:val="7479207F"/>
    <w:rsid w:val="748A7EA3"/>
    <w:rsid w:val="74F13F7F"/>
    <w:rsid w:val="754937FF"/>
    <w:rsid w:val="755B7C06"/>
    <w:rsid w:val="758533AB"/>
    <w:rsid w:val="75A82C1C"/>
    <w:rsid w:val="75C760F4"/>
    <w:rsid w:val="76636A51"/>
    <w:rsid w:val="76A51D5C"/>
    <w:rsid w:val="76C92E49"/>
    <w:rsid w:val="76EE5DC1"/>
    <w:rsid w:val="771F16B2"/>
    <w:rsid w:val="7726029C"/>
    <w:rsid w:val="77366005"/>
    <w:rsid w:val="773E13B6"/>
    <w:rsid w:val="779F3BAA"/>
    <w:rsid w:val="77C935C3"/>
    <w:rsid w:val="77E12415"/>
    <w:rsid w:val="77F35CA4"/>
    <w:rsid w:val="78006D3F"/>
    <w:rsid w:val="78223F07"/>
    <w:rsid w:val="784B788E"/>
    <w:rsid w:val="785D684A"/>
    <w:rsid w:val="78CE219D"/>
    <w:rsid w:val="78DF4BA6"/>
    <w:rsid w:val="79037CBC"/>
    <w:rsid w:val="79116D2A"/>
    <w:rsid w:val="791441C7"/>
    <w:rsid w:val="795B557D"/>
    <w:rsid w:val="79681B1A"/>
    <w:rsid w:val="79B4687C"/>
    <w:rsid w:val="79D833A4"/>
    <w:rsid w:val="7A596CDF"/>
    <w:rsid w:val="7B226FCC"/>
    <w:rsid w:val="7BA563C1"/>
    <w:rsid w:val="7BED0F1C"/>
    <w:rsid w:val="7C16029D"/>
    <w:rsid w:val="7C421F6C"/>
    <w:rsid w:val="7C7840F4"/>
    <w:rsid w:val="7C943EFA"/>
    <w:rsid w:val="7CB41EA6"/>
    <w:rsid w:val="7CBB44DD"/>
    <w:rsid w:val="7D5A0C9F"/>
    <w:rsid w:val="7D5D078F"/>
    <w:rsid w:val="7D6436AF"/>
    <w:rsid w:val="7D851A94"/>
    <w:rsid w:val="7D895DFA"/>
    <w:rsid w:val="7DBB1900"/>
    <w:rsid w:val="7DBD5782"/>
    <w:rsid w:val="7E645B88"/>
    <w:rsid w:val="7E857F9E"/>
    <w:rsid w:val="7E861620"/>
    <w:rsid w:val="7EE12CFA"/>
    <w:rsid w:val="7F4172A6"/>
    <w:rsid w:val="7F437511"/>
    <w:rsid w:val="7F4C286A"/>
    <w:rsid w:val="7FA103A4"/>
    <w:rsid w:val="7FC05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autoRedefine/>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autoRedefine/>
    <w:qFormat/>
    <w:uiPriority w:val="0"/>
  </w:style>
  <w:style w:type="paragraph" w:styleId="8">
    <w:name w:val="toc 2"/>
    <w:basedOn w:val="1"/>
    <w:next w:val="1"/>
    <w:qFormat/>
    <w:uiPriority w:val="0"/>
    <w:pPr>
      <w:ind w:left="420" w:leftChars="200"/>
    </w:pPr>
  </w:style>
  <w:style w:type="paragraph" w:styleId="9">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autoRedefine/>
    <w:qFormat/>
    <w:uiPriority w:val="0"/>
    <w:rPr>
      <w:b/>
    </w:rPr>
  </w:style>
  <w:style w:type="character" w:styleId="13">
    <w:name w:val="Emphasis"/>
    <w:basedOn w:val="11"/>
    <w:autoRedefine/>
    <w:qFormat/>
    <w:uiPriority w:val="0"/>
    <w:rPr>
      <w:i/>
    </w:rPr>
  </w:style>
  <w:style w:type="paragraph" w:customStyle="1" w:styleId="14">
    <w:name w:val="WPSOffice手动目录 1"/>
    <w:autoRedefine/>
    <w:qFormat/>
    <w:uiPriority w:val="0"/>
    <w:pPr>
      <w:ind w:leftChars="0"/>
    </w:pPr>
    <w:rPr>
      <w:rFonts w:ascii="Times New Roman" w:hAnsi="Times New Roman" w:eastAsia="宋体" w:cs="Times New Roman"/>
      <w:sz w:val="20"/>
      <w:szCs w:val="20"/>
    </w:rPr>
  </w:style>
  <w:style w:type="character" w:customStyle="1" w:styleId="15">
    <w:name w:val="font01"/>
    <w:basedOn w:val="11"/>
    <w:autoRedefine/>
    <w:qFormat/>
    <w:uiPriority w:val="0"/>
    <w:rPr>
      <w:rFonts w:hint="default" w:ascii="Arial" w:hAnsi="Arial" w:cs="Arial"/>
      <w:color w:val="000000"/>
      <w:sz w:val="20"/>
      <w:szCs w:val="20"/>
      <w:u w:val="none"/>
    </w:rPr>
  </w:style>
  <w:style w:type="character" w:customStyle="1" w:styleId="16">
    <w:name w:val="font11"/>
    <w:basedOn w:val="11"/>
    <w:autoRedefine/>
    <w:qFormat/>
    <w:uiPriority w:val="0"/>
    <w:rPr>
      <w:rFonts w:hint="eastAsia" w:ascii="宋体" w:hAnsi="宋体" w:eastAsia="宋体" w:cs="宋体"/>
      <w:color w:val="000000"/>
      <w:sz w:val="20"/>
      <w:szCs w:val="20"/>
      <w:u w:val="none"/>
    </w:rPr>
  </w:style>
  <w:style w:type="character" w:customStyle="1" w:styleId="17">
    <w:name w:val="font31"/>
    <w:basedOn w:val="11"/>
    <w:autoRedefine/>
    <w:qFormat/>
    <w:uiPriority w:val="0"/>
    <w:rPr>
      <w:rFonts w:hint="eastAsia" w:ascii="宋体" w:hAnsi="宋体" w:eastAsia="宋体" w:cs="宋体"/>
      <w:color w:val="000000"/>
      <w:sz w:val="20"/>
      <w:szCs w:val="20"/>
      <w:u w:val="none"/>
    </w:rPr>
  </w:style>
  <w:style w:type="character" w:customStyle="1" w:styleId="18">
    <w:name w:val="font41"/>
    <w:basedOn w:val="11"/>
    <w:autoRedefine/>
    <w:qFormat/>
    <w:uiPriority w:val="0"/>
    <w:rPr>
      <w:rFonts w:hint="eastAsia" w:ascii="宋体" w:hAnsi="宋体" w:eastAsia="宋体" w:cs="宋体"/>
      <w:b/>
      <w:bCs/>
      <w:color w:val="000000"/>
      <w:sz w:val="18"/>
      <w:szCs w:val="18"/>
      <w:u w:val="none"/>
    </w:rPr>
  </w:style>
</w:styles>
</file>

<file path=word/_rels/document.xml.rels><?xml version='1.0' encoding='UTF-8' standalone='yes'?>
<Relationships xmlns="http://schemas.openxmlformats.org/package/2006/relationships"><Relationship Id="rId9" Type="http://www.wps.cn/officeDocument/2018/webExtension" Target="webExtensions/webExtension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chart" Target="charts/chart2.xml"/><Relationship Id="rId11" Type="http://schemas.openxmlformats.org/officeDocument/2006/relationships/chart" Target="charts/chart1.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患者血压控制效果</a:t>
            </a:r>
          </a:p>
        </c:rich>
      </c:tx>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840713332524566"/>
          <c:y val="0.207381002306563"/>
          <c:w val="0.540094625743055"/>
          <c:h val="0.69930803103376"/>
        </c:manualLayout>
      </c:layout>
      <c:pie3DChart>
        <c:varyColors val="1"/>
        <c:ser>
          <c:idx val="0"/>
          <c:order val="0"/>
          <c:tx>
            <c:strRef>
              <c:f>Sheet1!$B$1</c:f>
              <c:strCache>
                <c:ptCount val="1"/>
                <c:pt idx="0">
                  <c:v>占比</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explosion val="0"/>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xmlns:c15="http://schemas.microsoft.com/office/drawing/2012/chart" uri="{CE6537A1-D6FC-4f65-9D91-7224C49458BB}">
                  <c15: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xmlns:c15="http://schemas.microsoft.com/office/drawing/2012/chart" uri="{CE6537A1-D6FC-4f65-9D91-7224C49458BB}">
                <c15:spPr xmlns:c15="http://schemas.microsoft.com/office/drawing/2012/chart">
                  <a:prstGeom prst="wedgeEllipseCallout">
                    <a:avLst/>
                  </a:prstGeom>
                  <a:noFill/>
                  <a:ln>
                    <a:noFill/>
                  </a:ln>
                </c15:spPr>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Sheet1!$A$2:$A$5</c:f>
              <c:strCache>
                <c:ptCount val="4"/>
                <c:pt idx="0">
                  <c:v>A.血压稳定在正常范围</c:v>
                </c:pt>
                <c:pt idx="1">
                  <c:v>B.血压多数时间在正常范围</c:v>
                </c:pt>
                <c:pt idx="2">
                  <c:v>C.血压偶尔超出正常范围</c:v>
                </c:pt>
                <c:pt idx="3">
                  <c:v>D.血压持续超出正常范围</c:v>
                </c:pt>
              </c:strCache>
            </c:strRef>
          </c:cat>
          <c:val>
            <c:numRef>
              <c:f>Sheet1!$B$2:$B$5</c:f>
              <c:numCache>
                <c:formatCode>0.00%</c:formatCode>
                <c:ptCount val="4"/>
                <c:pt idx="0">
                  <c:v>0.4495</c:v>
                </c:pt>
                <c:pt idx="1">
                  <c:v>0.4896</c:v>
                </c:pt>
                <c:pt idx="2">
                  <c:v>0.0609</c:v>
                </c:pt>
                <c:pt idx="3">
                  <c:v>0</c:v>
                </c:pt>
              </c:numCache>
            </c:numRef>
          </c:val>
        </c:ser>
        <c:dLbls>
          <c:showLegendKey val="0"/>
          <c:showVal val="0"/>
          <c:showCatName val="0"/>
          <c:showSerName val="0"/>
          <c:showPercent val="1"/>
          <c:showBubbleSize val="0"/>
        </c:dLbls>
      </c:pie3DChart>
      <c:spPr>
        <a:noFill/>
        <a:ln>
          <a:noFill/>
        </a:ln>
        <a:effectLst/>
      </c:spPr>
    </c:plotArea>
    <c:legend>
      <c:legendPos val="r"/>
      <c:layout>
        <c:manualLayout>
          <c:xMode val="edge"/>
          <c:yMode val="edge"/>
          <c:x val="0.686885842533058"/>
          <c:y val="0.314928425357873"/>
          <c:w val="0.29855635084314"/>
          <c:h val="0.40377187002953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chartProps xmlns="https://web.wps.cn/et/2018/main"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charts/chart2.xml><?xml version="1.0" encoding="utf-8"?>
<c:chartSpace xmlns:a="http://schemas.openxmlformats.org/drawingml/2006/main" xmlns:c="http://schemas.openxmlformats.org/drawingml/2006/chart" xmlns:c14="http://schemas.microsoft.com/office/drawing/2007/8/2/chart" xmlns:mc="http://schemas.openxmlformats.org/markup-compatibility/2006" xmlns:ns4="http://schemas.microsoft.com/office/drawing/2012/chart" xmlns:ns5="https://web.wps.cn/et/2018/main" xmlns:r="http://schemas.openxmlformats.org/officeDocument/2006/relationships">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药品价格接受度情况</a:t>
            </a:r>
            <a:endParaRPr lang="en-US" altLang="zh-CN"/>
          </a:p>
        </c:rich>
      </c:tx>
      <c:layout>
        <c:manualLayout>
          <c:xMode val="edge"/>
          <c:yMode val="edge"/>
          <c:x val="0.413354338342221"/>
          <c:y val="0.0272806364231808"/>
        </c:manualLayout>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683470673776054"/>
          <c:y val="0.210447441661314"/>
          <c:w val="0.555138148327678"/>
          <c:h val="0.694926140012845"/>
        </c:manualLayout>
      </c:layout>
      <c:barChart>
        <c:barDir val="bar"/>
        <c:grouping val="clustered"/>
        <c:ser>
          <c:idx val="0"/>
          <c:order val="0"/>
          <c:tx>
            <c:strRef>
              <c:f>Sheet1!$B$1</c:f>
              <c:strCache>
                <c:ptCount val="1"/>
                <c:pt idx="0">
                  <c:v>销售额</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uri="{CE6537A1-D6FC-4f65-9D91-7224C49458BB}">
                  <ns4: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uri="{CE6537A1-D6FC-4f65-9D91-7224C49458BB}">
                <ns4:spPr>
                  <a:prstGeom prst="wedgeEllipseCallout">
                    <a:avLst/>
                  </a:prstGeom>
                  <a:noFill/>
                  <a:ln>
                    <a:noFill/>
                  </a:ln>
                </ns4:spPr>
                <ns4:layout/>
                <ns4:showLeaderLines val="1"/>
                <ns4:leaderLines>
                  <c:spPr>
                    <a:ln w="9525" cap="flat" cmpd="sng" algn="ctr">
                      <a:solidFill>
                        <a:schemeClr val="tx1">
                          <a:lumMod val="35000"/>
                          <a:lumOff val="65000"/>
                        </a:schemeClr>
                      </a:solidFill>
                      <a:prstDash val="solid"/>
                      <a:round/>
                    </a:ln>
                    <a:effectLst/>
                  </c:spPr>
                </ns4:leaderLines>
              </c:ext>
            </c:extLst>
          </c:dLbls>
          <c:cat>
            <c:strRef>
              <c:f>Sheet1!$A$2:$A$5</c:f>
              <c:strCache>
                <c:ptCount val="4"/>
                <c:pt idx="0">
                  <c:v>难以承受</c:v>
                </c:pt>
                <c:pt idx="1">
                  <c:v>勉强承受</c:v>
                </c:pt>
                <c:pt idx="2">
                  <c:v>在可接受范围</c:v>
                </c:pt>
                <c:pt idx="3">
                  <c:v>无压力</c:v>
                </c:pt>
              </c:strCache>
            </c:strRef>
          </c:cat>
          <c:val>
            <c:numRef>
              <c:f>Sheet1!$B$2:$B$5</c:f>
              <c:numCache>
                <c:formatCode>General</c:formatCode>
                <c:ptCount val="4"/>
                <c:pt idx="0">
                  <c:v>0</c:v>
                </c:pt>
                <c:pt idx="1">
                  <c:v>0</c:v>
                </c:pt>
                <c:pt idx="2">
                  <c:v>0</c:v>
                </c:pt>
                <c:pt idx="3">
                  <c:v>0</c:v>
                </c:pt>
              </c:numCache>
            </c:numRef>
          </c:val>
        </c:ser>
        <c:dLbls>
          <c:showLegendKey val="0"/>
          <c:showVal val="1"/>
          <c:showCatName val="0"/>
          <c:showSerName val="0"/>
          <c:showPercent val="0"/>
          <c:showBubbleSize val="0"/>
        </c:dLbls>
        <c:gapWidth val="120"/>
        <c:axId val="10"/>
        <c:axId val="100"/>
      </c:barChart>
      <c:catAx>
        <c:axId val="10"/>
        <c:scaling>
          <c:orientation val="minMax"/>
        </c:scaling>
        <c:delete val="0"/>
        <c:axPos val="l"/>
        <c:majorTickMark val="none"/>
        <c:minorTickMark val="none"/>
        <c:tickLblPos val="nextTo"/>
        <c:crossAx val="100"/>
        <c:crosses val="autoZero"/>
        <c:lblOffset val="100"/>
      </c:catAx>
      <c:valAx>
        <c:axId val="100"/>
        <c:scaling>
          <c:orientation val="minMax"/>
        </c:scaling>
        <c:delete val="0"/>
        <c:axPos val="b"/>
        <c:majorGridlines/>
        <c:numFmt formatCode="General" sourceLinked="1"/>
        <c:majorTickMark val="none"/>
        <c:minorTickMark val="none"/>
        <c:tickLblPos val="nextTo"/>
        <c:crossAx val="10"/>
        <c:crosses val="autoZero"/>
        <c:crossBetween val="between"/>
      </c:valAx>
      <c:spPr>
        <a:noFill/>
        <a:ln>
          <a:noFill/>
        </a:ln>
        <a:effectLst/>
      </c:spPr>
    </c:plotArea>
    <c:legend>
      <c:legendPos val="r"/>
      <c:layout>
        <c:manualLayout>
          <c:xMode val="edge"/>
          <c:yMode val="edge"/>
          <c:x val="0.667474551623849"/>
          <c:y val="0.370156283451081"/>
          <c:w val="0.317983519146874"/>
          <c:h val="0.37871976022265"/>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ns5:chartProps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webExtension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package" Target="../embeddings/Workbook3.xlsx"/></Relationships>
</file>

<file path=word/webExtensions/webExtension1.xml><?xml version="1.0" encoding="utf-8"?>
<wpswe:webExtension xmlns:wpswe="http://www.wps.cn/officeDocument/2018/webExtension" xmlns:webet="https://web.wps.cn/et/2018/main" webet:type="Normal" type="0" webet:id="">
  <wpswe:extSource id="dschart" version="1.0"/>
  <wpswe:properties>
    <wpswe:property key="DiscardFirstCodeChange" value="0"/>
    <wpswe:property key="autoSnapshot" value="0"/>
    <wpswe:property key="dschart" value="{&quot;dschart_data&quot;:{&quot;blockId&quot;:&quot;161243067158731941&quot;,&quot;chart_type&quot;:&quot;饼图&quot;,&quot;classifty_type&quot;:[&quot;占比类&quot;],&quot;dataSrc&quot;:{&quot;data&quot;:[[[&quot;属性&quot;,&quot;值&quot;],[&quot;药品疗效&quot;,&quot;7%&quot;],[&quot;药品安全性&quot;,&quot;14%&quot;],[&quot;用药行为与习惯&quot;,&quot;37%&quot;],[&quot;用药便利性&quot;,&quot;14%&quot;],[&quot;药品经济性&quot;,&quot;7%&quot;],[&quot;药品可及性&quot;,&quot;7%&quot;],[&quot;用药指导信息评价&quot;,&quot;14%&quot;]]],&quot;dataType&quot;:&quot;obejct-table&quot;,&quot;download&quot;:false,&quot;srcType&quot;:&quot;local&quot;,&quot;url&quot;:&quot;&quot;},&quot;function_type&quot;:[&quot;饼图&quot;],&quot;gif&quot;:&quot;//web.docer.wpscdn.cn/docer/ds-page/images/444746070325460997.gif?imageView2/2/w/500/quality/90&quot;,&quot;index&quot;:1,&quot;isFree&quot;:&quot;0&quot;,&quot;label&quot;:&quot;&lt;e-piebasic-chart&gt;&quot;,&quot;projectId&quot;:&quot;444746070325460997&quot;,&quot;props&quot;:{&quot;animation&quot;:{&quot;duration&quot;:&quot;1.5&quot;,&quot;easeStyle&quot;:&quot;&quot;,&quot;endPause&quot;:&quot;1&quot;,&quot;moveOptions&quot;:[&quot;轮子&quot;,&quot;百叶窗&quot;,&quot;折扇&quot;,&quot;径向展开&quot;],&quot;moveStyle&quot;:&quot;轮子&quot;,&quot;startDelay&quot;:&quot;0&quot;,&quot;transition&quot;:true},&quot;axis&quot;:&quot;&quot;,&quot;backgroundColor&quot;:&quot;&quot;,&quot;colors&quot;:{&quot;colorControlers&quot;:[&quot;multiple&quot;,&quot;linear&quot;],&quot;list&quot;:[&quot;#5956F4ff&quot;,&quot;#53e09eff&quot;,&quot;#ffdc4cff&quot;,&quot;#ff9c46ff&quot;,0,1,2],&quot;type&quot;:&quot;multiple&quot;},&quot;display&quot;:{&quot;borderColor&quot;:&quot;#FFFFFF&quot;,&quot;borderWidth&quot;:&quot;1&quot;,&quot;cornerRadius&quot;:&quot;0&quot;,&quot;fillOpacity&quot;:&quot;1&quot;,&quot;gapPercentage&quot;:&quot;0&quot;,&quot;innerRadiusRatio&quot;:&quot;0&quot;},&quot;label&quot;:{&quot;contentChoice&quot;:[&quot;百分比&quot;],&quot;contentOption&quot;:[&quot;名称&quot;,&quot;百分比&quot;,&quot;数值&quot;],&quot;display&quot;:true,&quot;positionChoice&quot;:&quot;外部&quot;,&quot;positionOptions&quot;:[&quot;内部周向&quot;,&quot;内部水平&quot;,&quot;外部&quot;],&quot;suffix&quot;:&quot;&quot;,&quot;textLabel&quot;:{&quot;color&quot;:&quot;#545454&quot;,&quot;fontFamily&quot;:&quot;微软雅黑&quot;,&quot;fontSize&quot;:&quot;14&quot;}},&quot;legend&quot;:{&quot;color&quot;:[&quot;#545454&quot;],&quot;fontFamily&quot;:[&quot;阿里巴巴普惠体常规&quot;],&quot;fontSize&quot;:&quot;12&quot;,&quot;lineHeight&quot;:&quot;15&quot;,&quot;show&quot;:true,&quot;style&quot;:&quot;&quot;,&quot;styleOptions&quot;:[],&quot;xPosition&quot;:&quot;center&quot;,&quot;yPosition&quot;:&quot;bottom&quot;},&quot;logoDisplay&quot;:{&quot;bottomLineHeight&quot;:&quot;15&quot;,&quot;imgHeight&quot;:&quot;32&quot;,&quot;imgUrl&quot;:&quot;https://ss1.dydata.io/newchartLogo.png&quot;,&quot;show&quot;:true,&quot;topLineHeight&quot;:&quot;11&quot;},&quot;map&quot;:[[{&quot;allowType&quot;:[&quot;string&quot;],&quot;configurable&quot;:false,&quot;function&quot;:&quot;objCol&quot;,&quot;index&quot;:0,&quot;isLegend&quot;:true,&quot;name&quot;:&quot;名称&quot;},{&quot;allowType&quot;:[&quot;number&quot;],&quot;configurable&quot;:false,&quot;function&quot;:&quot;vCol&quot;,&quot;index&quot;:1,&quot;isLegend&quot;:false,&quot;name&quot;:&quot;值&quot;}]],&quot;numberFormat&quot;:{&quot;decimalPlaces&quot;:&quot;&quot;,&quot;style&quot;:&quot;1000.00&quot;},&quot;paddings&quot;:{&quot;bottom&quot;:&quot;33&quot;,&quot;chartBottom&quot;:&quot;5&quot;,&quot;left&quot;:&quot;24&quot;,&quot;right&quot;:&quot;24&quot;,&quot;top&quot;:&quot;24&quot;},&quot;publishDisplay&quot;:{&quot;color&quot;:&quot;#878787&quot;,&quot;fontFamily&quot;:&quot;黑体&quot;,&quot;fontSize&quot;:&quot;14&quot;,&quot;show&quot;:true,&quot;text&quot;:&quot;镝数出品&quot;},&quot;shadow&quot;:{&quot;display&quot;:false,&quot;shadowAngle&quot;:&quot;45&quot;,&quot;shadowBlur&quot;:&quot;5&quot;,&quot;shadowColor&quot;:&quot;#a8a8a7cc&quot;,&quot;shadowOpacity&quot;:&quot;100&quot;,&quot;shadowRadius&quot;:&quot;3&quot;},&quot;size&quot;:{&quot;height&quot;:451,&quot;ratio&quot;:&quot;&quot;,&quot;rotate&quot;:0,&quot;width&quot;:551},&quot;sourceDisplay&quot;:{&quot;color&quot;:&quot;#878787&quot;,&quot;fontFamily&quot;:&quot;黑体&quot;,&quot;fontSize&quot;:&quot;14&quot;,&quot;show&quot;:false,&quot;text&quot;:&quot;数据来源：示例数据&quot;,&quot;topLineHeight&quot;:&quot;15&quot;,&quot;xPosition&quot;:&quot;left&quot;,&quot;yPosition&quot;:&quot;bottom&quot;},&quot;titleDisplay&quot;:{&quot;color&quot;:&quot;#4c4c4c&quot;,&quot;fontFamily&quot;:&quot;阿里巴巴普惠体 常规&quot;,&quot;fontSize&quot;:&quot;32&quot;,&quot;lineHeight&quot;:&quot;10&quot;,&quot;show&quot;:false,&quot;text&quot;:&quot;本月收入与支出情况&quot;,&quot;totalHeight&quot;:&quot;39&quot;,&quot;xPosition&quot;:&quot;left&quot;,&quot;yPosition&quot;:&quot;top&quot;},&quot;tooltip&quot;:true,&quot;unitDisplay&quot;:{&quot;bottomLineHeight&quot;:&quot;15&quot;,&quot;color&quot;:&quot;#878787&quot;,&quot;fontFamily&quot;:&quot;阿里巴巴普惠体常规&quot;,&quot;fontSize&quot;:&quot;14&quot;,&quot;show&quot;:false,&quot;text&quot;:&quot;单位：元&quot;,&quot;xPosition&quot;:&quot;left&quot;,&quot;yPosition&quot;:&quot;top&quot;},&quot;watermarkDisplay&quot;:{&quot;imgHeight&quot;:&quot;80&quot;,&quot;imgUrl&quot;:&quot;https://ss1.dydata.io/newchartWatermark.png&quot;,&quot;imgWidth&quot;:&quot;80&quot;,&quot;show&quot;:false}},&quot;templateId&quot;:&quot;444746070325460997-8&quot;,&quot;templateSwitch&quot;:&quot;key-value&quot;,&quot;theme&quot;:{&quot;axis&quot;:{&quot;color&quot;:&quot;#a1a1a1&quot;},&quot;backgroundColor&quot;:&quot;#FFFFFF&quot;,&quot;colors&quot;:[&quot;#5AAEF3&quot;,&quot;#62D9AD&quot;,&quot;#5B6E96&quot;,&quot;#a8dffa&quot;,&quot;#ffdc4c&quot;,&quot;#FF974C&quot;,&quot;#E65A56&quot;,&quot;#6D61E4&quot;,&quot;#4A6FE2&quot;,&quot;#6D9AE7&quot;,&quot;#23C2DB&quot;,&quot;#D4EC59&quot;,&quot;#FFE88E&quot;,&quot;#FEB64D&quot;,&quot;#FB6E6C&quot;],&quot;fonts&quot;:{&quot;accessoryColor&quot;:&quot;#878787&quot;,&quot;color&quot;:&quot;#545454&quot;,&quot;fontFamily&quot;:&quot;黑体&quot;,&quot;fontSize&quot;:&quot;14&quot;},&quot;grid&quot;:{&quot;color&quot;:&quot;#ccc&quot;},&quot;name&quot;:&quot;默认主题&quot;,&quot;price&quot;:&quot;0.0&quot;,&quot;shapeColor&quot;:1,&quot;themeId&quot;:&quot;18&quot;,&quot;titleFont&quot;:{&quot;color&quot;:&quot;#4c4c4c&quot;,&quot;fontFamily&quot;:&quot;黑体&quot;,&quot;fontSize&quot;:&quot;36&quot;}},&quot;thumb&quot;:&quot;./images/444746070325460997-8.jpg&quot;,&quot;title&quot;:&quot;基础饼图&quot;,&quot;type&quot;:&quot;chart&quot;},&quot;dschart_id&quot;:&quot;444746070325460997-8&quot;,&quot;flag&quot;:&quot;1003&quot;,&quot;id&quot;:&quot;144&quot;}"/>
    <wpswe:property key="isUseCommonErrorPage" value="false"/>
    <wpswe:property key="loadingImage" value="res:/icons/DsWebShapeDefaultPage.svg"/>
  </wpswe:properties>
  <wpswe:watchingCache>
    <wpswe:linkPath>C:/Users/一一/AppData/Local/Temp/wps.DwikEb/Workbook3.xlsx</wpswe:linkPath>
  </wpswe:watchingCache>
  <wpswe:snapshot xmlns:r="http://schemas.openxmlformats.org/officeDocument/2006/relationships" r:embed="rId2"/>
  <wpswe:externalData xmlns:r="http://schemas.openxmlformats.org/officeDocument/2006/relationships" r:id="rId1"/>
  <wpswe:url>https://clientweb.docer.wps.cn/docer-ds/web-shape-1.0.0/?id=144&amp;dschart_id=5544734748594536330-7&amp;from=&amp;productEntry=insert&amp;sceneEntry=rec-144&amp;flag=1003</wpswe:url>
  <wpswe:constantSnapshot>false</wpswe:constantSnapshot>
</wps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商务风项目计划封面"/>
      <sectRole val="1"/>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4798</Words>
  <Characters>5435</Characters>
  <Lines>0</Lines>
  <Paragraphs>0</Paragraphs>
  <TotalTime>73</TotalTime>
  <ScaleCrop>false</ScaleCrop>
  <LinksUpToDate>false</LinksUpToDate>
  <CharactersWithSpaces>5503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2023-10-19T07:54:00Z</dcterms:created>
  <dc:creator>Zaralin</dc:creator>
  <cp:lastModifiedBy>koki</cp:lastModifiedBy>
  <dcterms:modified xsi:type="dcterms:W3CDTF">2025-12-31T04:29:29Z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EFE0C47C61DE41689FC0FAEC4DB2EB29_13</vt:lpwstr>
  </property>
  <property fmtid="{D5CDD505-2E9C-101B-9397-08002B2CF9AE}" pid="4" name="KSOTemplateDocerSaveRecord">
    <vt:lpwstr>eyJoZGlkIjoiNzMyNDZlYmFhMmNkMWYxOTZkNjcxNjlhNjFjMTBjYzYiLCJ1c2VySWQiOiIxMDg3ODE4ODA2In0=</vt:lpwstr>
  </property>
</Properties>
</file>